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044C5">
      <w:pPr>
        <w:spacing w:line="560" w:lineRule="exact"/>
        <w:jc w:val="center"/>
        <w:outlineLvl w:val="0"/>
        <w:rPr>
          <w:rFonts w:hint="default" w:ascii="方正小标宋_GBK" w:eastAsia="方正小标宋_GBK" w:cs="宋体"/>
          <w:sz w:val="44"/>
          <w:szCs w:val="44"/>
        </w:rPr>
      </w:pPr>
      <w:bookmarkStart w:id="0" w:name="_Toc13317"/>
      <w:bookmarkStart w:id="1" w:name="_Toc2091"/>
      <w:bookmarkStart w:id="2" w:name="_Toc3675"/>
      <w:bookmarkStart w:id="3" w:name="_Toc12176"/>
      <w:bookmarkStart w:id="4" w:name="_Toc7368"/>
      <w:bookmarkStart w:id="5" w:name="_Toc16583"/>
      <w:bookmarkStart w:id="6" w:name="_Toc5997"/>
      <w:r>
        <w:rPr>
          <w:rFonts w:ascii="方正小标宋_GBK" w:eastAsia="方正小标宋_GBK" w:cs="宋体"/>
          <w:sz w:val="44"/>
          <w:szCs w:val="44"/>
        </w:rPr>
        <w:t xml:space="preserve"> 重庆市渝中区大石化新区</w:t>
      </w:r>
      <w:bookmarkStart w:id="7" w:name="_Toc10235_WPSOffice_Level1"/>
      <w:bookmarkStart w:id="8" w:name="_Toc6529_WPSOffice_Level1"/>
      <w:r>
        <w:rPr>
          <w:rFonts w:hint="eastAsia" w:ascii="方正小标宋_GBK" w:eastAsia="方正小标宋_GBK" w:cs="宋体"/>
          <w:sz w:val="44"/>
          <w:szCs w:val="44"/>
          <w:lang w:val="en-US" w:eastAsia="zh-CN"/>
        </w:rPr>
        <w:t>招商和企业服务中心</w:t>
      </w:r>
      <w:r>
        <w:rPr>
          <w:rFonts w:ascii="方正小标宋_GBK" w:eastAsia="方正小标宋_GBK" w:cs="宋体"/>
          <w:sz w:val="44"/>
          <w:szCs w:val="44"/>
        </w:rPr>
        <w:t>202</w:t>
      </w:r>
      <w:r>
        <w:rPr>
          <w:rFonts w:hint="eastAsia" w:ascii="方正小标宋_GBK" w:eastAsia="方正小标宋_GBK" w:cs="宋体"/>
          <w:sz w:val="44"/>
          <w:szCs w:val="44"/>
          <w:lang w:val="en-US" w:eastAsia="zh-CN"/>
        </w:rPr>
        <w:t>3</w:t>
      </w:r>
      <w:r>
        <w:rPr>
          <w:rFonts w:ascii="方正小标宋_GBK" w:eastAsia="方正小标宋_GBK" w:cs="宋体"/>
          <w:sz w:val="44"/>
          <w:szCs w:val="44"/>
        </w:rPr>
        <w:t>年决算情况说明</w:t>
      </w:r>
      <w:bookmarkEnd w:id="0"/>
      <w:bookmarkEnd w:id="1"/>
      <w:bookmarkEnd w:id="2"/>
      <w:bookmarkEnd w:id="3"/>
      <w:bookmarkEnd w:id="4"/>
      <w:bookmarkEnd w:id="5"/>
      <w:bookmarkEnd w:id="6"/>
      <w:bookmarkEnd w:id="7"/>
      <w:bookmarkEnd w:id="8"/>
    </w:p>
    <w:p w14:paraId="2BFFF964">
      <w:pPr>
        <w:spacing w:line="560" w:lineRule="exact"/>
        <w:ind w:firstLine="1320" w:firstLineChars="300"/>
        <w:jc w:val="both"/>
        <w:outlineLvl w:val="0"/>
        <w:rPr>
          <w:rFonts w:hint="default" w:ascii="方正小标宋_GBK" w:eastAsia="方正小标宋_GBK" w:cs="宋体"/>
          <w:sz w:val="44"/>
          <w:szCs w:val="44"/>
        </w:rPr>
      </w:pPr>
    </w:p>
    <w:p w14:paraId="26729BC2">
      <w:pPr>
        <w:spacing w:line="594" w:lineRule="exact"/>
        <w:ind w:firstLine="640" w:firstLineChars="200"/>
        <w:jc w:val="both"/>
        <w:rPr>
          <w:rFonts w:hint="default" w:ascii="方正黑体_GBK" w:eastAsia="方正黑体_GBK" w:cs="宋体"/>
          <w:bCs/>
          <w:sz w:val="32"/>
          <w:szCs w:val="32"/>
        </w:rPr>
      </w:pPr>
      <w:bookmarkStart w:id="9" w:name="_Toc8704_WPSOffice_Level1"/>
      <w:bookmarkStart w:id="10" w:name="_Toc31238_WPSOffice_Level1"/>
      <w:r>
        <w:rPr>
          <w:rFonts w:ascii="方正黑体_GBK" w:eastAsia="方正黑体_GBK" w:cs="宋体"/>
          <w:bCs/>
          <w:sz w:val="32"/>
          <w:szCs w:val="32"/>
        </w:rPr>
        <w:t>一、单位基本情况</w:t>
      </w:r>
      <w:bookmarkEnd w:id="9"/>
      <w:bookmarkEnd w:id="10"/>
    </w:p>
    <w:p w14:paraId="10B53AB8">
      <w:pPr>
        <w:pStyle w:val="49"/>
        <w:tabs>
          <w:tab w:val="center" w:pos="4153"/>
          <w:tab w:val="left" w:pos="7275"/>
        </w:tabs>
        <w:spacing w:line="594" w:lineRule="exact"/>
        <w:ind w:firstLine="640"/>
        <w:rPr>
          <w:rFonts w:eastAsia="方正仿宋_GBK"/>
          <w:sz w:val="32"/>
          <w:szCs w:val="32"/>
        </w:rPr>
      </w:pPr>
      <w:r>
        <w:rPr>
          <w:rFonts w:hint="eastAsia" w:ascii="方正楷体_GBK" w:hAnsi="方正楷体_GBK" w:eastAsia="方正楷体_GBK" w:cs="方正楷体_GBK"/>
          <w:sz w:val="32"/>
          <w:szCs w:val="32"/>
        </w:rPr>
        <w:t>（一）职能职责。</w:t>
      </w:r>
      <w:r>
        <w:rPr>
          <w:rFonts w:hint="eastAsia" w:ascii="方正楷体_GBK" w:hAnsi="方正楷体_GBK" w:eastAsia="方正楷体_GBK" w:cs="方正楷体_GBK"/>
          <w:sz w:val="32"/>
          <w:szCs w:val="32"/>
          <w:lang w:val="en-US" w:eastAsia="zh-CN"/>
        </w:rPr>
        <w:t>招商和</w:t>
      </w:r>
      <w:r>
        <w:rPr>
          <w:rFonts w:eastAsia="方正仿宋_GBK"/>
          <w:sz w:val="32"/>
          <w:szCs w:val="32"/>
        </w:rPr>
        <w:t>企业服务中心职能职责主要包括：一是宣传国家关于促进经济发展的政策，提供政策、招商信息及政务服务咨询；二是协助企业解决在发展中遇到的困难和问题；三是收集楼宇经济发展动态信息；四是搭建政企之间、企业之间的交流互动平台。</w:t>
      </w:r>
    </w:p>
    <w:p w14:paraId="3A491634">
      <w:pPr>
        <w:pStyle w:val="49"/>
        <w:tabs>
          <w:tab w:val="center" w:pos="4153"/>
          <w:tab w:val="left" w:pos="7275"/>
        </w:tabs>
        <w:spacing w:line="594" w:lineRule="exact"/>
        <w:ind w:firstLine="640"/>
        <w:rPr>
          <w:rFonts w:eastAsia="方正仿宋_GBK"/>
          <w:color w:val="FF0000"/>
          <w:sz w:val="32"/>
          <w:szCs w:val="32"/>
        </w:rPr>
      </w:pPr>
      <w:r>
        <w:rPr>
          <w:rFonts w:ascii="方正楷体_GBK" w:hAnsi="方正楷体_GBK" w:eastAsia="方正楷体_GBK" w:cs="方正楷体_GBK"/>
          <w:sz w:val="32"/>
          <w:szCs w:val="32"/>
        </w:rPr>
        <w:t>（二）机构设置。</w:t>
      </w:r>
      <w:r>
        <w:rPr>
          <w:rFonts w:eastAsia="方正仿宋_GBK"/>
          <w:color w:val="000000" w:themeColor="text1"/>
          <w:sz w:val="32"/>
          <w:szCs w:val="32"/>
        </w:rPr>
        <w:t>大石化新区</w:t>
      </w:r>
      <w:r>
        <w:rPr>
          <w:rFonts w:hint="eastAsia" w:eastAsia="方正仿宋_GBK"/>
          <w:color w:val="000000" w:themeColor="text1"/>
          <w:sz w:val="32"/>
          <w:szCs w:val="32"/>
          <w:lang w:val="en-US" w:eastAsia="zh-CN"/>
        </w:rPr>
        <w:t>招商和</w:t>
      </w:r>
      <w:r>
        <w:rPr>
          <w:rFonts w:eastAsia="方正仿宋_GBK"/>
          <w:color w:val="000000" w:themeColor="text1"/>
          <w:sz w:val="32"/>
          <w:szCs w:val="32"/>
        </w:rPr>
        <w:t>企业服务中心是2015年6月经区编委同意设立的大石化新区管委会所属的公益一类事业单位，经费渠道为财政全额拨款。中心现有事业编制</w:t>
      </w:r>
      <w:r>
        <w:rPr>
          <w:rFonts w:hint="eastAsia" w:eastAsia="方正仿宋_GBK"/>
          <w:color w:val="000000" w:themeColor="text1"/>
          <w:sz w:val="32"/>
          <w:szCs w:val="32"/>
          <w:lang w:val="en-US" w:eastAsia="zh-CN"/>
        </w:rPr>
        <w:t>9</w:t>
      </w:r>
      <w:r>
        <w:rPr>
          <w:rFonts w:eastAsia="方正仿宋_GBK"/>
          <w:color w:val="000000" w:themeColor="text1"/>
          <w:sz w:val="32"/>
          <w:szCs w:val="32"/>
        </w:rPr>
        <w:t>人，</w:t>
      </w:r>
      <w:r>
        <w:rPr>
          <w:rFonts w:hint="eastAsia" w:eastAsia="方正仿宋_GBK"/>
          <w:color w:val="000000" w:themeColor="text1"/>
          <w:sz w:val="32"/>
          <w:szCs w:val="32"/>
          <w:lang w:val="en-US" w:eastAsia="zh-CN"/>
        </w:rPr>
        <w:t>聘用</w:t>
      </w:r>
      <w:r>
        <w:rPr>
          <w:rFonts w:eastAsia="方正仿宋_GBK"/>
          <w:color w:val="000000" w:themeColor="text1"/>
          <w:sz w:val="32"/>
          <w:szCs w:val="32"/>
        </w:rPr>
        <w:t>人员1</w:t>
      </w:r>
      <w:r>
        <w:rPr>
          <w:rFonts w:hint="eastAsia" w:eastAsia="方正仿宋_GBK"/>
          <w:color w:val="000000" w:themeColor="text1"/>
          <w:sz w:val="32"/>
          <w:szCs w:val="32"/>
          <w:lang w:val="en-US" w:eastAsia="zh-CN"/>
        </w:rPr>
        <w:t>0</w:t>
      </w:r>
      <w:r>
        <w:rPr>
          <w:rFonts w:eastAsia="方正仿宋_GBK"/>
          <w:color w:val="000000" w:themeColor="text1"/>
          <w:sz w:val="32"/>
          <w:szCs w:val="32"/>
        </w:rPr>
        <w:t>人。</w:t>
      </w:r>
    </w:p>
    <w:p w14:paraId="25359DC3">
      <w:pPr>
        <w:spacing w:line="594" w:lineRule="exact"/>
        <w:ind w:firstLine="640" w:firstLineChars="200"/>
        <w:jc w:val="both"/>
        <w:rPr>
          <w:rFonts w:hint="default" w:ascii="Times New Roman" w:hAnsi="Times New Roman" w:eastAsia="方正仿宋_GBK"/>
          <w:sz w:val="32"/>
        </w:rPr>
      </w:pPr>
      <w:bookmarkStart w:id="11" w:name="_Toc6952_WPSOffice_Level1"/>
      <w:bookmarkStart w:id="12" w:name="_Toc5904_WPSOffice_Level1"/>
      <w:r>
        <w:rPr>
          <w:rFonts w:hint="default" w:ascii="方正楷体_GBK" w:hAnsi="方正楷体_GBK" w:eastAsia="方正楷体_GBK" w:cs="方正楷体_GBK"/>
          <w:kern w:val="2"/>
          <w:sz w:val="32"/>
          <w:szCs w:val="32"/>
        </w:rPr>
        <w:t>（三）</w:t>
      </w:r>
      <w:r>
        <w:rPr>
          <w:rFonts w:ascii="方正楷体_GBK" w:hAnsi="方正楷体_GBK" w:eastAsia="方正楷体_GBK" w:cs="方正楷体_GBK"/>
          <w:kern w:val="2"/>
          <w:sz w:val="32"/>
          <w:szCs w:val="32"/>
        </w:rPr>
        <w:t>单位构成</w:t>
      </w:r>
      <w:r>
        <w:rPr>
          <w:rFonts w:hint="default" w:ascii="方正楷体_GBK" w:hAnsi="方正楷体_GBK" w:eastAsia="方正楷体_GBK" w:cs="方正楷体_GBK"/>
          <w:kern w:val="2"/>
          <w:sz w:val="32"/>
          <w:szCs w:val="32"/>
        </w:rPr>
        <w:t>。</w:t>
      </w:r>
      <w:r>
        <w:rPr>
          <w:rFonts w:hint="default" w:ascii="Times New Roman" w:hAnsi="Times New Roman" w:eastAsia="方正仿宋_GBK"/>
          <w:color w:val="000000" w:themeColor="text1"/>
          <w:spacing w:val="-3"/>
          <w:sz w:val="32"/>
          <w:szCs w:val="32"/>
        </w:rPr>
        <w:t>本</w:t>
      </w:r>
      <w:r>
        <w:rPr>
          <w:rFonts w:hint="eastAsia" w:ascii="Times New Roman" w:hAnsi="Times New Roman" w:eastAsia="方正仿宋_GBK"/>
          <w:color w:val="000000" w:themeColor="text1"/>
          <w:spacing w:val="-3"/>
          <w:sz w:val="32"/>
          <w:szCs w:val="32"/>
          <w:lang w:val="en-US" w:eastAsia="zh-CN"/>
        </w:rPr>
        <w:t>中心系大石化新区建设管理委员会下属事业单位</w:t>
      </w:r>
      <w:r>
        <w:rPr>
          <w:rFonts w:ascii="Times New Roman" w:hAnsi="Times New Roman" w:eastAsia="方正仿宋_GBK"/>
          <w:color w:val="000000" w:themeColor="text1"/>
          <w:spacing w:val="-3"/>
          <w:sz w:val="32"/>
          <w:szCs w:val="32"/>
        </w:rPr>
        <w:t>。</w:t>
      </w:r>
    </w:p>
    <w:p w14:paraId="0669527A">
      <w:pPr>
        <w:spacing w:line="594" w:lineRule="exact"/>
        <w:ind w:firstLine="640" w:firstLineChars="200"/>
        <w:jc w:val="both"/>
        <w:rPr>
          <w:rFonts w:hint="default" w:ascii="Times New Roman" w:hAnsi="Times New Roman" w:eastAsia="方正仿宋_GBK"/>
          <w:sz w:val="32"/>
        </w:rPr>
      </w:pPr>
      <w:r>
        <w:rPr>
          <w:rFonts w:hint="default" w:ascii="方正楷体_GBK" w:hAnsi="方正楷体_GBK" w:eastAsia="方正楷体_GBK" w:cs="方正楷体_GBK"/>
          <w:kern w:val="2"/>
          <w:sz w:val="32"/>
          <w:szCs w:val="32"/>
        </w:rPr>
        <w:t>（四）机构改革情况。</w:t>
      </w:r>
      <w:r>
        <w:rPr>
          <w:rFonts w:hint="default" w:ascii="Times New Roman" w:hAnsi="Times New Roman" w:eastAsia="方正仿宋_GBK"/>
          <w:sz w:val="32"/>
        </w:rPr>
        <w:t>20</w:t>
      </w:r>
      <w:r>
        <w:rPr>
          <w:rFonts w:ascii="Times New Roman" w:hAnsi="Times New Roman" w:eastAsia="方正仿宋_GBK"/>
          <w:sz w:val="32"/>
        </w:rPr>
        <w:t>2</w:t>
      </w:r>
      <w:r>
        <w:rPr>
          <w:rFonts w:hint="eastAsia" w:ascii="Times New Roman" w:hAnsi="Times New Roman" w:eastAsia="方正仿宋_GBK"/>
          <w:sz w:val="32"/>
          <w:lang w:val="en-US" w:eastAsia="zh-CN"/>
        </w:rPr>
        <w:t>3</w:t>
      </w:r>
      <w:r>
        <w:rPr>
          <w:rFonts w:hint="default" w:ascii="Times New Roman" w:hAnsi="Times New Roman" w:eastAsia="方正仿宋_GBK"/>
          <w:sz w:val="32"/>
        </w:rPr>
        <w:t>年度</w:t>
      </w:r>
      <w:r>
        <w:rPr>
          <w:rFonts w:ascii="Times New Roman" w:hAnsi="Times New Roman" w:eastAsia="方正仿宋_GBK"/>
          <w:sz w:val="32"/>
        </w:rPr>
        <w:t>本</w:t>
      </w:r>
      <w:r>
        <w:rPr>
          <w:rFonts w:hint="eastAsia" w:ascii="Times New Roman" w:hAnsi="Times New Roman" w:eastAsia="方正仿宋_GBK"/>
          <w:sz w:val="32"/>
          <w:lang w:val="en-US" w:eastAsia="zh-CN"/>
        </w:rPr>
        <w:t>中心</w:t>
      </w:r>
      <w:r>
        <w:rPr>
          <w:rFonts w:hint="default" w:ascii="Times New Roman" w:hAnsi="Times New Roman" w:eastAsia="方正仿宋_GBK"/>
          <w:sz w:val="32"/>
        </w:rPr>
        <w:t>不涉及机构改革。</w:t>
      </w:r>
      <w:bookmarkStart w:id="22" w:name="_GoBack"/>
      <w:bookmarkEnd w:id="22"/>
    </w:p>
    <w:p w14:paraId="0059D71B">
      <w:pPr>
        <w:spacing w:line="594" w:lineRule="exact"/>
        <w:ind w:firstLine="640" w:firstLineChars="200"/>
        <w:jc w:val="both"/>
        <w:rPr>
          <w:rFonts w:hint="default" w:ascii="方正黑体_GBK" w:eastAsia="方正黑体_GBK" w:cs="宋体"/>
          <w:bCs/>
          <w:color w:val="000000" w:themeColor="text1"/>
          <w:sz w:val="32"/>
          <w:szCs w:val="32"/>
        </w:rPr>
      </w:pPr>
      <w:r>
        <w:rPr>
          <w:rFonts w:ascii="方正黑体_GBK" w:eastAsia="方正黑体_GBK" w:cs="宋体"/>
          <w:bCs/>
          <w:color w:val="000000" w:themeColor="text1"/>
          <w:sz w:val="32"/>
          <w:szCs w:val="32"/>
        </w:rPr>
        <w:t>二、部门决算情况说明</w:t>
      </w:r>
      <w:bookmarkEnd w:id="11"/>
      <w:bookmarkEnd w:id="12"/>
    </w:p>
    <w:p w14:paraId="04520769">
      <w:pPr>
        <w:spacing w:line="594" w:lineRule="exact"/>
        <w:ind w:firstLine="640" w:firstLineChars="200"/>
        <w:jc w:val="both"/>
        <w:rPr>
          <w:rFonts w:hint="default" w:ascii="方正楷体_GBK" w:hAnsi="方正楷体_GBK" w:eastAsia="方正楷体_GBK" w:cs="方正楷体_GBK"/>
          <w:kern w:val="2"/>
          <w:sz w:val="32"/>
          <w:szCs w:val="32"/>
        </w:rPr>
      </w:pPr>
      <w:r>
        <w:rPr>
          <w:rFonts w:ascii="方正楷体_GBK" w:hAnsi="方正楷体_GBK" w:eastAsia="方正楷体_GBK" w:cs="方正楷体_GBK"/>
          <w:kern w:val="2"/>
          <w:sz w:val="32"/>
          <w:szCs w:val="32"/>
        </w:rPr>
        <w:t>（一）收入支出决算总体情况说明</w:t>
      </w:r>
    </w:p>
    <w:p w14:paraId="713AA338">
      <w:pPr>
        <w:spacing w:line="594" w:lineRule="exact"/>
        <w:ind w:firstLine="643" w:firstLineChars="200"/>
        <w:jc w:val="both"/>
        <w:rPr>
          <w:rFonts w:hint="default" w:ascii="Times New Roman" w:hAnsi="Times New Roman" w:eastAsia="方正仿宋_GBK"/>
          <w:color w:val="000000" w:themeColor="text1"/>
          <w:spacing w:val="-3"/>
          <w:sz w:val="32"/>
          <w:szCs w:val="32"/>
          <w:lang w:val="en-US" w:eastAsia="zh-CN"/>
        </w:rPr>
      </w:pPr>
      <w:r>
        <w:rPr>
          <w:rFonts w:hint="default" w:ascii="Times New Roman" w:hAnsi="Times New Roman" w:eastAsia="方正仿宋_GBK"/>
          <w:b/>
          <w:bCs/>
          <w:color w:val="000000" w:themeColor="text1"/>
          <w:sz w:val="32"/>
          <w:szCs w:val="32"/>
        </w:rPr>
        <w:t>1.总体情况。</w:t>
      </w:r>
      <w:r>
        <w:rPr>
          <w:rFonts w:hint="eastAsia" w:ascii="Times New Roman" w:hAnsi="Times New Roman" w:eastAsia="方正仿宋_GBK"/>
          <w:color w:val="000000" w:themeColor="text1"/>
          <w:spacing w:val="-3"/>
          <w:sz w:val="32"/>
          <w:szCs w:val="32"/>
          <w:lang w:val="en-US" w:eastAsia="zh-CN"/>
        </w:rPr>
        <w:t>2023年度收入总计202.37万元，支出总计202.37万元。收支较上年决算数减少1.76万元,下降0.9%</w:t>
      </w:r>
      <w:r>
        <w:rPr>
          <w:rFonts w:hint="default" w:ascii="Times New Roman" w:hAnsi="Times New Roman" w:eastAsia="方正仿宋_GBK"/>
          <w:color w:val="000000" w:themeColor="text1"/>
          <w:spacing w:val="-3"/>
          <w:sz w:val="32"/>
          <w:szCs w:val="32"/>
          <w:lang w:val="en-US" w:eastAsia="zh-CN"/>
        </w:rPr>
        <w:t>，主要原因是20</w:t>
      </w:r>
      <w:r>
        <w:rPr>
          <w:rFonts w:hint="eastAsia" w:ascii="Times New Roman" w:hAnsi="Times New Roman" w:eastAsia="方正仿宋_GBK"/>
          <w:color w:val="000000" w:themeColor="text1"/>
          <w:spacing w:val="-3"/>
          <w:sz w:val="32"/>
          <w:szCs w:val="32"/>
          <w:lang w:val="en-US" w:eastAsia="zh-CN"/>
        </w:rPr>
        <w:t>23年基本支出减少，项目支出增加产生的差额</w:t>
      </w:r>
      <w:r>
        <w:rPr>
          <w:rFonts w:hint="default" w:ascii="Times New Roman" w:hAnsi="Times New Roman" w:eastAsia="方正仿宋_GBK"/>
          <w:color w:val="000000" w:themeColor="text1"/>
          <w:spacing w:val="-3"/>
          <w:sz w:val="32"/>
          <w:szCs w:val="32"/>
          <w:lang w:val="en-US" w:eastAsia="zh-CN"/>
        </w:rPr>
        <w:t>。</w:t>
      </w:r>
    </w:p>
    <w:p w14:paraId="4EC542B9">
      <w:pPr>
        <w:spacing w:line="594" w:lineRule="exact"/>
        <w:ind w:firstLine="643"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b/>
          <w:bCs/>
          <w:color w:val="000000" w:themeColor="text1"/>
          <w:sz w:val="32"/>
          <w:szCs w:val="32"/>
        </w:rPr>
        <w:t>2.收入情况。</w:t>
      </w:r>
      <w:r>
        <w:rPr>
          <w:rFonts w:hint="eastAsia" w:ascii="Times New Roman" w:hAnsi="Times New Roman" w:eastAsia="方正仿宋_GBK"/>
          <w:color w:val="000000" w:themeColor="text1"/>
          <w:spacing w:val="-3"/>
          <w:sz w:val="32"/>
          <w:szCs w:val="32"/>
          <w:lang w:val="en-US" w:eastAsia="zh-CN"/>
        </w:rPr>
        <w:t>2023年度收入合计202.37万元，较上年决算数减少1.76万元，下降0.9%</w:t>
      </w:r>
      <w:r>
        <w:rPr>
          <w:rFonts w:hint="default" w:ascii="Times New Roman" w:hAnsi="Times New Roman" w:eastAsia="方正仿宋_GBK"/>
          <w:color w:val="000000" w:themeColor="text1"/>
          <w:spacing w:val="-3"/>
          <w:sz w:val="32"/>
          <w:szCs w:val="32"/>
          <w:lang w:val="en-US" w:eastAsia="zh-CN"/>
        </w:rPr>
        <w:t>，主要原因是20</w:t>
      </w:r>
      <w:r>
        <w:rPr>
          <w:rFonts w:hint="eastAsia" w:ascii="Times New Roman" w:hAnsi="Times New Roman" w:eastAsia="方正仿宋_GBK"/>
          <w:color w:val="000000" w:themeColor="text1"/>
          <w:spacing w:val="-3"/>
          <w:sz w:val="32"/>
          <w:szCs w:val="32"/>
          <w:lang w:val="en-US" w:eastAsia="zh-CN"/>
        </w:rPr>
        <w:t>23年基本支出减少，项目支出增加产生的差额</w:t>
      </w:r>
      <w:r>
        <w:rPr>
          <w:rFonts w:hint="default" w:ascii="Times New Roman" w:hAnsi="Times New Roman" w:eastAsia="方正仿宋_GBK"/>
          <w:color w:val="000000" w:themeColor="text1"/>
          <w:spacing w:val="-3"/>
          <w:sz w:val="32"/>
          <w:szCs w:val="32"/>
        </w:rPr>
        <w:t>。</w:t>
      </w:r>
      <w:r>
        <w:rPr>
          <w:rFonts w:hint="default" w:ascii="Times New Roman" w:hAnsi="Times New Roman" w:eastAsia="方正仿宋_GBK"/>
          <w:color w:val="000000" w:themeColor="text1"/>
          <w:sz w:val="32"/>
          <w:szCs w:val="32"/>
        </w:rPr>
        <w:t>其中：财政拨款收入</w:t>
      </w:r>
      <w:r>
        <w:rPr>
          <w:rFonts w:hint="eastAsia" w:ascii="Times New Roman" w:hAnsi="Times New Roman" w:eastAsia="方正仿宋_GBK"/>
          <w:color w:val="000000" w:themeColor="text1"/>
          <w:sz w:val="32"/>
          <w:szCs w:val="32"/>
          <w:lang w:val="en-US" w:eastAsia="zh-CN"/>
        </w:rPr>
        <w:t>202.37</w:t>
      </w:r>
      <w:r>
        <w:rPr>
          <w:rFonts w:hint="default" w:ascii="Times New Roman" w:hAnsi="Times New Roman" w:eastAsia="方正仿宋_GBK"/>
          <w:color w:val="000000" w:themeColor="text1"/>
          <w:sz w:val="32"/>
          <w:szCs w:val="32"/>
        </w:rPr>
        <w:t>万元，占100</w:t>
      </w:r>
      <w:r>
        <w:rPr>
          <w:rFonts w:hint="eastAsia" w:ascii="Times New Roman" w:hAnsi="Times New Roman" w:eastAsia="方正仿宋_GBK"/>
          <w:color w:val="000000" w:themeColor="text1"/>
          <w:sz w:val="32"/>
          <w:szCs w:val="32"/>
          <w:lang w:val="en-US" w:eastAsia="zh-CN"/>
        </w:rPr>
        <w:t>.0</w:t>
      </w:r>
      <w:r>
        <w:rPr>
          <w:rFonts w:hint="default" w:ascii="Times New Roman" w:hAnsi="Times New Roman" w:eastAsia="方正仿宋_GBK"/>
          <w:color w:val="000000" w:themeColor="text1"/>
          <w:sz w:val="32"/>
          <w:szCs w:val="32"/>
        </w:rPr>
        <w:t>%；此外，年初结转和结余0.</w:t>
      </w:r>
      <w:r>
        <w:rPr>
          <w:rFonts w:hint="eastAsia" w:ascii="Times New Roman" w:hAnsi="Times New Roman" w:eastAsia="方正仿宋_GBK"/>
          <w:color w:val="000000" w:themeColor="text1"/>
          <w:sz w:val="32"/>
          <w:szCs w:val="32"/>
          <w:lang w:val="en-US" w:eastAsia="zh-CN"/>
        </w:rPr>
        <w:t>00</w:t>
      </w:r>
      <w:r>
        <w:rPr>
          <w:rFonts w:hint="default" w:ascii="Times New Roman" w:hAnsi="Times New Roman" w:eastAsia="方正仿宋_GBK"/>
          <w:color w:val="000000" w:themeColor="text1"/>
          <w:sz w:val="32"/>
          <w:szCs w:val="32"/>
        </w:rPr>
        <w:t>万元。</w:t>
      </w:r>
    </w:p>
    <w:p w14:paraId="401A1B60">
      <w:pPr>
        <w:spacing w:line="594" w:lineRule="exact"/>
        <w:ind w:firstLine="643" w:firstLineChars="200"/>
        <w:jc w:val="both"/>
        <w:rPr>
          <w:rFonts w:hint="default" w:ascii="Times New Roman" w:hAnsi="Times New Roman" w:eastAsia="方正仿宋_GBK"/>
          <w:color w:val="000000" w:themeColor="text1"/>
          <w:spacing w:val="-3"/>
          <w:sz w:val="32"/>
          <w:szCs w:val="32"/>
          <w:lang w:val="en-US" w:eastAsia="zh-CN"/>
        </w:rPr>
      </w:pPr>
      <w:r>
        <w:rPr>
          <w:rFonts w:hint="default" w:ascii="Times New Roman" w:hAnsi="Times New Roman" w:eastAsia="方正仿宋_GBK"/>
          <w:b/>
          <w:bCs/>
          <w:color w:val="000000" w:themeColor="text1"/>
          <w:sz w:val="32"/>
          <w:szCs w:val="32"/>
        </w:rPr>
        <w:t>3.支出情况。</w:t>
      </w:r>
      <w:r>
        <w:rPr>
          <w:rFonts w:hint="eastAsia" w:ascii="Times New Roman" w:hAnsi="Times New Roman" w:eastAsia="方正仿宋_GBK"/>
          <w:color w:val="000000" w:themeColor="text1"/>
          <w:spacing w:val="-3"/>
          <w:sz w:val="32"/>
          <w:szCs w:val="32"/>
          <w:lang w:val="en-US" w:eastAsia="zh-CN"/>
        </w:rPr>
        <w:t>2023年度支出合计202.37万元，较上年决算减少1.76万元，下降0.9%</w:t>
      </w:r>
      <w:r>
        <w:rPr>
          <w:rFonts w:hint="default" w:ascii="Times New Roman" w:hAnsi="Times New Roman" w:eastAsia="方正仿宋_GBK"/>
          <w:color w:val="000000" w:themeColor="text1"/>
          <w:spacing w:val="-3"/>
          <w:sz w:val="32"/>
          <w:szCs w:val="32"/>
        </w:rPr>
        <w:t>，</w:t>
      </w:r>
      <w:r>
        <w:rPr>
          <w:rFonts w:hint="default" w:ascii="Times New Roman" w:hAnsi="Times New Roman" w:eastAsia="方正仿宋_GBK"/>
          <w:color w:val="000000" w:themeColor="text1"/>
          <w:spacing w:val="-3"/>
          <w:sz w:val="32"/>
          <w:szCs w:val="32"/>
          <w:lang w:val="en-US" w:eastAsia="zh-CN"/>
        </w:rPr>
        <w:t>主要原因是</w:t>
      </w:r>
      <w:r>
        <w:rPr>
          <w:rFonts w:hint="eastAsia" w:ascii="Times New Roman" w:hAnsi="Times New Roman" w:eastAsia="方正仿宋_GBK"/>
          <w:color w:val="000000" w:themeColor="text1"/>
          <w:spacing w:val="-3"/>
          <w:sz w:val="32"/>
          <w:szCs w:val="32"/>
          <w:lang w:val="en-US" w:eastAsia="zh-CN"/>
        </w:rPr>
        <w:t>基本支出减少，项目支出增加产生的差额</w:t>
      </w:r>
      <w:r>
        <w:rPr>
          <w:rFonts w:hint="default" w:ascii="Times New Roman" w:hAnsi="Times New Roman" w:eastAsia="方正仿宋_GBK"/>
          <w:color w:val="000000" w:themeColor="text1"/>
          <w:sz w:val="32"/>
          <w:szCs w:val="32"/>
        </w:rPr>
        <w:t>。其中：</w:t>
      </w:r>
      <w:r>
        <w:rPr>
          <w:rFonts w:hint="eastAsia" w:ascii="Times New Roman" w:hAnsi="Times New Roman" w:eastAsia="方正仿宋_GBK"/>
          <w:color w:val="000000" w:themeColor="text1"/>
          <w:spacing w:val="-3"/>
          <w:sz w:val="32"/>
          <w:szCs w:val="32"/>
          <w:lang w:val="en-US" w:eastAsia="zh-CN"/>
        </w:rPr>
        <w:t>基本支出135.22万元，占66.82%；项目支出67.15万元，占33.18%</w:t>
      </w:r>
      <w:r>
        <w:rPr>
          <w:rFonts w:hint="default" w:ascii="Times New Roman" w:hAnsi="Times New Roman" w:eastAsia="方正仿宋_GBK"/>
          <w:color w:val="000000" w:themeColor="text1"/>
          <w:spacing w:val="-3"/>
          <w:sz w:val="32"/>
          <w:szCs w:val="32"/>
          <w:lang w:val="en-US" w:eastAsia="zh-CN"/>
        </w:rPr>
        <w:t>。</w:t>
      </w:r>
    </w:p>
    <w:p w14:paraId="042C11A5">
      <w:pPr>
        <w:spacing w:line="594" w:lineRule="exact"/>
        <w:ind w:firstLine="643" w:firstLineChars="200"/>
        <w:jc w:val="both"/>
        <w:rPr>
          <w:rFonts w:hint="default" w:ascii="Times New Roman" w:hAnsi="Times New Roman" w:eastAsia="方正仿宋_GBK"/>
          <w:color w:val="000000" w:themeColor="text1"/>
          <w:sz w:val="32"/>
          <w:szCs w:val="32"/>
          <w:lang w:val="en-US" w:eastAsia="zh-CN"/>
        </w:rPr>
      </w:pPr>
      <w:r>
        <w:rPr>
          <w:rFonts w:hint="default" w:ascii="Times New Roman" w:hAnsi="Times New Roman" w:eastAsia="方正仿宋_GBK"/>
          <w:b/>
          <w:bCs/>
          <w:color w:val="000000" w:themeColor="text1"/>
          <w:sz w:val="32"/>
          <w:szCs w:val="32"/>
        </w:rPr>
        <w:t>4.结转结余情况。</w:t>
      </w:r>
      <w:r>
        <w:rPr>
          <w:rFonts w:hint="default" w:ascii="Times New Roman" w:hAnsi="Times New Roman" w:eastAsia="方正仿宋_GBK"/>
          <w:color w:val="000000" w:themeColor="text1"/>
          <w:sz w:val="32"/>
          <w:szCs w:val="32"/>
        </w:rPr>
        <w:t>202</w:t>
      </w:r>
      <w:r>
        <w:rPr>
          <w:rFonts w:hint="eastAsia" w:ascii="Times New Roman" w:hAnsi="Times New Roman" w:eastAsia="方正仿宋_GBK"/>
          <w:color w:val="000000" w:themeColor="text1"/>
          <w:sz w:val="32"/>
          <w:szCs w:val="32"/>
          <w:lang w:val="en-US" w:eastAsia="zh-CN"/>
        </w:rPr>
        <w:t>3</w:t>
      </w:r>
      <w:r>
        <w:rPr>
          <w:rFonts w:hint="default" w:ascii="Times New Roman" w:hAnsi="Times New Roman" w:eastAsia="方正仿宋_GBK"/>
          <w:color w:val="000000" w:themeColor="text1"/>
          <w:sz w:val="32"/>
          <w:szCs w:val="32"/>
        </w:rPr>
        <w:t>度年末结转和结余0.</w:t>
      </w:r>
      <w:r>
        <w:rPr>
          <w:rFonts w:hint="eastAsia" w:ascii="Times New Roman" w:hAnsi="Times New Roman" w:eastAsia="方正仿宋_GBK"/>
          <w:color w:val="000000" w:themeColor="text1"/>
          <w:sz w:val="32"/>
          <w:szCs w:val="32"/>
          <w:lang w:val="en-US" w:eastAsia="zh-CN"/>
        </w:rPr>
        <w:t>00</w:t>
      </w:r>
      <w:r>
        <w:rPr>
          <w:rFonts w:hint="default" w:ascii="Times New Roman" w:hAnsi="Times New Roman" w:eastAsia="方正仿宋_GBK"/>
          <w:color w:val="000000" w:themeColor="text1"/>
          <w:sz w:val="32"/>
          <w:szCs w:val="32"/>
        </w:rPr>
        <w:t>万元，较上年决算数</w:t>
      </w:r>
      <w:r>
        <w:rPr>
          <w:rFonts w:hint="eastAsia" w:ascii="Times New Roman" w:hAnsi="Times New Roman" w:eastAsia="方正仿宋_GBK"/>
          <w:color w:val="000000" w:themeColor="text1"/>
          <w:sz w:val="32"/>
          <w:szCs w:val="32"/>
          <w:lang w:val="en-US" w:eastAsia="zh-CN"/>
        </w:rPr>
        <w:t>增加0.00万元</w:t>
      </w:r>
      <w:r>
        <w:rPr>
          <w:rFonts w:hint="default"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lang w:val="en-US" w:eastAsia="zh-CN"/>
        </w:rPr>
        <w:t>主要原因是本部门无结转和结余。</w:t>
      </w:r>
    </w:p>
    <w:p w14:paraId="7651534C">
      <w:pPr>
        <w:spacing w:line="594" w:lineRule="exact"/>
        <w:ind w:firstLine="643" w:firstLineChars="200"/>
        <w:jc w:val="both"/>
        <w:rPr>
          <w:rFonts w:hint="default" w:ascii="方正仿宋_GBK" w:eastAsia="方正仿宋_GBK" w:cs="宋体"/>
          <w:b/>
          <w:color w:val="000000" w:themeColor="text1"/>
          <w:sz w:val="32"/>
          <w:szCs w:val="32"/>
        </w:rPr>
      </w:pPr>
      <w:r>
        <w:rPr>
          <w:rFonts w:ascii="方正仿宋_GBK" w:eastAsia="方正仿宋_GBK" w:cs="宋体"/>
          <w:b/>
          <w:color w:val="000000" w:themeColor="text1"/>
          <w:sz w:val="32"/>
          <w:szCs w:val="32"/>
        </w:rPr>
        <w:t>（二）财政拨款收入支出决算总体情况说明</w:t>
      </w:r>
    </w:p>
    <w:p w14:paraId="26D0C7BA">
      <w:pPr>
        <w:spacing w:line="594" w:lineRule="exact"/>
        <w:ind w:firstLine="640" w:firstLineChars="200"/>
        <w:jc w:val="both"/>
        <w:rPr>
          <w:rFonts w:hint="eastAsia" w:ascii="Times New Roman" w:hAnsi="Times New Roman" w:eastAsia="方正仿宋_GBK"/>
          <w:color w:val="000000" w:themeColor="text1"/>
          <w:sz w:val="32"/>
          <w:szCs w:val="32"/>
          <w:lang w:val="en-US" w:eastAsia="zh-CN"/>
        </w:rPr>
      </w:pPr>
      <w:r>
        <w:rPr>
          <w:rFonts w:hint="eastAsia" w:ascii="Times New Roman" w:hAnsi="Times New Roman" w:eastAsia="方正仿宋_GBK"/>
          <w:color w:val="000000" w:themeColor="text1"/>
          <w:sz w:val="32"/>
          <w:szCs w:val="32"/>
          <w:lang w:val="en-US" w:eastAsia="zh-CN"/>
        </w:rPr>
        <w:t>2023年度财政拨款收、支总计202.37万元。与2022年相比，财政拨款收、支总计各减少1.76万元，下降0.9%</w:t>
      </w:r>
      <w:r>
        <w:rPr>
          <w:rFonts w:hint="default" w:ascii="Times New Roman" w:hAnsi="Times New Roman" w:eastAsia="方正仿宋_GBK"/>
          <w:bCs/>
          <w:color w:val="000000" w:themeColor="text1"/>
          <w:sz w:val="32"/>
          <w:szCs w:val="32"/>
        </w:rPr>
        <w:t>。主要原因是</w:t>
      </w:r>
      <w:r>
        <w:rPr>
          <w:rFonts w:hint="default" w:ascii="Times New Roman" w:hAnsi="Times New Roman" w:eastAsia="方正仿宋_GBK"/>
          <w:color w:val="000000" w:themeColor="text1"/>
          <w:spacing w:val="-3"/>
          <w:sz w:val="32"/>
          <w:szCs w:val="32"/>
          <w:lang w:val="en-US" w:eastAsia="zh-CN"/>
        </w:rPr>
        <w:t>主要原因是</w:t>
      </w:r>
      <w:r>
        <w:rPr>
          <w:rFonts w:hint="eastAsia" w:ascii="Times New Roman" w:hAnsi="Times New Roman" w:eastAsia="方正仿宋_GBK"/>
          <w:color w:val="000000" w:themeColor="text1"/>
          <w:spacing w:val="-3"/>
          <w:sz w:val="32"/>
          <w:szCs w:val="32"/>
          <w:lang w:val="en-US" w:eastAsia="zh-CN"/>
        </w:rPr>
        <w:t>基本支出减少，项目支出增加产生的差额</w:t>
      </w:r>
      <w:r>
        <w:rPr>
          <w:rFonts w:hint="eastAsia" w:ascii="Times New Roman" w:hAnsi="Times New Roman" w:eastAsia="方正仿宋_GBK"/>
          <w:color w:val="000000" w:themeColor="text1"/>
          <w:sz w:val="32"/>
          <w:szCs w:val="32"/>
          <w:lang w:val="en-US" w:eastAsia="zh-CN"/>
        </w:rPr>
        <w:t>。</w:t>
      </w:r>
    </w:p>
    <w:p w14:paraId="2BD41174">
      <w:pPr>
        <w:spacing w:line="594" w:lineRule="exact"/>
        <w:ind w:firstLine="643" w:firstLineChars="200"/>
        <w:jc w:val="both"/>
        <w:rPr>
          <w:rFonts w:hint="default" w:ascii="Times New Roman" w:hAnsi="Times New Roman" w:eastAsia="方正仿宋_GBK"/>
          <w:b/>
          <w:bCs/>
          <w:color w:val="000000" w:themeColor="text1"/>
          <w:sz w:val="32"/>
          <w:szCs w:val="32"/>
        </w:rPr>
      </w:pPr>
      <w:r>
        <w:rPr>
          <w:rFonts w:hint="default" w:ascii="Times New Roman" w:hAnsi="Times New Roman" w:eastAsia="方正仿宋_GBK"/>
          <w:b/>
          <w:bCs/>
          <w:color w:val="000000" w:themeColor="text1"/>
          <w:sz w:val="32"/>
          <w:szCs w:val="32"/>
        </w:rPr>
        <w:t>（三）一般公共预算财政拨款</w:t>
      </w:r>
      <w:r>
        <w:rPr>
          <w:rFonts w:hint="eastAsia" w:ascii="Times New Roman" w:hAnsi="Times New Roman" w:eastAsia="方正仿宋_GBK"/>
          <w:b/>
          <w:bCs/>
          <w:color w:val="000000" w:themeColor="text1"/>
          <w:sz w:val="32"/>
          <w:szCs w:val="32"/>
          <w:lang w:eastAsia="zh-CN"/>
        </w:rPr>
        <w:t>收入</w:t>
      </w:r>
      <w:r>
        <w:rPr>
          <w:rFonts w:hint="default" w:ascii="Times New Roman" w:hAnsi="Times New Roman" w:eastAsia="方正仿宋_GBK"/>
          <w:b/>
          <w:bCs/>
          <w:color w:val="000000" w:themeColor="text1"/>
          <w:sz w:val="32"/>
          <w:szCs w:val="32"/>
        </w:rPr>
        <w:t>支出决算情况说明</w:t>
      </w:r>
    </w:p>
    <w:p w14:paraId="76BD559F">
      <w:pPr>
        <w:spacing w:line="594" w:lineRule="exact"/>
        <w:ind w:firstLine="643" w:firstLineChars="200"/>
        <w:jc w:val="both"/>
        <w:rPr>
          <w:rFonts w:hint="default" w:ascii="Times New Roman" w:hAnsi="Times New Roman" w:eastAsia="方正仿宋_GBK"/>
          <w:color w:val="000000" w:themeColor="text1"/>
          <w:sz w:val="32"/>
          <w:szCs w:val="32"/>
          <w:lang w:val="en-US" w:eastAsia="zh-CN"/>
        </w:rPr>
      </w:pPr>
      <w:r>
        <w:rPr>
          <w:rFonts w:hint="default" w:ascii="Times New Roman" w:hAnsi="Times New Roman" w:eastAsia="方正仿宋_GBK"/>
          <w:b/>
          <w:bCs/>
          <w:color w:val="000000" w:themeColor="text1"/>
          <w:sz w:val="32"/>
          <w:szCs w:val="32"/>
        </w:rPr>
        <w:t>1.收入情况。</w:t>
      </w:r>
      <w:r>
        <w:rPr>
          <w:rFonts w:hint="eastAsia" w:ascii="Times New Roman" w:hAnsi="Times New Roman" w:eastAsia="方正仿宋_GBK"/>
          <w:color w:val="000000" w:themeColor="text1"/>
          <w:sz w:val="32"/>
          <w:szCs w:val="32"/>
          <w:lang w:val="en-US" w:eastAsia="zh-CN"/>
        </w:rPr>
        <w:t>2023年度一般公共预算财政拨款收入202.37万元，较上年决算数减少1.76万元，下降0.9%。</w:t>
      </w:r>
      <w:r>
        <w:rPr>
          <w:rFonts w:hint="default" w:ascii="Times New Roman" w:hAnsi="Times New Roman" w:eastAsia="方正仿宋_GBK"/>
          <w:color w:val="000000" w:themeColor="text1"/>
          <w:sz w:val="32"/>
          <w:szCs w:val="32"/>
          <w:lang w:val="en-US" w:eastAsia="zh-CN"/>
        </w:rPr>
        <w:t>主要原因是</w:t>
      </w:r>
      <w:r>
        <w:rPr>
          <w:rFonts w:hint="eastAsia" w:ascii="Times New Roman" w:hAnsi="Times New Roman" w:eastAsia="方正仿宋_GBK"/>
          <w:color w:val="000000" w:themeColor="text1"/>
          <w:spacing w:val="-3"/>
          <w:sz w:val="32"/>
          <w:szCs w:val="32"/>
          <w:lang w:val="en-US" w:eastAsia="zh-CN"/>
        </w:rPr>
        <w:t>基本支出减少，项目支出增加产生的差额</w:t>
      </w:r>
      <w:r>
        <w:rPr>
          <w:rFonts w:hint="default" w:ascii="Times New Roman" w:hAnsi="Times New Roman" w:eastAsia="方正仿宋_GBK"/>
          <w:color w:val="000000" w:themeColor="text1"/>
          <w:sz w:val="32"/>
          <w:szCs w:val="32"/>
          <w:lang w:val="en-US" w:eastAsia="zh-CN"/>
        </w:rPr>
        <w:t>。</w:t>
      </w:r>
      <w:r>
        <w:rPr>
          <w:rFonts w:hint="eastAsia" w:ascii="Times New Roman" w:hAnsi="Times New Roman" w:eastAsia="方正仿宋_GBK"/>
          <w:color w:val="000000" w:themeColor="text1"/>
          <w:sz w:val="32"/>
          <w:szCs w:val="32"/>
          <w:lang w:val="en-US" w:eastAsia="zh-CN"/>
        </w:rPr>
        <w:t>较年初预算数增加0.87万元，增长0.4%。</w:t>
      </w:r>
      <w:r>
        <w:rPr>
          <w:rFonts w:hint="default" w:ascii="Times New Roman" w:hAnsi="Times New Roman" w:eastAsia="方正仿宋_GBK"/>
          <w:bCs/>
          <w:color w:val="000000" w:themeColor="text1"/>
          <w:sz w:val="32"/>
          <w:szCs w:val="32"/>
          <w:highlight w:val="none"/>
        </w:rPr>
        <w:t>主要原因是</w:t>
      </w:r>
      <w:r>
        <w:rPr>
          <w:rFonts w:hint="default" w:ascii="Times New Roman" w:hAnsi="Times New Roman" w:eastAsia="方正仿宋_GBK"/>
          <w:color w:val="000000" w:themeColor="text1"/>
          <w:sz w:val="32"/>
          <w:szCs w:val="32"/>
        </w:rPr>
        <w:t>20</w:t>
      </w:r>
      <w:r>
        <w:rPr>
          <w:rFonts w:hint="eastAsia" w:ascii="Times New Roman" w:hAnsi="Times New Roman" w:eastAsia="方正仿宋_GBK"/>
          <w:color w:val="000000" w:themeColor="text1"/>
          <w:sz w:val="32"/>
          <w:szCs w:val="32"/>
          <w:lang w:val="en-US" w:eastAsia="zh-CN"/>
        </w:rPr>
        <w:t>23年年中事业编制人员增加2人</w:t>
      </w:r>
      <w:r>
        <w:rPr>
          <w:rFonts w:hint="default" w:ascii="Times New Roman" w:hAnsi="Times New Roman" w:eastAsia="方正仿宋_GBK"/>
          <w:color w:val="000000" w:themeColor="text1"/>
          <w:sz w:val="32"/>
          <w:szCs w:val="32"/>
          <w:lang w:val="en-US" w:eastAsia="zh-CN"/>
        </w:rPr>
        <w:t>。此外，年初财政拨款结转和结余0.</w:t>
      </w:r>
      <w:r>
        <w:rPr>
          <w:rFonts w:hint="eastAsia" w:ascii="Times New Roman" w:hAnsi="Times New Roman" w:eastAsia="方正仿宋_GBK"/>
          <w:color w:val="000000" w:themeColor="text1"/>
          <w:sz w:val="32"/>
          <w:szCs w:val="32"/>
          <w:lang w:val="en-US" w:eastAsia="zh-CN"/>
        </w:rPr>
        <w:t>00</w:t>
      </w:r>
      <w:r>
        <w:rPr>
          <w:rFonts w:hint="default" w:ascii="Times New Roman" w:hAnsi="Times New Roman" w:eastAsia="方正仿宋_GBK"/>
          <w:color w:val="000000" w:themeColor="text1"/>
          <w:sz w:val="32"/>
          <w:szCs w:val="32"/>
          <w:lang w:val="en-US" w:eastAsia="zh-CN"/>
        </w:rPr>
        <w:t>万元。</w:t>
      </w:r>
    </w:p>
    <w:p w14:paraId="139E50A4">
      <w:pPr>
        <w:spacing w:line="594" w:lineRule="exact"/>
        <w:ind w:firstLine="643"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b/>
          <w:bCs/>
          <w:color w:val="000000" w:themeColor="text1"/>
          <w:sz w:val="32"/>
          <w:szCs w:val="32"/>
        </w:rPr>
        <w:t>2.支出情况。</w:t>
      </w:r>
      <w:r>
        <w:rPr>
          <w:rFonts w:hint="eastAsia" w:ascii="Times New Roman" w:hAnsi="Times New Roman" w:eastAsia="方正仿宋_GBK"/>
          <w:color w:val="000000" w:themeColor="text1"/>
          <w:sz w:val="32"/>
          <w:szCs w:val="32"/>
          <w:lang w:val="en-US" w:eastAsia="zh-CN"/>
        </w:rPr>
        <w:t>2023年度一般公共预算财政拨款支出202.37万元，较上年决算数减少1.76万元，下降0.9%。</w:t>
      </w:r>
      <w:r>
        <w:rPr>
          <w:rFonts w:hint="default" w:ascii="Times New Roman" w:hAnsi="Times New Roman" w:eastAsia="方正仿宋_GBK"/>
          <w:color w:val="000000" w:themeColor="text1"/>
          <w:sz w:val="32"/>
          <w:szCs w:val="32"/>
          <w:lang w:val="en-US" w:eastAsia="zh-CN"/>
        </w:rPr>
        <w:t>主要原因是</w:t>
      </w:r>
      <w:r>
        <w:rPr>
          <w:rFonts w:hint="eastAsia" w:ascii="Times New Roman" w:hAnsi="Times New Roman" w:eastAsia="方正仿宋_GBK"/>
          <w:color w:val="000000" w:themeColor="text1"/>
          <w:spacing w:val="-3"/>
          <w:sz w:val="32"/>
          <w:szCs w:val="32"/>
          <w:lang w:val="en-US" w:eastAsia="zh-CN"/>
        </w:rPr>
        <w:t>基本支出减少，项目支出增加产生的差额</w:t>
      </w:r>
      <w:r>
        <w:rPr>
          <w:rFonts w:hint="default" w:ascii="Times New Roman" w:hAnsi="Times New Roman" w:eastAsia="方正仿宋_GBK"/>
          <w:color w:val="000000" w:themeColor="text1"/>
          <w:sz w:val="32"/>
          <w:szCs w:val="32"/>
          <w:lang w:val="en-US" w:eastAsia="zh-CN"/>
        </w:rPr>
        <w:t>。</w:t>
      </w:r>
      <w:r>
        <w:rPr>
          <w:rFonts w:hint="eastAsia" w:ascii="Times New Roman" w:hAnsi="Times New Roman" w:eastAsia="方正仿宋_GBK"/>
          <w:color w:val="000000" w:themeColor="text1"/>
          <w:sz w:val="32"/>
          <w:szCs w:val="32"/>
          <w:lang w:val="en-US" w:eastAsia="zh-CN"/>
        </w:rPr>
        <w:t>较年初预算数增加0.87万元，增长0.4%。</w:t>
      </w:r>
      <w:r>
        <w:rPr>
          <w:rFonts w:hint="default" w:ascii="Times New Roman" w:hAnsi="Times New Roman" w:eastAsia="方正仿宋_GBK"/>
          <w:bCs/>
          <w:color w:val="000000" w:themeColor="text1"/>
          <w:sz w:val="32"/>
          <w:szCs w:val="32"/>
          <w:highlight w:val="none"/>
        </w:rPr>
        <w:t>主要原因</w:t>
      </w:r>
      <w:r>
        <w:rPr>
          <w:rFonts w:hint="default" w:ascii="Times New Roman" w:hAnsi="Times New Roman" w:eastAsia="方正仿宋_GBK"/>
          <w:color w:val="000000" w:themeColor="text1"/>
          <w:sz w:val="32"/>
          <w:szCs w:val="32"/>
        </w:rPr>
        <w:t>20</w:t>
      </w:r>
      <w:r>
        <w:rPr>
          <w:rFonts w:hint="eastAsia" w:ascii="Times New Roman" w:hAnsi="Times New Roman" w:eastAsia="方正仿宋_GBK"/>
          <w:color w:val="000000" w:themeColor="text1"/>
          <w:sz w:val="32"/>
          <w:szCs w:val="32"/>
          <w:lang w:val="en-US" w:eastAsia="zh-CN"/>
        </w:rPr>
        <w:t>23年年中事业编制人员增加2人</w:t>
      </w:r>
      <w:r>
        <w:rPr>
          <w:rFonts w:hint="default" w:ascii="Times New Roman" w:hAnsi="Times New Roman" w:eastAsia="方正仿宋_GBK"/>
          <w:color w:val="000000" w:themeColor="text1"/>
          <w:sz w:val="32"/>
          <w:szCs w:val="32"/>
        </w:rPr>
        <w:t>。</w:t>
      </w:r>
    </w:p>
    <w:p w14:paraId="1FB10AD1">
      <w:pPr>
        <w:spacing w:line="594" w:lineRule="exact"/>
        <w:ind w:firstLine="643"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b/>
          <w:bCs/>
          <w:color w:val="000000" w:themeColor="text1"/>
          <w:sz w:val="32"/>
          <w:szCs w:val="32"/>
        </w:rPr>
        <w:t>3.结转结余情况。</w:t>
      </w:r>
      <w:r>
        <w:rPr>
          <w:rFonts w:hint="default" w:ascii="Times New Roman" w:hAnsi="Times New Roman" w:eastAsia="方正仿宋_GBK"/>
          <w:color w:val="000000" w:themeColor="text1"/>
          <w:sz w:val="32"/>
          <w:szCs w:val="32"/>
        </w:rPr>
        <w:t>202</w:t>
      </w:r>
      <w:r>
        <w:rPr>
          <w:rFonts w:hint="eastAsia" w:ascii="Times New Roman" w:hAnsi="Times New Roman" w:eastAsia="方正仿宋_GBK"/>
          <w:color w:val="000000" w:themeColor="text1"/>
          <w:sz w:val="32"/>
          <w:szCs w:val="32"/>
          <w:lang w:val="en-US" w:eastAsia="zh-CN"/>
        </w:rPr>
        <w:t>3</w:t>
      </w:r>
      <w:r>
        <w:rPr>
          <w:rFonts w:hint="default" w:ascii="Times New Roman" w:hAnsi="Times New Roman" w:eastAsia="方正仿宋_GBK"/>
          <w:color w:val="000000" w:themeColor="text1"/>
          <w:sz w:val="32"/>
          <w:szCs w:val="32"/>
        </w:rPr>
        <w:t>年度年末一般公共预算财政拨款结转和结余0.</w:t>
      </w:r>
      <w:r>
        <w:rPr>
          <w:rFonts w:hint="eastAsia" w:ascii="Times New Roman" w:hAnsi="Times New Roman" w:eastAsia="方正仿宋_GBK"/>
          <w:color w:val="000000" w:themeColor="text1"/>
          <w:sz w:val="32"/>
          <w:szCs w:val="32"/>
          <w:lang w:val="en-US" w:eastAsia="zh-CN"/>
        </w:rPr>
        <w:t>00</w:t>
      </w:r>
      <w:r>
        <w:rPr>
          <w:rFonts w:hint="default" w:ascii="Times New Roman" w:hAnsi="Times New Roman" w:eastAsia="方正仿宋_GBK"/>
          <w:color w:val="000000" w:themeColor="text1"/>
          <w:sz w:val="32"/>
          <w:szCs w:val="32"/>
        </w:rPr>
        <w:t>万元，较上年决算数</w:t>
      </w:r>
      <w:r>
        <w:rPr>
          <w:rFonts w:hint="eastAsia" w:ascii="Times New Roman" w:hAnsi="Times New Roman" w:eastAsia="方正仿宋_GBK"/>
          <w:color w:val="000000" w:themeColor="text1"/>
          <w:sz w:val="32"/>
          <w:szCs w:val="32"/>
          <w:lang w:val="en-US" w:eastAsia="zh-CN"/>
        </w:rPr>
        <w:t>持平</w:t>
      </w:r>
      <w:r>
        <w:rPr>
          <w:rFonts w:hint="default" w:ascii="Times New Roman" w:hAnsi="Times New Roman" w:eastAsia="方正仿宋_GBK"/>
          <w:color w:val="000000" w:themeColor="text1"/>
          <w:sz w:val="32"/>
          <w:szCs w:val="32"/>
        </w:rPr>
        <w:t>。</w:t>
      </w:r>
    </w:p>
    <w:p w14:paraId="0EC7B787">
      <w:pPr>
        <w:spacing w:line="594" w:lineRule="exact"/>
        <w:ind w:firstLine="643" w:firstLineChars="200"/>
        <w:jc w:val="both"/>
        <w:rPr>
          <w:rFonts w:hint="default" w:ascii="Times New Roman" w:hAnsi="Times New Roman" w:eastAsia="方正仿宋_GBK"/>
          <w:bCs/>
          <w:color w:val="000000" w:themeColor="text1"/>
          <w:sz w:val="32"/>
          <w:szCs w:val="32"/>
        </w:rPr>
      </w:pPr>
      <w:r>
        <w:rPr>
          <w:rFonts w:hint="default" w:ascii="Times New Roman" w:hAnsi="Times New Roman" w:eastAsia="方正仿宋_GBK"/>
          <w:b/>
          <w:color w:val="000000" w:themeColor="text1"/>
          <w:sz w:val="32"/>
          <w:szCs w:val="32"/>
        </w:rPr>
        <w:t>4.比较情况。</w:t>
      </w:r>
      <w:r>
        <w:rPr>
          <w:rFonts w:hint="default" w:ascii="Times New Roman" w:hAnsi="Times New Roman" w:eastAsia="方正仿宋_GBK"/>
          <w:bCs/>
          <w:color w:val="000000" w:themeColor="text1"/>
          <w:sz w:val="32"/>
          <w:szCs w:val="32"/>
        </w:rPr>
        <w:t>202</w:t>
      </w:r>
      <w:r>
        <w:rPr>
          <w:rFonts w:hint="eastAsia" w:ascii="Times New Roman" w:hAnsi="Times New Roman" w:eastAsia="方正仿宋_GBK"/>
          <w:bCs/>
          <w:color w:val="000000" w:themeColor="text1"/>
          <w:sz w:val="32"/>
          <w:szCs w:val="32"/>
          <w:lang w:val="en-US" w:eastAsia="zh-CN"/>
        </w:rPr>
        <w:t>3</w:t>
      </w:r>
      <w:r>
        <w:rPr>
          <w:rFonts w:hint="default" w:ascii="Times New Roman" w:hAnsi="Times New Roman" w:eastAsia="方正仿宋_GBK"/>
          <w:bCs/>
          <w:color w:val="000000" w:themeColor="text1"/>
          <w:sz w:val="32"/>
          <w:szCs w:val="32"/>
        </w:rPr>
        <w:t>年度一般公共预算财政拨款支出主要用于以下几个方面：</w:t>
      </w:r>
    </w:p>
    <w:p w14:paraId="4FA1D8D1">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default" w:ascii="Times New Roman" w:hAnsi="Times New Roman" w:eastAsia="方正仿宋_GBK"/>
          <w:bCs/>
          <w:color w:val="000000" w:themeColor="text1"/>
          <w:sz w:val="32"/>
          <w:szCs w:val="32"/>
        </w:rPr>
        <w:t>⑴</w:t>
      </w:r>
      <w:r>
        <w:rPr>
          <w:rFonts w:hint="eastAsia" w:ascii="Times New Roman" w:hAnsi="Times New Roman" w:eastAsia="方正仿宋_GBK"/>
          <w:color w:val="000000" w:themeColor="text1"/>
          <w:sz w:val="32"/>
          <w:szCs w:val="32"/>
          <w:lang w:val="en-US" w:eastAsia="zh-CN"/>
        </w:rPr>
        <w:t>一般公共服务支出171.44万元，占84.7%，较年初预算数减少4.03万元，下降2.3%，</w:t>
      </w:r>
      <w:r>
        <w:rPr>
          <w:rFonts w:hint="default" w:ascii="Times New Roman" w:hAnsi="Times New Roman" w:eastAsia="方正仿宋_GBK"/>
          <w:bCs/>
          <w:color w:val="000000" w:themeColor="text1"/>
          <w:sz w:val="32"/>
          <w:szCs w:val="32"/>
          <w:highlight w:val="none"/>
        </w:rPr>
        <w:t>主要原因是</w:t>
      </w:r>
      <w:r>
        <w:rPr>
          <w:rFonts w:hint="eastAsia" w:ascii="Times New Roman" w:hAnsi="Times New Roman" w:eastAsia="方正仿宋_GBK"/>
          <w:bCs/>
          <w:color w:val="000000" w:themeColor="text1"/>
          <w:sz w:val="32"/>
          <w:szCs w:val="32"/>
          <w:lang w:val="en-US" w:eastAsia="zh-CN"/>
        </w:rPr>
        <w:t>响应国家过紧日子号召，节约开支</w:t>
      </w:r>
      <w:r>
        <w:rPr>
          <w:rFonts w:hint="default" w:ascii="Times New Roman" w:hAnsi="Times New Roman" w:eastAsia="方正仿宋_GBK"/>
          <w:bCs/>
          <w:color w:val="000000" w:themeColor="text1"/>
          <w:sz w:val="32"/>
          <w:szCs w:val="32"/>
        </w:rPr>
        <w:t>。</w:t>
      </w:r>
    </w:p>
    <w:p w14:paraId="0FE9948C">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default" w:ascii="Times New Roman" w:hAnsi="Times New Roman" w:eastAsia="方正仿宋_GBK"/>
          <w:bCs/>
          <w:color w:val="000000" w:themeColor="text1"/>
          <w:sz w:val="32"/>
          <w:szCs w:val="32"/>
        </w:rPr>
        <w:t>⑵科学技术支出0</w:t>
      </w:r>
      <w:r>
        <w:rPr>
          <w:rFonts w:hint="eastAsia" w:ascii="Times New Roman" w:hAnsi="Times New Roman" w:eastAsia="方正仿宋_GBK"/>
          <w:bCs/>
          <w:color w:val="000000" w:themeColor="text1"/>
          <w:sz w:val="32"/>
          <w:szCs w:val="32"/>
          <w:lang w:val="en-US" w:eastAsia="zh-CN"/>
        </w:rPr>
        <w:t>.00</w:t>
      </w:r>
      <w:r>
        <w:rPr>
          <w:rFonts w:hint="default" w:ascii="Times New Roman" w:hAnsi="Times New Roman" w:eastAsia="方正仿宋_GBK"/>
          <w:bCs/>
          <w:color w:val="000000" w:themeColor="text1"/>
          <w:sz w:val="32"/>
          <w:szCs w:val="32"/>
        </w:rPr>
        <w:t>万元，占0</w:t>
      </w:r>
      <w:r>
        <w:rPr>
          <w:rFonts w:hint="eastAsia" w:ascii="Times New Roman" w:hAnsi="Times New Roman" w:eastAsia="方正仿宋_GBK"/>
          <w:bCs/>
          <w:color w:val="000000" w:themeColor="text1"/>
          <w:sz w:val="32"/>
          <w:szCs w:val="32"/>
          <w:lang w:val="en-US" w:eastAsia="zh-CN"/>
        </w:rPr>
        <w:t>.00</w:t>
      </w:r>
      <w:r>
        <w:rPr>
          <w:rFonts w:hint="default" w:ascii="Times New Roman" w:hAnsi="Times New Roman" w:eastAsia="方正仿宋_GBK"/>
          <w:bCs/>
          <w:color w:val="000000" w:themeColor="text1"/>
          <w:sz w:val="32"/>
          <w:szCs w:val="32"/>
        </w:rPr>
        <w:t>%，较年初预算数增加0万元，增长0.00%。</w:t>
      </w:r>
    </w:p>
    <w:p w14:paraId="4EDB160A">
      <w:pPr>
        <w:spacing w:line="594" w:lineRule="exact"/>
        <w:ind w:firstLine="640" w:firstLineChars="200"/>
        <w:jc w:val="both"/>
        <w:rPr>
          <w:rFonts w:hint="default" w:ascii="Times New Roman" w:hAnsi="Times New Roman" w:eastAsia="方正仿宋_GBK"/>
          <w:color w:val="000000" w:themeColor="text1"/>
          <w:sz w:val="32"/>
          <w:szCs w:val="32"/>
          <w:lang w:val="en-US" w:eastAsia="zh-CN"/>
        </w:rPr>
      </w:pPr>
      <w:r>
        <w:rPr>
          <w:rFonts w:hint="default" w:ascii="Times New Roman" w:hAnsi="Times New Roman" w:eastAsia="方正仿宋_GBK"/>
          <w:bCs/>
          <w:color w:val="000000" w:themeColor="text1"/>
          <w:sz w:val="32"/>
          <w:szCs w:val="32"/>
        </w:rPr>
        <w:t>⑶</w:t>
      </w:r>
      <w:r>
        <w:rPr>
          <w:rFonts w:hint="eastAsia" w:ascii="Times New Roman" w:hAnsi="Times New Roman" w:eastAsia="方正仿宋_GBK"/>
          <w:color w:val="000000" w:themeColor="text1"/>
          <w:sz w:val="32"/>
          <w:szCs w:val="32"/>
          <w:lang w:val="en-US" w:eastAsia="zh-CN"/>
        </w:rPr>
        <w:t>社会保障与就业支出11.94万元，占5.9%，</w:t>
      </w:r>
      <w:r>
        <w:rPr>
          <w:rFonts w:hint="default" w:ascii="Times New Roman" w:hAnsi="Times New Roman" w:eastAsia="方正仿宋_GBK"/>
          <w:color w:val="000000" w:themeColor="text1"/>
          <w:sz w:val="32"/>
          <w:szCs w:val="32"/>
          <w:lang w:val="en-US" w:eastAsia="zh-CN"/>
        </w:rPr>
        <w:t>较年初</w:t>
      </w:r>
      <w:r>
        <w:rPr>
          <w:rFonts w:hint="eastAsia" w:ascii="Times New Roman" w:hAnsi="Times New Roman" w:eastAsia="方正仿宋_GBK"/>
          <w:color w:val="000000" w:themeColor="text1"/>
          <w:sz w:val="32"/>
          <w:szCs w:val="32"/>
          <w:lang w:val="en-US" w:eastAsia="zh-CN"/>
        </w:rPr>
        <w:t>算数增加0.28，增长2.4%，主要原因是社保基数调增</w:t>
      </w:r>
      <w:r>
        <w:rPr>
          <w:rFonts w:hint="default" w:ascii="Times New Roman" w:hAnsi="Times New Roman" w:eastAsia="方正仿宋_GBK"/>
          <w:color w:val="000000" w:themeColor="text1"/>
          <w:sz w:val="32"/>
          <w:szCs w:val="32"/>
          <w:lang w:val="en-US" w:eastAsia="zh-CN"/>
        </w:rPr>
        <w:t>。</w:t>
      </w:r>
    </w:p>
    <w:p w14:paraId="1535C221">
      <w:pPr>
        <w:spacing w:line="594" w:lineRule="exact"/>
        <w:ind w:firstLine="640" w:firstLineChars="200"/>
        <w:jc w:val="both"/>
        <w:rPr>
          <w:rFonts w:hint="default" w:ascii="Times New Roman" w:hAnsi="Times New Roman" w:eastAsia="方正仿宋_GBK"/>
          <w:color w:val="000000" w:themeColor="text1"/>
          <w:sz w:val="32"/>
          <w:szCs w:val="32"/>
          <w:lang w:val="en-US" w:eastAsia="zh-CN"/>
        </w:rPr>
      </w:pPr>
      <w:r>
        <w:rPr>
          <w:rFonts w:hint="default" w:ascii="Times New Roman" w:hAnsi="Times New Roman" w:eastAsia="方正仿宋_GBK"/>
          <w:color w:val="000000" w:themeColor="text1"/>
          <w:sz w:val="32"/>
          <w:szCs w:val="32"/>
          <w:lang w:val="en-US" w:eastAsia="zh-CN"/>
        </w:rPr>
        <w:t>⑷</w:t>
      </w:r>
      <w:r>
        <w:rPr>
          <w:rFonts w:hint="eastAsia" w:ascii="Times New Roman" w:hAnsi="Times New Roman" w:eastAsia="方正仿宋_GBK"/>
          <w:color w:val="000000" w:themeColor="text1"/>
          <w:sz w:val="32"/>
          <w:szCs w:val="32"/>
          <w:lang w:val="en-US" w:eastAsia="zh-CN"/>
        </w:rPr>
        <w:t>卫生健康支出6.12万元，占3.0%，较年初预算数持平</w:t>
      </w:r>
      <w:r>
        <w:rPr>
          <w:rFonts w:hint="default" w:ascii="Times New Roman" w:hAnsi="Times New Roman" w:eastAsia="方正仿宋_GBK"/>
          <w:color w:val="000000" w:themeColor="text1"/>
          <w:sz w:val="32"/>
          <w:szCs w:val="32"/>
          <w:lang w:val="en-US" w:eastAsia="zh-CN"/>
        </w:rPr>
        <w:t>。</w:t>
      </w:r>
    </w:p>
    <w:p w14:paraId="4131845A">
      <w:pPr>
        <w:spacing w:line="594" w:lineRule="exact"/>
        <w:ind w:firstLine="640" w:firstLineChars="200"/>
        <w:jc w:val="both"/>
        <w:rPr>
          <w:rFonts w:hint="default" w:ascii="Times New Roman" w:hAnsi="Times New Roman" w:eastAsia="方正仿宋_GBK"/>
          <w:color w:val="000000" w:themeColor="text1"/>
          <w:sz w:val="32"/>
          <w:szCs w:val="32"/>
          <w:lang w:val="en-US" w:eastAsia="zh-CN"/>
        </w:rPr>
      </w:pPr>
      <w:r>
        <w:rPr>
          <w:rFonts w:hint="default" w:ascii="Times New Roman" w:hAnsi="Times New Roman" w:eastAsia="方正仿宋_GBK"/>
          <w:color w:val="000000" w:themeColor="text1"/>
          <w:sz w:val="32"/>
          <w:szCs w:val="32"/>
          <w:lang w:val="en-US" w:eastAsia="zh-CN"/>
        </w:rPr>
        <w:t>⑸城乡社区支出0.</w:t>
      </w:r>
      <w:r>
        <w:rPr>
          <w:rFonts w:hint="eastAsia" w:ascii="Times New Roman" w:hAnsi="Times New Roman" w:eastAsia="方正仿宋_GBK"/>
          <w:color w:val="000000" w:themeColor="text1"/>
          <w:sz w:val="32"/>
          <w:szCs w:val="32"/>
          <w:lang w:val="en-US" w:eastAsia="zh-CN"/>
        </w:rPr>
        <w:t>00</w:t>
      </w:r>
      <w:r>
        <w:rPr>
          <w:rFonts w:hint="default" w:ascii="Times New Roman" w:hAnsi="Times New Roman" w:eastAsia="方正仿宋_GBK"/>
          <w:color w:val="000000" w:themeColor="text1"/>
          <w:sz w:val="32"/>
          <w:szCs w:val="32"/>
          <w:lang w:val="en-US" w:eastAsia="zh-CN"/>
        </w:rPr>
        <w:t>万元，占0.0</w:t>
      </w:r>
      <w:r>
        <w:rPr>
          <w:rFonts w:hint="eastAsia" w:ascii="Times New Roman" w:hAnsi="Times New Roman" w:eastAsia="方正仿宋_GBK"/>
          <w:color w:val="000000" w:themeColor="text1"/>
          <w:sz w:val="32"/>
          <w:szCs w:val="32"/>
          <w:lang w:val="en-US" w:eastAsia="zh-CN"/>
        </w:rPr>
        <w:t>0</w:t>
      </w:r>
      <w:r>
        <w:rPr>
          <w:rFonts w:hint="default" w:ascii="Times New Roman" w:hAnsi="Times New Roman" w:eastAsia="方正仿宋_GBK"/>
          <w:color w:val="000000" w:themeColor="text1"/>
          <w:sz w:val="32"/>
          <w:szCs w:val="32"/>
          <w:lang w:val="en-US" w:eastAsia="zh-CN"/>
        </w:rPr>
        <w:t>%，较年初预算数</w:t>
      </w:r>
      <w:r>
        <w:rPr>
          <w:rFonts w:hint="eastAsia" w:ascii="Times New Roman" w:hAnsi="Times New Roman" w:eastAsia="方正仿宋_GBK"/>
          <w:color w:val="000000" w:themeColor="text1"/>
          <w:sz w:val="32"/>
          <w:szCs w:val="32"/>
          <w:lang w:val="en-US" w:eastAsia="zh-CN"/>
        </w:rPr>
        <w:t>持平</w:t>
      </w:r>
      <w:r>
        <w:rPr>
          <w:rFonts w:hint="default" w:ascii="Times New Roman" w:hAnsi="Times New Roman" w:eastAsia="方正仿宋_GBK"/>
          <w:color w:val="000000" w:themeColor="text1"/>
          <w:sz w:val="32"/>
          <w:szCs w:val="32"/>
          <w:lang w:val="en-US" w:eastAsia="zh-CN"/>
        </w:rPr>
        <w:t>。</w:t>
      </w:r>
    </w:p>
    <w:p w14:paraId="0B752541">
      <w:pPr>
        <w:spacing w:line="594" w:lineRule="exact"/>
        <w:ind w:firstLine="640" w:firstLineChars="200"/>
        <w:jc w:val="both"/>
        <w:rPr>
          <w:rFonts w:hint="default" w:ascii="Times New Roman" w:hAnsi="Times New Roman" w:eastAsia="方正仿宋_GBK"/>
          <w:color w:val="000000" w:themeColor="text1"/>
          <w:sz w:val="32"/>
          <w:szCs w:val="32"/>
          <w:lang w:val="en-US" w:eastAsia="zh-CN"/>
        </w:rPr>
      </w:pPr>
      <w:r>
        <w:rPr>
          <w:rFonts w:hint="default" w:ascii="Times New Roman" w:hAnsi="Times New Roman" w:eastAsia="方正仿宋_GBK"/>
          <w:color w:val="000000" w:themeColor="text1"/>
          <w:sz w:val="32"/>
          <w:szCs w:val="32"/>
          <w:lang w:val="en-US" w:eastAsia="zh-CN"/>
        </w:rPr>
        <w:t>⑹商业服务业等支出</w:t>
      </w:r>
      <w:r>
        <w:rPr>
          <w:rFonts w:hint="eastAsia" w:ascii="Times New Roman" w:hAnsi="Times New Roman" w:eastAsia="方正仿宋_GBK"/>
          <w:color w:val="000000" w:themeColor="text1"/>
          <w:sz w:val="32"/>
          <w:szCs w:val="32"/>
          <w:lang w:val="en-US" w:eastAsia="zh-CN"/>
        </w:rPr>
        <w:t>0.00</w:t>
      </w:r>
      <w:r>
        <w:rPr>
          <w:rFonts w:hint="default" w:ascii="Times New Roman" w:hAnsi="Times New Roman" w:eastAsia="方正仿宋_GBK"/>
          <w:color w:val="000000" w:themeColor="text1"/>
          <w:sz w:val="32"/>
          <w:szCs w:val="32"/>
          <w:lang w:val="en-US" w:eastAsia="zh-CN"/>
        </w:rPr>
        <w:t>万元，占</w:t>
      </w:r>
      <w:r>
        <w:rPr>
          <w:rFonts w:hint="eastAsia" w:ascii="Times New Roman" w:hAnsi="Times New Roman" w:eastAsia="方正仿宋_GBK"/>
          <w:color w:val="000000" w:themeColor="text1"/>
          <w:sz w:val="32"/>
          <w:szCs w:val="32"/>
          <w:lang w:val="en-US" w:eastAsia="zh-CN"/>
        </w:rPr>
        <w:t>0.00</w:t>
      </w:r>
      <w:r>
        <w:rPr>
          <w:rFonts w:hint="default" w:ascii="Times New Roman" w:hAnsi="Times New Roman" w:eastAsia="方正仿宋_GBK"/>
          <w:color w:val="000000" w:themeColor="text1"/>
          <w:sz w:val="32"/>
          <w:szCs w:val="32"/>
          <w:lang w:val="en-US" w:eastAsia="zh-CN"/>
        </w:rPr>
        <w:t>%，较年初预算数</w:t>
      </w:r>
      <w:r>
        <w:rPr>
          <w:rFonts w:hint="eastAsia" w:ascii="Times New Roman" w:hAnsi="Times New Roman" w:eastAsia="方正仿宋_GBK"/>
          <w:color w:val="000000" w:themeColor="text1"/>
          <w:sz w:val="32"/>
          <w:szCs w:val="32"/>
          <w:lang w:val="en-US" w:eastAsia="zh-CN"/>
        </w:rPr>
        <w:t>持平</w:t>
      </w:r>
      <w:r>
        <w:rPr>
          <w:rFonts w:hint="default" w:ascii="Times New Roman" w:hAnsi="Times New Roman" w:eastAsia="方正仿宋_GBK"/>
          <w:color w:val="000000" w:themeColor="text1"/>
          <w:sz w:val="32"/>
          <w:szCs w:val="32"/>
          <w:lang w:val="en-US" w:eastAsia="zh-CN"/>
        </w:rPr>
        <w:t>。</w:t>
      </w:r>
    </w:p>
    <w:p w14:paraId="7ACECF49">
      <w:pPr>
        <w:spacing w:line="594" w:lineRule="exact"/>
        <w:ind w:firstLine="640" w:firstLineChars="200"/>
        <w:jc w:val="both"/>
        <w:rPr>
          <w:rFonts w:hint="default" w:ascii="Times New Roman" w:hAnsi="Times New Roman" w:eastAsia="方正仿宋_GBK"/>
          <w:color w:val="000000" w:themeColor="text1"/>
          <w:sz w:val="32"/>
          <w:szCs w:val="32"/>
          <w:lang w:val="en-US" w:eastAsia="zh-CN"/>
        </w:rPr>
      </w:pPr>
      <w:r>
        <w:rPr>
          <w:rFonts w:hint="default" w:ascii="Times New Roman" w:hAnsi="Times New Roman" w:eastAsia="方正仿宋_GBK"/>
          <w:color w:val="000000" w:themeColor="text1"/>
          <w:sz w:val="32"/>
          <w:szCs w:val="32"/>
          <w:lang w:val="en-US" w:eastAsia="zh-CN"/>
        </w:rPr>
        <w:t>⑺</w:t>
      </w:r>
      <w:r>
        <w:rPr>
          <w:rFonts w:hint="eastAsia" w:ascii="Times New Roman" w:hAnsi="Times New Roman" w:eastAsia="方正仿宋_GBK"/>
          <w:color w:val="000000" w:themeColor="text1"/>
          <w:sz w:val="32"/>
          <w:szCs w:val="32"/>
          <w:lang w:val="en-US" w:eastAsia="zh-CN"/>
        </w:rPr>
        <w:t>住房保障支出12.86万元，占6.4%，较年初预算数增加4.6万元，增长55.7%，</w:t>
      </w:r>
      <w:r>
        <w:rPr>
          <w:rFonts w:hint="default" w:ascii="Times New Roman" w:hAnsi="Times New Roman" w:eastAsia="方正仿宋_GBK"/>
          <w:bCs/>
          <w:color w:val="000000" w:themeColor="text1"/>
          <w:sz w:val="32"/>
          <w:szCs w:val="32"/>
        </w:rPr>
        <w:t>主要原因是</w:t>
      </w:r>
      <w:r>
        <w:rPr>
          <w:rFonts w:hint="eastAsia" w:ascii="Times New Roman" w:hAnsi="Times New Roman" w:eastAsia="方正仿宋_GBK"/>
          <w:bCs/>
          <w:color w:val="000000" w:themeColor="text1"/>
          <w:sz w:val="32"/>
          <w:szCs w:val="32"/>
          <w:lang w:val="en-US" w:eastAsia="zh-CN"/>
        </w:rPr>
        <w:t>年中增加事业人员2名，故全年住房公积金增长</w:t>
      </w:r>
      <w:r>
        <w:rPr>
          <w:rFonts w:hint="eastAsia" w:ascii="Times New Roman" w:hAnsi="Times New Roman" w:eastAsia="方正仿宋_GBK"/>
          <w:color w:val="000000" w:themeColor="text1"/>
          <w:sz w:val="32"/>
          <w:szCs w:val="32"/>
          <w:lang w:val="en-US" w:eastAsia="zh-CN"/>
        </w:rPr>
        <w:t>。</w:t>
      </w:r>
    </w:p>
    <w:p w14:paraId="7C22C2B8">
      <w:pPr>
        <w:spacing w:line="594" w:lineRule="exact"/>
        <w:ind w:firstLine="643" w:firstLineChars="200"/>
        <w:jc w:val="both"/>
        <w:rPr>
          <w:rFonts w:hint="default" w:ascii="Times New Roman" w:hAnsi="Times New Roman" w:eastAsia="方正仿宋_GBK"/>
          <w:b/>
          <w:color w:val="000000" w:themeColor="text1"/>
          <w:sz w:val="32"/>
          <w:szCs w:val="32"/>
        </w:rPr>
      </w:pPr>
      <w:r>
        <w:rPr>
          <w:rFonts w:hint="default" w:ascii="Times New Roman" w:hAnsi="Times New Roman" w:eastAsia="方正仿宋_GBK"/>
          <w:b/>
          <w:color w:val="000000" w:themeColor="text1"/>
          <w:sz w:val="32"/>
          <w:szCs w:val="32"/>
        </w:rPr>
        <w:t>（四）一般公共预算财政拨款基本支出决算情况说明</w:t>
      </w:r>
    </w:p>
    <w:p w14:paraId="61B5D08D">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eastAsia" w:ascii="Times New Roman" w:hAnsi="Times New Roman" w:eastAsia="方正仿宋_GBK"/>
          <w:color w:val="000000" w:themeColor="text1"/>
          <w:sz w:val="32"/>
          <w:szCs w:val="32"/>
          <w:lang w:val="en-US" w:eastAsia="zh-CN"/>
        </w:rPr>
        <w:t>2023年度一般公共预算财政拨款基本支出135.22万元。其中：人员经费119.42万元，较上年决算数增加0.32万元，增长0.3%，</w:t>
      </w:r>
      <w:r>
        <w:rPr>
          <w:rFonts w:hint="default" w:ascii="Times New Roman" w:hAnsi="Times New Roman" w:eastAsia="方正仿宋_GBK"/>
          <w:color w:val="000000" w:themeColor="text1"/>
          <w:sz w:val="32"/>
          <w:szCs w:val="32"/>
          <w:highlight w:val="none"/>
          <w:lang w:val="en-US" w:eastAsia="zh-CN"/>
        </w:rPr>
        <w:t>主要</w:t>
      </w:r>
      <w:r>
        <w:rPr>
          <w:rFonts w:hint="default" w:ascii="Times New Roman" w:hAnsi="Times New Roman" w:eastAsia="方正仿宋_GBK"/>
          <w:bCs/>
          <w:color w:val="000000" w:themeColor="text1"/>
          <w:sz w:val="32"/>
          <w:szCs w:val="32"/>
          <w:highlight w:val="none"/>
        </w:rPr>
        <w:t>原因</w:t>
      </w:r>
      <w:r>
        <w:rPr>
          <w:rFonts w:hint="default" w:ascii="Times New Roman" w:hAnsi="Times New Roman" w:eastAsia="方正仿宋_GBK"/>
          <w:bCs/>
          <w:color w:val="000000" w:themeColor="text1"/>
          <w:sz w:val="32"/>
          <w:szCs w:val="32"/>
        </w:rPr>
        <w:t>是</w:t>
      </w:r>
      <w:r>
        <w:rPr>
          <w:rFonts w:hint="default" w:ascii="Times New Roman" w:hAnsi="Times New Roman" w:eastAsia="方正仿宋_GBK"/>
          <w:color w:val="000000" w:themeColor="text1"/>
          <w:sz w:val="32"/>
          <w:szCs w:val="32"/>
        </w:rPr>
        <w:t>20</w:t>
      </w:r>
      <w:r>
        <w:rPr>
          <w:rFonts w:hint="eastAsia" w:ascii="Times New Roman" w:hAnsi="Times New Roman" w:eastAsia="方正仿宋_GBK"/>
          <w:color w:val="000000" w:themeColor="text1"/>
          <w:sz w:val="32"/>
          <w:szCs w:val="32"/>
          <w:lang w:val="en-US" w:eastAsia="zh-CN"/>
        </w:rPr>
        <w:t>23年年中事业编制人员增加2人，故人员经费有年增长</w:t>
      </w:r>
      <w:r>
        <w:rPr>
          <w:rFonts w:hint="default" w:ascii="Times New Roman" w:hAnsi="Times New Roman" w:eastAsia="方正仿宋_GBK"/>
          <w:bCs/>
          <w:color w:val="000000" w:themeColor="text1"/>
          <w:sz w:val="32"/>
          <w:szCs w:val="32"/>
        </w:rPr>
        <w:t>。人员经费用途主要包括基本工资、津贴补贴、奖金、社会保障缴费等。</w:t>
      </w:r>
      <w:r>
        <w:rPr>
          <w:rFonts w:hint="eastAsia" w:ascii="Times New Roman" w:hAnsi="Times New Roman" w:eastAsia="方正仿宋_GBK"/>
          <w:color w:val="000000" w:themeColor="text1"/>
          <w:sz w:val="32"/>
          <w:szCs w:val="32"/>
          <w:lang w:val="en-US" w:eastAsia="zh-CN"/>
        </w:rPr>
        <w:t>公用经费15.8万元，较上年决算数减少10.47万元，下降39.86%</w:t>
      </w:r>
      <w:r>
        <w:rPr>
          <w:rFonts w:hint="default" w:ascii="Times New Roman" w:hAnsi="Times New Roman" w:eastAsia="方正仿宋_GBK"/>
          <w:color w:val="000000" w:themeColor="text1"/>
          <w:sz w:val="32"/>
          <w:szCs w:val="32"/>
          <w:lang w:val="en-US" w:eastAsia="zh-CN"/>
        </w:rPr>
        <w:t>，</w:t>
      </w:r>
      <w:r>
        <w:rPr>
          <w:rFonts w:hint="default" w:ascii="Times New Roman" w:hAnsi="Times New Roman" w:eastAsia="方正仿宋_GBK"/>
          <w:color w:val="000000" w:themeColor="text1"/>
          <w:sz w:val="32"/>
          <w:szCs w:val="32"/>
          <w:highlight w:val="none"/>
          <w:lang w:val="en-US" w:eastAsia="zh-CN"/>
        </w:rPr>
        <w:t>主要</w:t>
      </w:r>
      <w:r>
        <w:rPr>
          <w:rFonts w:hint="default" w:ascii="Times New Roman" w:hAnsi="Times New Roman" w:eastAsia="方正仿宋_GBK"/>
          <w:bCs/>
          <w:color w:val="000000" w:themeColor="text1"/>
          <w:sz w:val="32"/>
          <w:szCs w:val="32"/>
          <w:highlight w:val="none"/>
        </w:rPr>
        <w:t>原因</w:t>
      </w:r>
      <w:r>
        <w:rPr>
          <w:rFonts w:hint="default" w:ascii="Times New Roman" w:hAnsi="Times New Roman" w:eastAsia="方正仿宋_GBK"/>
          <w:bCs/>
          <w:color w:val="000000" w:themeColor="text1"/>
          <w:sz w:val="32"/>
          <w:szCs w:val="32"/>
        </w:rPr>
        <w:t>是</w:t>
      </w:r>
      <w:r>
        <w:rPr>
          <w:rFonts w:hint="eastAsia" w:ascii="Times New Roman" w:hAnsi="Times New Roman" w:eastAsia="方正仿宋_GBK"/>
          <w:bCs/>
          <w:color w:val="000000" w:themeColor="text1"/>
          <w:sz w:val="32"/>
          <w:szCs w:val="32"/>
          <w:lang w:val="en-US" w:eastAsia="zh-CN"/>
        </w:rPr>
        <w:t>响应国家过紧日子号召，节约开支</w:t>
      </w:r>
      <w:r>
        <w:rPr>
          <w:rFonts w:hint="default" w:ascii="Times New Roman" w:hAnsi="Times New Roman" w:eastAsia="方正仿宋_GBK"/>
          <w:bCs/>
          <w:color w:val="000000" w:themeColor="text1"/>
          <w:sz w:val="32"/>
          <w:szCs w:val="32"/>
        </w:rPr>
        <w:t>。公用经费用途主要包括办公费、印刷费、手续费、差旅费、会务接待培训费、水电费、物业费等日常运行开销费用。</w:t>
      </w:r>
    </w:p>
    <w:p w14:paraId="2B4E0BF6">
      <w:pPr>
        <w:spacing w:line="594" w:lineRule="exact"/>
        <w:ind w:firstLine="643" w:firstLineChars="200"/>
        <w:jc w:val="both"/>
        <w:rPr>
          <w:rFonts w:hint="default" w:ascii="Times New Roman" w:hAnsi="Times New Roman" w:eastAsia="方正仿宋_GBK"/>
          <w:b/>
          <w:color w:val="000000" w:themeColor="text1"/>
          <w:sz w:val="32"/>
          <w:szCs w:val="32"/>
        </w:rPr>
      </w:pPr>
      <w:r>
        <w:rPr>
          <w:rFonts w:hint="default" w:ascii="Times New Roman" w:hAnsi="Times New Roman" w:eastAsia="方正仿宋_GBK"/>
          <w:b/>
          <w:color w:val="000000" w:themeColor="text1"/>
          <w:sz w:val="32"/>
          <w:szCs w:val="32"/>
        </w:rPr>
        <w:t>（五）政府性基金预算收入支出决算情况说明</w:t>
      </w:r>
    </w:p>
    <w:p w14:paraId="21A0D64F">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lang w:val="en-US" w:eastAsia="zh-CN"/>
        </w:rPr>
        <w:t>本部门</w:t>
      </w:r>
      <w:r>
        <w:rPr>
          <w:rFonts w:hint="default" w:ascii="Times New Roman" w:hAnsi="Times New Roman" w:eastAsia="方正仿宋_GBK"/>
          <w:bCs/>
          <w:color w:val="000000" w:themeColor="text1"/>
          <w:sz w:val="32"/>
          <w:szCs w:val="32"/>
        </w:rPr>
        <w:t>202</w:t>
      </w:r>
      <w:r>
        <w:rPr>
          <w:rFonts w:hint="eastAsia" w:ascii="Times New Roman" w:hAnsi="Times New Roman" w:eastAsia="方正仿宋_GBK"/>
          <w:bCs/>
          <w:color w:val="000000" w:themeColor="text1"/>
          <w:sz w:val="32"/>
          <w:szCs w:val="32"/>
          <w:lang w:val="en-US" w:eastAsia="zh-CN"/>
        </w:rPr>
        <w:t>3</w:t>
      </w:r>
      <w:r>
        <w:rPr>
          <w:rFonts w:hint="default" w:ascii="Times New Roman" w:hAnsi="Times New Roman" w:eastAsia="方正仿宋_GBK"/>
          <w:bCs/>
          <w:color w:val="000000" w:themeColor="text1"/>
          <w:sz w:val="32"/>
          <w:szCs w:val="32"/>
        </w:rPr>
        <w:t>年度</w:t>
      </w:r>
      <w:r>
        <w:rPr>
          <w:rFonts w:hint="eastAsia" w:ascii="Times New Roman" w:hAnsi="Times New Roman" w:eastAsia="方正仿宋_GBK"/>
          <w:bCs/>
          <w:color w:val="000000" w:themeColor="text1"/>
          <w:sz w:val="32"/>
          <w:szCs w:val="32"/>
          <w:lang w:val="en-US" w:eastAsia="zh-CN"/>
        </w:rPr>
        <w:t>无</w:t>
      </w:r>
      <w:r>
        <w:rPr>
          <w:rFonts w:hint="default" w:ascii="Times New Roman" w:hAnsi="Times New Roman" w:eastAsia="方正仿宋_GBK"/>
          <w:bCs/>
          <w:color w:val="000000" w:themeColor="text1"/>
          <w:sz w:val="32"/>
          <w:szCs w:val="32"/>
        </w:rPr>
        <w:t>政府性基金预算财政拨款</w:t>
      </w:r>
      <w:r>
        <w:rPr>
          <w:rFonts w:hint="eastAsia" w:ascii="Times New Roman" w:hAnsi="Times New Roman" w:eastAsia="方正仿宋_GBK"/>
          <w:bCs/>
          <w:color w:val="000000" w:themeColor="text1"/>
          <w:sz w:val="32"/>
          <w:szCs w:val="32"/>
          <w:lang w:val="en-US" w:eastAsia="zh-CN"/>
        </w:rPr>
        <w:t>收</w:t>
      </w:r>
      <w:r>
        <w:rPr>
          <w:rFonts w:hint="default" w:ascii="Times New Roman" w:hAnsi="Times New Roman" w:eastAsia="方正仿宋_GBK"/>
          <w:bCs/>
          <w:color w:val="000000" w:themeColor="text1"/>
          <w:sz w:val="32"/>
          <w:szCs w:val="32"/>
        </w:rPr>
        <w:t>支</w:t>
      </w:r>
      <w:bookmarkStart w:id="13" w:name="_Toc25721_WPSOffice_Level1"/>
      <w:bookmarkStart w:id="14" w:name="_Toc18323_WPSOffice_Level1"/>
      <w:bookmarkStart w:id="15" w:name="RANGE_A1_G18"/>
      <w:r>
        <w:rPr>
          <w:rFonts w:ascii="Times New Roman" w:hAnsi="Times New Roman" w:eastAsia="方正仿宋_GBK"/>
          <w:bCs/>
          <w:color w:val="000000" w:themeColor="text1"/>
          <w:sz w:val="32"/>
          <w:szCs w:val="32"/>
        </w:rPr>
        <w:t>。</w:t>
      </w:r>
      <w:r>
        <w:rPr>
          <w:rFonts w:hint="default" w:ascii="Times New Roman" w:hAnsi="Times New Roman" w:eastAsia="方正仿宋_GBK"/>
          <w:bCs/>
          <w:color w:val="000000" w:themeColor="text1"/>
          <w:sz w:val="32"/>
          <w:szCs w:val="32"/>
        </w:rPr>
        <w:t>较</w:t>
      </w:r>
      <w:r>
        <w:rPr>
          <w:rFonts w:ascii="Times New Roman" w:hAnsi="Times New Roman" w:eastAsia="方正仿宋_GBK"/>
          <w:bCs/>
          <w:color w:val="000000" w:themeColor="text1"/>
          <w:sz w:val="32"/>
          <w:szCs w:val="32"/>
        </w:rPr>
        <w:t>上</w:t>
      </w:r>
      <w:r>
        <w:rPr>
          <w:rFonts w:hint="default" w:ascii="Times New Roman" w:hAnsi="Times New Roman" w:eastAsia="方正仿宋_GBK"/>
          <w:bCs/>
          <w:color w:val="000000" w:themeColor="text1"/>
          <w:sz w:val="32"/>
          <w:szCs w:val="32"/>
        </w:rPr>
        <w:t>年</w:t>
      </w:r>
      <w:r>
        <w:rPr>
          <w:rFonts w:hint="eastAsia" w:ascii="Times New Roman" w:hAnsi="Times New Roman" w:eastAsia="方正仿宋_GBK"/>
          <w:bCs/>
          <w:color w:val="000000" w:themeColor="text1"/>
          <w:sz w:val="32"/>
          <w:szCs w:val="32"/>
          <w:lang w:val="en-US" w:eastAsia="zh-CN"/>
        </w:rPr>
        <w:t>决算数和年初预算数持平</w:t>
      </w:r>
      <w:r>
        <w:rPr>
          <w:rFonts w:hint="default" w:ascii="Times New Roman" w:hAnsi="Times New Roman" w:eastAsia="方正仿宋_GBK"/>
          <w:bCs/>
          <w:color w:val="000000" w:themeColor="text1"/>
          <w:sz w:val="32"/>
          <w:szCs w:val="32"/>
        </w:rPr>
        <w:t>。</w:t>
      </w:r>
    </w:p>
    <w:p w14:paraId="1E69A99E">
      <w:pPr>
        <w:numPr>
          <w:ilvl w:val="0"/>
          <w:numId w:val="1"/>
        </w:numPr>
        <w:spacing w:line="594" w:lineRule="exact"/>
        <w:ind w:firstLine="643" w:firstLineChars="200"/>
        <w:jc w:val="both"/>
        <w:rPr>
          <w:rFonts w:hint="eastAsia" w:ascii="Times New Roman" w:hAnsi="Times New Roman" w:eastAsia="方正仿宋_GBK"/>
          <w:b/>
          <w:bCs w:val="0"/>
          <w:color w:val="000000" w:themeColor="text1"/>
          <w:sz w:val="32"/>
          <w:szCs w:val="32"/>
          <w:lang w:val="en-US" w:eastAsia="zh-CN"/>
        </w:rPr>
      </w:pPr>
      <w:r>
        <w:rPr>
          <w:rFonts w:hint="eastAsia" w:ascii="Times New Roman" w:hAnsi="Times New Roman" w:eastAsia="方正仿宋_GBK"/>
          <w:b/>
          <w:bCs w:val="0"/>
          <w:color w:val="000000" w:themeColor="text1"/>
          <w:sz w:val="32"/>
          <w:szCs w:val="32"/>
          <w:lang w:val="en-US" w:eastAsia="zh-CN"/>
        </w:rPr>
        <w:t>国有资本经营预算财政拨款支出决算情况说明</w:t>
      </w:r>
    </w:p>
    <w:p w14:paraId="7F8FEAEC">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lang w:val="en-US" w:eastAsia="zh-CN"/>
        </w:rPr>
        <w:t>本部门</w:t>
      </w:r>
      <w:r>
        <w:rPr>
          <w:rFonts w:hint="default" w:ascii="Times New Roman" w:hAnsi="Times New Roman" w:eastAsia="方正仿宋_GBK"/>
          <w:bCs/>
          <w:color w:val="000000" w:themeColor="text1"/>
          <w:sz w:val="32"/>
          <w:szCs w:val="32"/>
        </w:rPr>
        <w:t>202</w:t>
      </w:r>
      <w:r>
        <w:rPr>
          <w:rFonts w:hint="eastAsia" w:ascii="Times New Roman" w:hAnsi="Times New Roman" w:eastAsia="方正仿宋_GBK"/>
          <w:bCs/>
          <w:color w:val="000000" w:themeColor="text1"/>
          <w:sz w:val="32"/>
          <w:szCs w:val="32"/>
          <w:lang w:val="en-US" w:eastAsia="zh-CN"/>
        </w:rPr>
        <w:t>3</w:t>
      </w:r>
      <w:r>
        <w:rPr>
          <w:rFonts w:hint="default" w:ascii="Times New Roman" w:hAnsi="Times New Roman" w:eastAsia="方正仿宋_GBK"/>
          <w:bCs/>
          <w:color w:val="000000" w:themeColor="text1"/>
          <w:sz w:val="32"/>
          <w:szCs w:val="32"/>
        </w:rPr>
        <w:t>年度</w:t>
      </w:r>
      <w:r>
        <w:rPr>
          <w:rFonts w:hint="eastAsia" w:ascii="Times New Roman" w:hAnsi="Times New Roman" w:eastAsia="方正仿宋_GBK"/>
          <w:bCs/>
          <w:color w:val="000000" w:themeColor="text1"/>
          <w:sz w:val="32"/>
          <w:szCs w:val="32"/>
          <w:lang w:val="en-US" w:eastAsia="zh-CN"/>
        </w:rPr>
        <w:t>无国有资本经营</w:t>
      </w:r>
      <w:r>
        <w:rPr>
          <w:rFonts w:hint="default" w:ascii="Times New Roman" w:hAnsi="Times New Roman" w:eastAsia="方正仿宋_GBK"/>
          <w:bCs/>
          <w:color w:val="000000" w:themeColor="text1"/>
          <w:sz w:val="32"/>
          <w:szCs w:val="32"/>
        </w:rPr>
        <w:t>预算财政拨款</w:t>
      </w:r>
      <w:r>
        <w:rPr>
          <w:rFonts w:hint="eastAsia" w:ascii="Times New Roman" w:hAnsi="Times New Roman" w:eastAsia="方正仿宋_GBK"/>
          <w:bCs/>
          <w:color w:val="000000" w:themeColor="text1"/>
          <w:sz w:val="32"/>
          <w:szCs w:val="32"/>
          <w:lang w:val="en-US" w:eastAsia="zh-CN"/>
        </w:rPr>
        <w:t>收</w:t>
      </w:r>
      <w:r>
        <w:rPr>
          <w:rFonts w:hint="default" w:ascii="Times New Roman" w:hAnsi="Times New Roman" w:eastAsia="方正仿宋_GBK"/>
          <w:bCs/>
          <w:color w:val="000000" w:themeColor="text1"/>
          <w:sz w:val="32"/>
          <w:szCs w:val="32"/>
        </w:rPr>
        <w:t>支</w:t>
      </w:r>
      <w:r>
        <w:rPr>
          <w:rFonts w:ascii="Times New Roman" w:hAnsi="Times New Roman" w:eastAsia="方正仿宋_GBK"/>
          <w:bCs/>
          <w:color w:val="000000" w:themeColor="text1"/>
          <w:sz w:val="32"/>
          <w:szCs w:val="32"/>
        </w:rPr>
        <w:t>。</w:t>
      </w:r>
      <w:r>
        <w:rPr>
          <w:rFonts w:hint="default" w:ascii="Times New Roman" w:hAnsi="Times New Roman" w:eastAsia="方正仿宋_GBK"/>
          <w:bCs/>
          <w:color w:val="000000" w:themeColor="text1"/>
          <w:sz w:val="32"/>
          <w:szCs w:val="32"/>
        </w:rPr>
        <w:t>较</w:t>
      </w:r>
      <w:r>
        <w:rPr>
          <w:rFonts w:ascii="Times New Roman" w:hAnsi="Times New Roman" w:eastAsia="方正仿宋_GBK"/>
          <w:bCs/>
          <w:color w:val="000000" w:themeColor="text1"/>
          <w:sz w:val="32"/>
          <w:szCs w:val="32"/>
        </w:rPr>
        <w:t>上</w:t>
      </w:r>
      <w:r>
        <w:rPr>
          <w:rFonts w:hint="default" w:ascii="Times New Roman" w:hAnsi="Times New Roman" w:eastAsia="方正仿宋_GBK"/>
          <w:bCs/>
          <w:color w:val="000000" w:themeColor="text1"/>
          <w:sz w:val="32"/>
          <w:szCs w:val="32"/>
        </w:rPr>
        <w:t>年</w:t>
      </w:r>
      <w:r>
        <w:rPr>
          <w:rFonts w:hint="eastAsia" w:ascii="Times New Roman" w:hAnsi="Times New Roman" w:eastAsia="方正仿宋_GBK"/>
          <w:bCs/>
          <w:color w:val="000000" w:themeColor="text1"/>
          <w:sz w:val="32"/>
          <w:szCs w:val="32"/>
          <w:lang w:val="en-US" w:eastAsia="zh-CN"/>
        </w:rPr>
        <w:t>决算数和年初预算数持平</w:t>
      </w:r>
      <w:r>
        <w:rPr>
          <w:rFonts w:hint="default" w:ascii="Times New Roman" w:hAnsi="Times New Roman" w:eastAsia="方正仿宋_GBK"/>
          <w:bCs/>
          <w:color w:val="000000" w:themeColor="text1"/>
          <w:sz w:val="32"/>
          <w:szCs w:val="32"/>
        </w:rPr>
        <w:t>。</w:t>
      </w:r>
    </w:p>
    <w:p w14:paraId="4CCD4E13">
      <w:pPr>
        <w:numPr>
          <w:ilvl w:val="0"/>
          <w:numId w:val="0"/>
        </w:numPr>
        <w:spacing w:line="594" w:lineRule="exact"/>
        <w:jc w:val="both"/>
        <w:rPr>
          <w:rFonts w:hint="default" w:ascii="Times New Roman" w:hAnsi="Times New Roman" w:eastAsia="方正仿宋_GBK"/>
          <w:b/>
          <w:bCs w:val="0"/>
          <w:color w:val="000000" w:themeColor="text1"/>
          <w:sz w:val="32"/>
          <w:szCs w:val="32"/>
          <w:lang w:val="en-US" w:eastAsia="zh-CN"/>
        </w:rPr>
      </w:pPr>
    </w:p>
    <w:p w14:paraId="6CBA834D">
      <w:pPr>
        <w:spacing w:line="594" w:lineRule="exact"/>
        <w:ind w:firstLine="640" w:firstLineChars="200"/>
        <w:jc w:val="both"/>
        <w:rPr>
          <w:rFonts w:hint="default" w:ascii="Times New Roman" w:hAnsi="Times New Roman" w:eastAsia="方正黑体_GBK"/>
          <w:bCs/>
          <w:color w:val="000000" w:themeColor="text1"/>
          <w:sz w:val="32"/>
          <w:szCs w:val="32"/>
        </w:rPr>
      </w:pPr>
      <w:r>
        <w:rPr>
          <w:rFonts w:hint="default" w:ascii="Times New Roman" w:hAnsi="Times New Roman" w:eastAsia="方正黑体_GBK"/>
          <w:bCs/>
          <w:color w:val="000000" w:themeColor="text1"/>
          <w:sz w:val="32"/>
          <w:szCs w:val="32"/>
        </w:rPr>
        <w:t>三、“三公”经费情况说明</w:t>
      </w:r>
      <w:bookmarkEnd w:id="13"/>
      <w:bookmarkEnd w:id="14"/>
    </w:p>
    <w:p w14:paraId="44072D92">
      <w:pPr>
        <w:spacing w:line="594" w:lineRule="exact"/>
        <w:ind w:firstLine="643" w:firstLineChars="200"/>
        <w:jc w:val="both"/>
        <w:rPr>
          <w:rFonts w:hint="default" w:ascii="Times New Roman" w:hAnsi="Times New Roman" w:eastAsia="方正仿宋_GBK"/>
          <w:b/>
          <w:color w:val="000000" w:themeColor="text1"/>
          <w:sz w:val="32"/>
          <w:szCs w:val="32"/>
        </w:rPr>
      </w:pPr>
      <w:r>
        <w:rPr>
          <w:rFonts w:hint="default" w:ascii="Times New Roman" w:hAnsi="Times New Roman" w:eastAsia="方正仿宋_GBK"/>
          <w:b/>
          <w:color w:val="000000" w:themeColor="text1"/>
          <w:sz w:val="32"/>
          <w:szCs w:val="32"/>
        </w:rPr>
        <w:t>（一）“三公”经费支出总体情况</w:t>
      </w:r>
    </w:p>
    <w:p w14:paraId="38E88752">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default" w:ascii="Times New Roman" w:hAnsi="Times New Roman" w:eastAsia="方正仿宋_GBK"/>
          <w:bCs/>
          <w:color w:val="000000" w:themeColor="text1"/>
          <w:sz w:val="32"/>
          <w:szCs w:val="32"/>
        </w:rPr>
        <w:t>202</w:t>
      </w:r>
      <w:r>
        <w:rPr>
          <w:rFonts w:hint="eastAsia" w:ascii="Times New Roman" w:hAnsi="Times New Roman" w:eastAsia="方正仿宋_GBK"/>
          <w:bCs/>
          <w:color w:val="000000" w:themeColor="text1"/>
          <w:sz w:val="32"/>
          <w:szCs w:val="32"/>
          <w:lang w:val="en-US" w:eastAsia="zh-CN"/>
        </w:rPr>
        <w:t>3</w:t>
      </w:r>
      <w:r>
        <w:rPr>
          <w:rFonts w:hint="default" w:ascii="Times New Roman" w:hAnsi="Times New Roman" w:eastAsia="方正仿宋_GBK"/>
          <w:bCs/>
          <w:color w:val="000000" w:themeColor="text1"/>
          <w:sz w:val="32"/>
          <w:szCs w:val="32"/>
        </w:rPr>
        <w:t>年度“三公”经费支出共计</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万元，较年初预算数增加</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万元，增长</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w:t>
      </w:r>
      <w:r>
        <w:rPr>
          <w:rFonts w:hint="eastAsia" w:ascii="Times New Roman" w:hAnsi="Times New Roman" w:eastAsia="方正仿宋_GBK"/>
          <w:bCs/>
          <w:color w:val="000000" w:themeColor="text1"/>
          <w:sz w:val="32"/>
          <w:szCs w:val="32"/>
          <w:lang w:val="en-US" w:eastAsia="zh-CN"/>
        </w:rPr>
        <w:t>和</w:t>
      </w:r>
      <w:r>
        <w:rPr>
          <w:rFonts w:hint="default" w:ascii="Times New Roman" w:hAnsi="Times New Roman" w:eastAsia="方正仿宋_GBK"/>
          <w:bCs/>
          <w:color w:val="000000" w:themeColor="text1"/>
          <w:sz w:val="32"/>
          <w:szCs w:val="32"/>
        </w:rPr>
        <w:t>上年支出数</w:t>
      </w:r>
      <w:r>
        <w:rPr>
          <w:rFonts w:hint="eastAsia" w:ascii="Times New Roman" w:hAnsi="Times New Roman" w:eastAsia="方正仿宋_GBK"/>
          <w:bCs/>
          <w:color w:val="000000" w:themeColor="text1"/>
          <w:sz w:val="32"/>
          <w:szCs w:val="32"/>
          <w:lang w:val="en-US" w:eastAsia="zh-CN"/>
        </w:rPr>
        <w:t>持平</w:t>
      </w:r>
      <w:r>
        <w:rPr>
          <w:rFonts w:hint="default" w:ascii="Times New Roman" w:hAnsi="Times New Roman" w:eastAsia="方正仿宋_GBK"/>
          <w:color w:val="000000" w:themeColor="text1"/>
          <w:sz w:val="32"/>
          <w:szCs w:val="32"/>
          <w:shd w:val="clear" w:color="auto" w:fill="FFFFFF"/>
        </w:rPr>
        <w:t>。</w:t>
      </w:r>
    </w:p>
    <w:p w14:paraId="34DFF792">
      <w:pPr>
        <w:spacing w:line="594" w:lineRule="exact"/>
        <w:ind w:firstLine="643" w:firstLineChars="200"/>
        <w:jc w:val="both"/>
        <w:rPr>
          <w:rFonts w:hint="default" w:ascii="Times New Roman" w:hAnsi="Times New Roman" w:eastAsia="方正仿宋_GBK"/>
          <w:b/>
          <w:color w:val="000000" w:themeColor="text1"/>
          <w:sz w:val="32"/>
          <w:szCs w:val="32"/>
        </w:rPr>
      </w:pPr>
      <w:r>
        <w:rPr>
          <w:rFonts w:hint="default" w:ascii="Times New Roman" w:hAnsi="Times New Roman" w:eastAsia="方正仿宋_GBK"/>
          <w:b/>
          <w:color w:val="000000" w:themeColor="text1"/>
          <w:sz w:val="32"/>
          <w:szCs w:val="32"/>
        </w:rPr>
        <w:t>（二）“三公”经费分项支出情况</w:t>
      </w:r>
    </w:p>
    <w:p w14:paraId="118FBEEE">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default" w:ascii="Times New Roman" w:hAnsi="Times New Roman" w:eastAsia="方正仿宋_GBK"/>
          <w:bCs/>
          <w:color w:val="000000" w:themeColor="text1"/>
          <w:sz w:val="32"/>
          <w:szCs w:val="32"/>
        </w:rPr>
        <w:t>202</w:t>
      </w:r>
      <w:r>
        <w:rPr>
          <w:rFonts w:hint="eastAsia" w:ascii="Times New Roman" w:hAnsi="Times New Roman" w:eastAsia="方正仿宋_GBK"/>
          <w:bCs/>
          <w:color w:val="000000" w:themeColor="text1"/>
          <w:sz w:val="32"/>
          <w:szCs w:val="32"/>
          <w:lang w:val="en-US" w:eastAsia="zh-CN"/>
        </w:rPr>
        <w:t>3</w:t>
      </w:r>
      <w:r>
        <w:rPr>
          <w:rFonts w:hint="default" w:ascii="Times New Roman" w:hAnsi="Times New Roman" w:eastAsia="方正仿宋_GBK"/>
          <w:bCs/>
          <w:color w:val="000000" w:themeColor="text1"/>
          <w:sz w:val="32"/>
          <w:szCs w:val="32"/>
        </w:rPr>
        <w:t>年度因公出国（境）费用0万元，主要是用于因公出国（境）事由。费用支出与年初预算数持平，较上年支出数</w:t>
      </w:r>
      <w:r>
        <w:rPr>
          <w:rFonts w:ascii="Times New Roman" w:hAnsi="Times New Roman" w:eastAsia="方正仿宋_GBK"/>
          <w:bCs/>
          <w:color w:val="000000" w:themeColor="text1"/>
          <w:sz w:val="32"/>
          <w:szCs w:val="32"/>
        </w:rPr>
        <w:t>持</w:t>
      </w:r>
      <w:r>
        <w:rPr>
          <w:rFonts w:hint="default" w:ascii="Times New Roman" w:hAnsi="Times New Roman" w:eastAsia="方正仿宋_GBK"/>
          <w:bCs/>
          <w:color w:val="000000" w:themeColor="text1"/>
          <w:sz w:val="32"/>
          <w:szCs w:val="32"/>
        </w:rPr>
        <w:t>平，主要原因202</w:t>
      </w:r>
      <w:r>
        <w:rPr>
          <w:rFonts w:hint="eastAsia" w:ascii="Times New Roman" w:hAnsi="Times New Roman" w:eastAsia="方正仿宋_GBK"/>
          <w:bCs/>
          <w:color w:val="000000" w:themeColor="text1"/>
          <w:sz w:val="32"/>
          <w:szCs w:val="32"/>
          <w:lang w:val="en-US" w:eastAsia="zh-CN"/>
        </w:rPr>
        <w:t>3</w:t>
      </w:r>
      <w:r>
        <w:rPr>
          <w:rFonts w:hint="default" w:ascii="Times New Roman" w:hAnsi="Times New Roman" w:eastAsia="方正仿宋_GBK"/>
          <w:bCs/>
          <w:color w:val="000000" w:themeColor="text1"/>
          <w:sz w:val="32"/>
          <w:szCs w:val="32"/>
        </w:rPr>
        <w:t>年度未涉及因公出国（境）事项。</w:t>
      </w:r>
    </w:p>
    <w:p w14:paraId="79E0CE4B">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default" w:ascii="Times New Roman" w:hAnsi="Times New Roman" w:eastAsia="方正仿宋_GBK"/>
          <w:bCs/>
          <w:color w:val="000000" w:themeColor="text1"/>
          <w:sz w:val="32"/>
          <w:szCs w:val="32"/>
        </w:rPr>
        <w:t>公务车购置费0万元</w:t>
      </w:r>
      <w:r>
        <w:rPr>
          <w:rFonts w:ascii="Times New Roman" w:hAnsi="Times New Roman" w:eastAsia="方正仿宋_GBK"/>
          <w:bCs/>
          <w:color w:val="000000" w:themeColor="text1"/>
          <w:sz w:val="32"/>
          <w:szCs w:val="32"/>
        </w:rPr>
        <w:t>，202</w:t>
      </w:r>
      <w:r>
        <w:rPr>
          <w:rFonts w:hint="eastAsia" w:ascii="Times New Roman" w:hAnsi="Times New Roman" w:eastAsia="方正仿宋_GBK"/>
          <w:bCs/>
          <w:color w:val="000000" w:themeColor="text1"/>
          <w:sz w:val="32"/>
          <w:szCs w:val="32"/>
          <w:lang w:val="en-US" w:eastAsia="zh-CN"/>
        </w:rPr>
        <w:t>3</w:t>
      </w:r>
      <w:r>
        <w:rPr>
          <w:rFonts w:ascii="Times New Roman" w:hAnsi="Times New Roman" w:eastAsia="方正仿宋_GBK"/>
          <w:bCs/>
          <w:color w:val="000000" w:themeColor="text1"/>
          <w:sz w:val="32"/>
          <w:szCs w:val="32"/>
        </w:rPr>
        <w:t>年</w:t>
      </w:r>
      <w:r>
        <w:rPr>
          <w:rFonts w:hint="default" w:ascii="Times New Roman" w:hAnsi="Times New Roman" w:eastAsia="方正仿宋_GBK"/>
          <w:bCs/>
          <w:color w:val="000000" w:themeColor="text1"/>
          <w:sz w:val="32"/>
          <w:szCs w:val="32"/>
        </w:rPr>
        <w:t>度未涉及公务车购置。</w:t>
      </w:r>
    </w:p>
    <w:p w14:paraId="1D755565">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default" w:ascii="Times New Roman" w:hAnsi="Times New Roman" w:eastAsia="方正仿宋_GBK"/>
          <w:bCs/>
          <w:color w:val="000000" w:themeColor="text1"/>
          <w:sz w:val="32"/>
          <w:szCs w:val="32"/>
        </w:rPr>
        <w:t>公务车运行维护费</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万元，主要用于市内因公出行等工作所需车辆的燃料费、维修费保险费等，费用支出较年初预算数</w:t>
      </w:r>
      <w:r>
        <w:rPr>
          <w:rFonts w:hint="eastAsia" w:ascii="Times New Roman" w:hAnsi="Times New Roman" w:eastAsia="方正仿宋_GBK"/>
          <w:bCs/>
          <w:color w:val="000000" w:themeColor="text1"/>
          <w:sz w:val="32"/>
          <w:szCs w:val="32"/>
          <w:lang w:val="en-US" w:eastAsia="zh-CN"/>
        </w:rPr>
        <w:t>持平</w:t>
      </w:r>
      <w:r>
        <w:rPr>
          <w:rFonts w:hint="default" w:ascii="Times New Roman" w:hAnsi="Times New Roman" w:eastAsia="方正仿宋_GBK"/>
          <w:bCs/>
          <w:color w:val="000000" w:themeColor="text1"/>
          <w:sz w:val="32"/>
          <w:szCs w:val="32"/>
        </w:rPr>
        <w:t>。</w:t>
      </w:r>
    </w:p>
    <w:p w14:paraId="50BD9437">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default" w:ascii="Times New Roman" w:hAnsi="Times New Roman" w:eastAsia="方正仿宋_GBK"/>
          <w:bCs/>
          <w:color w:val="000000" w:themeColor="text1"/>
          <w:sz w:val="32"/>
          <w:szCs w:val="32"/>
        </w:rPr>
        <w:t>公务接待费</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万元，主要用于</w:t>
      </w:r>
      <w:r>
        <w:rPr>
          <w:rFonts w:ascii="Times New Roman" w:hAnsi="Times New Roman" w:eastAsia="方正仿宋_GBK"/>
          <w:bCs/>
          <w:color w:val="000000" w:themeColor="text1"/>
          <w:sz w:val="32"/>
          <w:szCs w:val="32"/>
        </w:rPr>
        <w:t>招商</w:t>
      </w:r>
      <w:r>
        <w:rPr>
          <w:rFonts w:hint="default" w:ascii="Times New Roman" w:hAnsi="Times New Roman" w:eastAsia="方正仿宋_GBK"/>
          <w:bCs/>
          <w:color w:val="000000" w:themeColor="text1"/>
          <w:sz w:val="32"/>
          <w:szCs w:val="32"/>
        </w:rPr>
        <w:t>接待支出，费用支出较年初预算数增加</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万元，增长</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w:t>
      </w:r>
    </w:p>
    <w:p w14:paraId="7C43D7EA">
      <w:pPr>
        <w:tabs>
          <w:tab w:val="left" w:pos="709"/>
          <w:tab w:val="left" w:pos="851"/>
        </w:tabs>
        <w:spacing w:line="594" w:lineRule="exact"/>
        <w:ind w:firstLine="643" w:firstLineChars="200"/>
        <w:jc w:val="both"/>
        <w:rPr>
          <w:rFonts w:hint="default" w:ascii="方正仿宋_GBK" w:eastAsia="方正仿宋_GBK" w:cs="宋体"/>
          <w:b/>
          <w:color w:val="000000" w:themeColor="text1"/>
          <w:sz w:val="32"/>
          <w:szCs w:val="32"/>
        </w:rPr>
      </w:pPr>
      <w:r>
        <w:rPr>
          <w:rFonts w:ascii="方正仿宋_GBK" w:eastAsia="方正仿宋_GBK" w:cs="宋体"/>
          <w:b/>
          <w:color w:val="000000" w:themeColor="text1"/>
          <w:sz w:val="32"/>
          <w:szCs w:val="32"/>
        </w:rPr>
        <w:t>（三）“三公”经费实物量情况</w:t>
      </w:r>
    </w:p>
    <w:p w14:paraId="2E524510">
      <w:pPr>
        <w:spacing w:line="594" w:lineRule="exact"/>
        <w:ind w:firstLine="640" w:firstLineChars="200"/>
        <w:jc w:val="both"/>
        <w:rPr>
          <w:rFonts w:hint="default" w:ascii="方正仿宋_GBK" w:eastAsia="方正仿宋_GBK" w:cs="宋体"/>
          <w:bCs/>
          <w:color w:val="000000" w:themeColor="text1"/>
          <w:sz w:val="32"/>
          <w:szCs w:val="32"/>
        </w:rPr>
      </w:pPr>
      <w:r>
        <w:rPr>
          <w:rFonts w:hint="default" w:ascii="Times New Roman" w:hAnsi="Times New Roman" w:eastAsia="方正仿宋_GBK"/>
          <w:bCs/>
          <w:color w:val="000000" w:themeColor="text1"/>
          <w:sz w:val="32"/>
          <w:szCs w:val="32"/>
        </w:rPr>
        <w:t>202</w:t>
      </w:r>
      <w:r>
        <w:rPr>
          <w:rFonts w:hint="eastAsia" w:ascii="Times New Roman" w:hAnsi="Times New Roman" w:eastAsia="方正仿宋_GBK"/>
          <w:bCs/>
          <w:color w:val="000000" w:themeColor="text1"/>
          <w:sz w:val="32"/>
          <w:szCs w:val="32"/>
          <w:lang w:val="en-US" w:eastAsia="zh-CN"/>
        </w:rPr>
        <w:t>3</w:t>
      </w:r>
      <w:r>
        <w:rPr>
          <w:rFonts w:hint="default" w:ascii="Times New Roman" w:hAnsi="Times New Roman" w:eastAsia="方正仿宋_GBK"/>
          <w:bCs/>
          <w:color w:val="000000" w:themeColor="text1"/>
          <w:sz w:val="32"/>
          <w:szCs w:val="32"/>
        </w:rPr>
        <w:t>年度因公出国（境）共计0个团组，0人；公务用车购置0辆，公务车保有量为</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辆；国内公务接待</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批次，</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人，其中：国内外事接待0批次，0人；国（境）外公务接待0批次，0人。202</w:t>
      </w:r>
      <w:r>
        <w:rPr>
          <w:rFonts w:hint="eastAsia" w:ascii="Times New Roman" w:hAnsi="Times New Roman" w:eastAsia="方正仿宋_GBK"/>
          <w:bCs/>
          <w:color w:val="000000" w:themeColor="text1"/>
          <w:sz w:val="32"/>
          <w:szCs w:val="32"/>
          <w:lang w:val="en-US" w:eastAsia="zh-CN"/>
        </w:rPr>
        <w:t>3</w:t>
      </w:r>
      <w:r>
        <w:rPr>
          <w:rFonts w:hint="default" w:ascii="Times New Roman" w:hAnsi="Times New Roman" w:eastAsia="方正仿宋_GBK"/>
          <w:bCs/>
          <w:color w:val="000000" w:themeColor="text1"/>
          <w:sz w:val="32"/>
          <w:szCs w:val="32"/>
        </w:rPr>
        <w:t>年本部门人均接待费</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元，车均购置费0万元，车辆维护费</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w:t>
      </w:r>
      <w:bookmarkStart w:id="16" w:name="_Toc5333_WPSOffice_Level1"/>
      <w:bookmarkStart w:id="17" w:name="_Toc27357_WPSOffice_Level1"/>
      <w:r>
        <w:rPr>
          <w:rFonts w:hint="default" w:ascii="Times New Roman" w:hAnsi="Times New Roman" w:eastAsia="方正仿宋_GBK"/>
          <w:bCs/>
          <w:color w:val="000000" w:themeColor="text1"/>
          <w:sz w:val="32"/>
          <w:szCs w:val="32"/>
        </w:rPr>
        <w:t>。</w:t>
      </w:r>
    </w:p>
    <w:p w14:paraId="76B032F5">
      <w:pPr>
        <w:spacing w:line="594" w:lineRule="exact"/>
        <w:ind w:firstLine="640" w:firstLineChars="200"/>
        <w:jc w:val="both"/>
        <w:rPr>
          <w:rFonts w:hint="default" w:ascii="方正黑体_GBK" w:eastAsia="方正黑体_GBK" w:cs="宋体"/>
          <w:bCs/>
          <w:color w:val="000000" w:themeColor="text1"/>
          <w:sz w:val="32"/>
          <w:szCs w:val="32"/>
        </w:rPr>
      </w:pPr>
      <w:r>
        <w:rPr>
          <w:rFonts w:ascii="方正黑体_GBK" w:eastAsia="方正黑体_GBK" w:cs="宋体"/>
          <w:bCs/>
          <w:color w:val="000000" w:themeColor="text1"/>
          <w:sz w:val="32"/>
          <w:szCs w:val="32"/>
        </w:rPr>
        <w:t>四、其他</w:t>
      </w:r>
      <w:bookmarkEnd w:id="16"/>
      <w:bookmarkEnd w:id="17"/>
      <w:r>
        <w:rPr>
          <w:rFonts w:ascii="方正黑体_GBK" w:eastAsia="方正黑体_GBK" w:cs="宋体"/>
          <w:bCs/>
          <w:color w:val="000000" w:themeColor="text1"/>
          <w:sz w:val="32"/>
          <w:szCs w:val="32"/>
        </w:rPr>
        <w:t>需要说明的事项</w:t>
      </w:r>
    </w:p>
    <w:p w14:paraId="2E55E334">
      <w:pPr>
        <w:spacing w:line="594" w:lineRule="exact"/>
        <w:ind w:firstLine="643" w:firstLineChars="200"/>
        <w:jc w:val="both"/>
        <w:rPr>
          <w:rFonts w:hint="default" w:ascii="方正仿宋_GBK" w:eastAsia="方正仿宋_GBK" w:cs="宋体"/>
          <w:bCs/>
          <w:color w:val="000000" w:themeColor="text1"/>
          <w:sz w:val="32"/>
          <w:szCs w:val="32"/>
        </w:rPr>
      </w:pPr>
      <w:r>
        <w:rPr>
          <w:rFonts w:ascii="方正仿宋_GBK" w:eastAsia="方正仿宋_GBK" w:cs="宋体"/>
          <w:b/>
          <w:color w:val="000000" w:themeColor="text1"/>
          <w:sz w:val="32"/>
          <w:szCs w:val="32"/>
        </w:rPr>
        <w:t>（一）机关运行经费情况说明。</w:t>
      </w:r>
      <w:r>
        <w:rPr>
          <w:rFonts w:hint="default" w:ascii="Times New Roman" w:hAnsi="Times New Roman" w:eastAsia="方正仿宋_GBK"/>
          <w:bCs/>
          <w:color w:val="000000" w:themeColor="text1"/>
          <w:sz w:val="32"/>
          <w:szCs w:val="32"/>
        </w:rPr>
        <w:t>202</w:t>
      </w:r>
      <w:r>
        <w:rPr>
          <w:rFonts w:hint="eastAsia" w:ascii="Times New Roman" w:hAnsi="Times New Roman" w:eastAsia="方正仿宋_GBK"/>
          <w:bCs/>
          <w:color w:val="000000" w:themeColor="text1"/>
          <w:sz w:val="32"/>
          <w:szCs w:val="32"/>
          <w:lang w:val="en-US" w:eastAsia="zh-CN"/>
        </w:rPr>
        <w:t>3</w:t>
      </w:r>
      <w:r>
        <w:rPr>
          <w:rFonts w:hint="default" w:ascii="Times New Roman" w:hAnsi="Times New Roman" w:eastAsia="方正仿宋_GBK"/>
          <w:bCs/>
          <w:color w:val="000000" w:themeColor="text1"/>
          <w:sz w:val="32"/>
          <w:szCs w:val="32"/>
        </w:rPr>
        <w:t>年度机关运行经费支出</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万元，机关运行经费主要用于办公费、印刷费、邮电费、差旅费、会务接待培训费、水电费、物业管理及其他商品和服务支出等日常运行开销的费用。机关运行经费</w:t>
      </w:r>
      <w:r>
        <w:rPr>
          <w:rFonts w:hint="eastAsia" w:ascii="Times New Roman" w:hAnsi="Times New Roman" w:eastAsia="方正仿宋_GBK"/>
          <w:bCs/>
          <w:color w:val="000000" w:themeColor="text1"/>
          <w:sz w:val="32"/>
          <w:szCs w:val="32"/>
          <w:lang w:val="en-US" w:eastAsia="zh-CN"/>
        </w:rPr>
        <w:t>和</w:t>
      </w:r>
      <w:r>
        <w:rPr>
          <w:rFonts w:hint="default" w:ascii="Times New Roman" w:hAnsi="Times New Roman" w:eastAsia="方正仿宋_GBK"/>
          <w:bCs/>
          <w:color w:val="000000" w:themeColor="text1"/>
          <w:sz w:val="32"/>
          <w:szCs w:val="32"/>
        </w:rPr>
        <w:t>上年决算数</w:t>
      </w:r>
      <w:r>
        <w:rPr>
          <w:rFonts w:hint="eastAsia" w:ascii="Times New Roman" w:hAnsi="Times New Roman" w:eastAsia="方正仿宋_GBK"/>
          <w:bCs/>
          <w:color w:val="000000" w:themeColor="text1"/>
          <w:sz w:val="32"/>
          <w:szCs w:val="32"/>
          <w:lang w:val="en-US" w:eastAsia="zh-CN"/>
        </w:rPr>
        <w:t>持平</w:t>
      </w:r>
      <w:r>
        <w:rPr>
          <w:rFonts w:hint="default" w:ascii="Times New Roman" w:hAnsi="Times New Roman" w:eastAsia="方正仿宋_GBK"/>
          <w:bCs/>
          <w:color w:val="000000" w:themeColor="text1"/>
          <w:sz w:val="32"/>
          <w:szCs w:val="32"/>
        </w:rPr>
        <w:t>。</w:t>
      </w:r>
    </w:p>
    <w:p w14:paraId="39530C0F">
      <w:pPr>
        <w:spacing w:line="594" w:lineRule="exact"/>
        <w:ind w:firstLine="640" w:firstLineChars="200"/>
        <w:jc w:val="both"/>
        <w:rPr>
          <w:rFonts w:hint="default" w:ascii="Times New Roman" w:hAnsi="Times New Roman" w:eastAsia="方正仿宋_GBK"/>
          <w:bCs/>
          <w:color w:val="000000" w:themeColor="text1"/>
          <w:sz w:val="32"/>
          <w:szCs w:val="32"/>
          <w:lang w:val="en-US" w:eastAsia="zh-CN"/>
        </w:rPr>
      </w:pPr>
      <w:r>
        <w:rPr>
          <w:rFonts w:hint="default" w:ascii="Times New Roman" w:hAnsi="Times New Roman" w:eastAsia="方正仿宋_GBK"/>
          <w:bCs/>
          <w:color w:val="000000" w:themeColor="text1"/>
          <w:sz w:val="32"/>
          <w:szCs w:val="32"/>
        </w:rPr>
        <w:t>此外，本年度一般公共预算财政拨款会议费支出</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w:t>
      </w:r>
      <w:r>
        <w:rPr>
          <w:rFonts w:hint="eastAsia" w:ascii="Times New Roman" w:hAnsi="Times New Roman" w:eastAsia="方正仿宋_GBK"/>
          <w:bCs/>
          <w:color w:val="000000" w:themeColor="text1"/>
          <w:sz w:val="32"/>
          <w:szCs w:val="32"/>
          <w:lang w:val="en-US" w:eastAsia="zh-CN"/>
        </w:rPr>
        <w:t>和</w:t>
      </w:r>
      <w:r>
        <w:rPr>
          <w:rFonts w:hint="default" w:ascii="Times New Roman" w:hAnsi="Times New Roman" w:eastAsia="方正仿宋_GBK"/>
          <w:bCs/>
          <w:color w:val="000000" w:themeColor="text1"/>
          <w:sz w:val="32"/>
          <w:szCs w:val="32"/>
        </w:rPr>
        <w:t>上年决算数</w:t>
      </w:r>
      <w:r>
        <w:rPr>
          <w:rFonts w:hint="eastAsia" w:ascii="Times New Roman" w:hAnsi="Times New Roman" w:eastAsia="方正仿宋_GBK"/>
          <w:bCs/>
          <w:color w:val="000000" w:themeColor="text1"/>
          <w:sz w:val="32"/>
          <w:szCs w:val="32"/>
          <w:lang w:val="en-US" w:eastAsia="zh-CN"/>
        </w:rPr>
        <w:t>持平</w:t>
      </w:r>
      <w:r>
        <w:rPr>
          <w:rFonts w:hint="default" w:ascii="Times New Roman" w:hAnsi="Times New Roman" w:eastAsia="方正仿宋_GBK"/>
          <w:bCs/>
          <w:color w:val="000000" w:themeColor="text1"/>
          <w:sz w:val="32"/>
          <w:szCs w:val="32"/>
        </w:rPr>
        <w:t>。本年度培训费支出0万元，较上年决算数减少0.</w:t>
      </w:r>
      <w:r>
        <w:rPr>
          <w:rFonts w:hint="eastAsia" w:ascii="Times New Roman" w:hAnsi="Times New Roman" w:eastAsia="方正仿宋_GBK"/>
          <w:bCs/>
          <w:color w:val="000000" w:themeColor="text1"/>
          <w:sz w:val="32"/>
          <w:szCs w:val="32"/>
          <w:lang w:val="en-US" w:eastAsia="zh-CN"/>
        </w:rPr>
        <w:t>37</w:t>
      </w:r>
      <w:r>
        <w:rPr>
          <w:rFonts w:hint="default" w:ascii="Times New Roman" w:hAnsi="Times New Roman" w:eastAsia="方正仿宋_GBK"/>
          <w:bCs/>
          <w:color w:val="000000" w:themeColor="text1"/>
          <w:sz w:val="32"/>
          <w:szCs w:val="32"/>
        </w:rPr>
        <w:t>万元，下降</w:t>
      </w:r>
      <w:r>
        <w:rPr>
          <w:rFonts w:hint="eastAsia" w:ascii="Times New Roman" w:hAnsi="Times New Roman" w:eastAsia="方正仿宋_GBK"/>
          <w:bCs/>
          <w:color w:val="000000" w:themeColor="text1"/>
          <w:sz w:val="32"/>
          <w:szCs w:val="32"/>
          <w:lang w:val="en-US" w:eastAsia="zh-CN"/>
        </w:rPr>
        <w:t>100.0</w:t>
      </w:r>
      <w:r>
        <w:rPr>
          <w:rFonts w:hint="default" w:ascii="Times New Roman" w:hAnsi="Times New Roman" w:eastAsia="方正仿宋_GBK"/>
          <w:bCs/>
          <w:color w:val="000000" w:themeColor="text1"/>
          <w:sz w:val="32"/>
          <w:szCs w:val="32"/>
        </w:rPr>
        <w:t>%</w:t>
      </w:r>
      <w:r>
        <w:rPr>
          <w:rFonts w:hint="eastAsia" w:ascii="Times New Roman" w:hAnsi="Times New Roman" w:eastAsia="方正仿宋_GBK"/>
          <w:bCs/>
          <w:color w:val="000000" w:themeColor="text1"/>
          <w:sz w:val="32"/>
          <w:szCs w:val="32"/>
          <w:lang w:eastAsia="zh-CN"/>
        </w:rPr>
        <w:t>，</w:t>
      </w:r>
      <w:r>
        <w:rPr>
          <w:rFonts w:hint="eastAsia" w:ascii="Times New Roman" w:hAnsi="Times New Roman" w:eastAsia="方正仿宋_GBK"/>
          <w:bCs/>
          <w:color w:val="000000" w:themeColor="text1"/>
          <w:sz w:val="32"/>
          <w:szCs w:val="32"/>
          <w:lang w:val="en-US" w:eastAsia="zh-CN"/>
        </w:rPr>
        <w:t>主要原因是节约开支，严格控制培训费支出。</w:t>
      </w:r>
    </w:p>
    <w:p w14:paraId="3539C0D5">
      <w:pPr>
        <w:spacing w:line="594" w:lineRule="exact"/>
        <w:ind w:firstLine="643" w:firstLineChars="200"/>
        <w:jc w:val="both"/>
        <w:rPr>
          <w:rFonts w:hint="default" w:ascii="Times New Roman" w:hAnsi="Times New Roman" w:eastAsia="方正仿宋_GBK"/>
          <w:bCs/>
          <w:color w:val="000000" w:themeColor="text1"/>
          <w:sz w:val="32"/>
          <w:szCs w:val="32"/>
        </w:rPr>
      </w:pPr>
      <w:r>
        <w:rPr>
          <w:rFonts w:ascii="方正仿宋_GBK" w:eastAsia="方正仿宋_GBK" w:cs="宋体"/>
          <w:b/>
          <w:color w:val="000000" w:themeColor="text1"/>
          <w:sz w:val="32"/>
          <w:szCs w:val="32"/>
        </w:rPr>
        <w:t>（二）国有资产占用情况说明。</w:t>
      </w:r>
      <w:r>
        <w:rPr>
          <w:rFonts w:hint="default" w:ascii="Times New Roman" w:hAnsi="Times New Roman" w:eastAsia="方正仿宋_GBK"/>
          <w:bCs/>
          <w:color w:val="000000" w:themeColor="text1"/>
          <w:sz w:val="32"/>
          <w:szCs w:val="32"/>
        </w:rPr>
        <w:t>截至202</w:t>
      </w:r>
      <w:r>
        <w:rPr>
          <w:rFonts w:hint="eastAsia" w:ascii="Times New Roman" w:hAnsi="Times New Roman" w:eastAsia="方正仿宋_GBK"/>
          <w:bCs/>
          <w:color w:val="000000" w:themeColor="text1"/>
          <w:sz w:val="32"/>
          <w:szCs w:val="32"/>
          <w:lang w:val="en-US" w:eastAsia="zh-CN"/>
        </w:rPr>
        <w:t>3</w:t>
      </w:r>
      <w:r>
        <w:rPr>
          <w:rFonts w:hint="default" w:ascii="Times New Roman" w:hAnsi="Times New Roman" w:eastAsia="方正仿宋_GBK"/>
          <w:bCs/>
          <w:color w:val="000000" w:themeColor="text1"/>
          <w:sz w:val="32"/>
          <w:szCs w:val="32"/>
        </w:rPr>
        <w:t>年12月31日，本部门共有车辆</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辆，其中，副部（省）级及以上领导干部用车0辆、主要领导干部用车0辆、机要通信用车0辆、应急保障用车</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辆、执法执勤用车0辆、特种专业技术用车0辆、离退休干部用车0辆、其他用车0辆，单价50万元以上通用设备0台（套），单价100万元以上专用设备0台（套）。</w:t>
      </w:r>
    </w:p>
    <w:p w14:paraId="5B5507B8">
      <w:pPr>
        <w:spacing w:line="594" w:lineRule="exact"/>
        <w:ind w:firstLine="643" w:firstLineChars="200"/>
        <w:jc w:val="both"/>
        <w:rPr>
          <w:rFonts w:hint="default" w:ascii="Times New Roman" w:hAnsi="Times New Roman" w:eastAsia="方正仿宋_GBK"/>
          <w:bCs/>
          <w:color w:val="000000" w:themeColor="text1"/>
          <w:sz w:val="32"/>
          <w:szCs w:val="32"/>
          <w:lang w:val="en-US"/>
        </w:rPr>
      </w:pPr>
      <w:r>
        <w:rPr>
          <w:rFonts w:hint="default" w:ascii="Times New Roman" w:hAnsi="Times New Roman" w:eastAsia="方正仿宋_GBK"/>
          <w:b/>
          <w:color w:val="000000" w:themeColor="text1"/>
          <w:sz w:val="32"/>
          <w:szCs w:val="32"/>
        </w:rPr>
        <w:t>（三）政府采购支出情况说明。</w:t>
      </w:r>
      <w:r>
        <w:rPr>
          <w:rFonts w:hint="default" w:ascii="Times New Roman" w:hAnsi="Times New Roman" w:eastAsia="方正仿宋_GBK"/>
          <w:bCs/>
          <w:color w:val="000000" w:themeColor="text1"/>
          <w:sz w:val="32"/>
          <w:szCs w:val="32"/>
        </w:rPr>
        <w:t>202</w:t>
      </w:r>
      <w:r>
        <w:rPr>
          <w:rFonts w:hint="eastAsia" w:ascii="Times New Roman" w:hAnsi="Times New Roman" w:eastAsia="方正仿宋_GBK"/>
          <w:bCs/>
          <w:color w:val="000000" w:themeColor="text1"/>
          <w:sz w:val="32"/>
          <w:szCs w:val="32"/>
          <w:lang w:val="en-US" w:eastAsia="zh-CN"/>
        </w:rPr>
        <w:t>3</w:t>
      </w:r>
      <w:r>
        <w:rPr>
          <w:rFonts w:hint="default" w:ascii="Times New Roman" w:hAnsi="Times New Roman" w:eastAsia="方正仿宋_GBK"/>
          <w:bCs/>
          <w:color w:val="000000" w:themeColor="text1"/>
          <w:sz w:val="32"/>
          <w:szCs w:val="32"/>
        </w:rPr>
        <w:t>年度政府采购支出总额</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万元，其中：政府采购货物支出0万元、政府采购工程支出</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万元、政府采购服务支出</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万元。授予中小企业合同金额</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万元，占政府采购支出总额的</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%，其中授予小微企业合同金额</w:t>
      </w:r>
      <w:r>
        <w:rPr>
          <w:rFonts w:hint="eastAsia" w:ascii="Times New Roman" w:hAnsi="Times New Roman" w:eastAsia="方正仿宋_GBK"/>
          <w:bCs/>
          <w:color w:val="000000" w:themeColor="text1"/>
          <w:sz w:val="32"/>
          <w:szCs w:val="32"/>
          <w:lang w:val="en-US" w:eastAsia="zh-CN"/>
        </w:rPr>
        <w:t>0</w:t>
      </w:r>
      <w:r>
        <w:rPr>
          <w:rFonts w:hint="default" w:ascii="Times New Roman" w:hAnsi="Times New Roman" w:eastAsia="方正仿宋_GBK"/>
          <w:bCs/>
          <w:color w:val="000000" w:themeColor="text1"/>
          <w:sz w:val="32"/>
          <w:szCs w:val="32"/>
        </w:rPr>
        <w:t>万元，占政府采购支出总额的</w:t>
      </w:r>
      <w:r>
        <w:rPr>
          <w:rFonts w:hint="eastAsia" w:ascii="Times New Roman" w:hAnsi="Times New Roman" w:eastAsia="方正仿宋_GBK"/>
          <w:bCs/>
          <w:color w:val="000000" w:themeColor="text1"/>
          <w:sz w:val="32"/>
          <w:szCs w:val="32"/>
          <w:lang w:val="en-US" w:eastAsia="zh-CN"/>
        </w:rPr>
        <w:t>0%。</w:t>
      </w:r>
    </w:p>
    <w:p w14:paraId="286148DF">
      <w:pPr>
        <w:spacing w:line="594" w:lineRule="exact"/>
        <w:ind w:firstLine="643" w:firstLineChars="200"/>
        <w:jc w:val="both"/>
        <w:rPr>
          <w:rFonts w:hint="default" w:ascii="Times New Roman" w:hAnsi="Times New Roman" w:eastAsia="方正仿宋_GBK"/>
          <w:b/>
          <w:sz w:val="32"/>
          <w:szCs w:val="32"/>
        </w:rPr>
      </w:pPr>
      <w:r>
        <w:rPr>
          <w:rFonts w:hint="default" w:ascii="Times New Roman" w:hAnsi="Times New Roman" w:eastAsia="方正仿宋_GBK"/>
          <w:b/>
          <w:sz w:val="32"/>
          <w:szCs w:val="32"/>
        </w:rPr>
        <w:t>（四）预算绩效管理情况说明。</w:t>
      </w:r>
    </w:p>
    <w:p w14:paraId="1D2C46B5">
      <w:pPr>
        <w:spacing w:line="594" w:lineRule="exact"/>
        <w:ind w:firstLine="640" w:firstLineChars="200"/>
        <w:jc w:val="both"/>
        <w:rPr>
          <w:rFonts w:hint="default" w:ascii="Times New Roman" w:hAnsi="Times New Roman" w:eastAsia="方正仿宋_GBK"/>
          <w:bCs/>
          <w:sz w:val="32"/>
          <w:szCs w:val="32"/>
        </w:rPr>
      </w:pPr>
      <w:r>
        <w:rPr>
          <w:rFonts w:hint="default" w:ascii="Times New Roman" w:hAnsi="Times New Roman" w:eastAsia="方正仿宋_GBK"/>
          <w:bCs/>
          <w:sz w:val="32"/>
          <w:szCs w:val="32"/>
        </w:rPr>
        <w:t>（1）</w:t>
      </w:r>
      <w:r>
        <w:rPr>
          <w:rFonts w:hint="default" w:ascii="Times New Roman" w:hAnsi="Times New Roman" w:eastAsia="方正仿宋_GBK"/>
          <w:b/>
          <w:sz w:val="32"/>
          <w:szCs w:val="32"/>
        </w:rPr>
        <w:t>预算绩效管理工作开展情况。</w:t>
      </w:r>
      <w:r>
        <w:rPr>
          <w:rFonts w:hint="eastAsia" w:ascii="Times New Roman" w:hAnsi="Times New Roman" w:eastAsia="方正仿宋_GBK"/>
          <w:b w:val="0"/>
          <w:bCs/>
          <w:color w:val="000000" w:themeColor="text1"/>
          <w:sz w:val="32"/>
          <w:szCs w:val="32"/>
          <w:lang w:val="en-US" w:eastAsia="zh-CN"/>
        </w:rPr>
        <w:t>根据预算绩效管理要求，本中心对1个项目开展了绩效自评，涉及资金67.15万元，其中，以填报目标自评表形式开展自评1项，涉及资金67.15万元。</w:t>
      </w:r>
    </w:p>
    <w:p w14:paraId="23E69316">
      <w:pPr>
        <w:spacing w:line="594" w:lineRule="exact"/>
        <w:ind w:firstLine="640" w:firstLineChars="200"/>
        <w:jc w:val="both"/>
        <w:rPr>
          <w:rFonts w:hint="default" w:ascii="Times New Roman" w:hAnsi="Times New Roman" w:eastAsia="方正仿宋_GBK"/>
          <w:bCs/>
          <w:sz w:val="32"/>
          <w:szCs w:val="32"/>
        </w:rPr>
      </w:pPr>
      <w:r>
        <w:rPr>
          <w:rFonts w:hint="default" w:ascii="Times New Roman" w:hAnsi="Times New Roman" w:eastAsia="方正仿宋_GBK"/>
          <w:bCs/>
          <w:sz w:val="32"/>
          <w:szCs w:val="32"/>
        </w:rPr>
        <w:t>（2）</w:t>
      </w:r>
      <w:r>
        <w:rPr>
          <w:rFonts w:hint="default" w:ascii="Times New Roman" w:hAnsi="Times New Roman" w:eastAsia="方正仿宋_GBK"/>
          <w:b/>
          <w:sz w:val="32"/>
          <w:szCs w:val="32"/>
        </w:rPr>
        <w:t>绩效目标自评结果。</w:t>
      </w:r>
      <w:r>
        <w:rPr>
          <w:rFonts w:hint="eastAsia" w:ascii="Times New Roman" w:hAnsi="Times New Roman" w:eastAsia="方正仿宋_GBK"/>
          <w:b w:val="0"/>
          <w:bCs/>
          <w:color w:val="000000" w:themeColor="text1"/>
          <w:sz w:val="32"/>
          <w:szCs w:val="32"/>
          <w:lang w:val="en-US" w:eastAsia="zh-CN"/>
        </w:rPr>
        <w:t>从评价情况来看，我中心项目资金绩效管理工作扎实，项目实施达到了预期效益</w:t>
      </w:r>
      <w:r>
        <w:rPr>
          <w:rFonts w:hint="default" w:ascii="Times New Roman" w:hAnsi="Times New Roman" w:eastAsia="方正仿宋_GBK"/>
          <w:bCs/>
          <w:sz w:val="32"/>
          <w:szCs w:val="32"/>
        </w:rPr>
        <w:t>。</w:t>
      </w:r>
    </w:p>
    <w:p w14:paraId="7B80B81D">
      <w:pPr>
        <w:spacing w:line="594" w:lineRule="exact"/>
        <w:jc w:val="both"/>
        <w:rPr>
          <w:rFonts w:hint="default" w:ascii="Times New Roman" w:hAnsi="Times New Roman" w:eastAsia="方正仿宋_GBK"/>
          <w:bCs/>
          <w:sz w:val="32"/>
          <w:szCs w:val="32"/>
        </w:rPr>
      </w:pPr>
      <w:r>
        <w:rPr>
          <w:rFonts w:ascii="Times New Roman" w:hAnsi="Times New Roman" w:eastAsia="方正仿宋_GBK"/>
          <w:kern w:val="2"/>
          <w:sz w:val="32"/>
          <w:szCs w:val="32"/>
        </w:rPr>
        <w:t xml:space="preserve">      </w:t>
      </w:r>
    </w:p>
    <w:p w14:paraId="54000B51">
      <w:pPr>
        <w:spacing w:line="594" w:lineRule="exact"/>
        <w:ind w:firstLine="640" w:firstLineChars="200"/>
        <w:jc w:val="both"/>
        <w:rPr>
          <w:rFonts w:hint="default" w:ascii="方正黑体_GBK" w:eastAsia="方正黑体_GBK" w:cs="宋体"/>
          <w:bCs/>
          <w:sz w:val="32"/>
          <w:szCs w:val="32"/>
        </w:rPr>
      </w:pPr>
      <w:bookmarkStart w:id="18" w:name="_Toc28316_WPSOffice_Level1"/>
      <w:bookmarkStart w:id="19" w:name="_Toc28573_WPSOffice_Level1"/>
      <w:r>
        <w:rPr>
          <w:rFonts w:ascii="方正黑体_GBK" w:eastAsia="方正黑体_GBK" w:cs="宋体"/>
          <w:bCs/>
          <w:sz w:val="32"/>
          <w:szCs w:val="32"/>
        </w:rPr>
        <w:t>五、专业名词解释</w:t>
      </w:r>
      <w:bookmarkEnd w:id="18"/>
      <w:bookmarkEnd w:id="19"/>
    </w:p>
    <w:p w14:paraId="53121E0B">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（一）财政拨款收入：</w:t>
      </w:r>
      <w:r>
        <w:rPr>
          <w:rFonts w:ascii="方正仿宋_GBK" w:eastAsia="方正仿宋_GBK" w:cs="宋体"/>
          <w:bCs/>
          <w:sz w:val="32"/>
          <w:szCs w:val="32"/>
        </w:rPr>
        <w:t>指本年度从本级财政部门取得的财政拨款，包括一般公共预算财政拨款和政府性基金预算财政拨款。</w:t>
      </w:r>
    </w:p>
    <w:p w14:paraId="25745FB6">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（二）事业收入：</w:t>
      </w:r>
      <w:r>
        <w:rPr>
          <w:rFonts w:ascii="方正仿宋_GBK" w:eastAsia="方正仿宋_GBK" w:cs="宋体"/>
          <w:bCs/>
          <w:sz w:val="32"/>
          <w:szCs w:val="32"/>
        </w:rPr>
        <w:t>指事业单位开展专业业务活动及其辅助活动取得的收入；事业单位收到的财政专户实际核拨的教育收费等资金在此反映。</w:t>
      </w:r>
    </w:p>
    <w:p w14:paraId="617C36C1">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（三）经营收入：</w:t>
      </w:r>
      <w:r>
        <w:rPr>
          <w:rFonts w:ascii="方正仿宋_GBK" w:eastAsia="方正仿宋_GBK" w:cs="宋体"/>
          <w:bCs/>
          <w:sz w:val="32"/>
          <w:szCs w:val="32"/>
        </w:rPr>
        <w:t>指事业单位在专业业务活动及其辅助活动之外开展非独立核算经营活动取得的收入。</w:t>
      </w:r>
    </w:p>
    <w:p w14:paraId="752310B6">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（四）其他收入：</w:t>
      </w:r>
      <w:r>
        <w:rPr>
          <w:rFonts w:ascii="方正仿宋_GBK" w:eastAsia="方正仿宋_GBK" w:cs="宋体"/>
          <w:bCs/>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14:paraId="35579199">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（五）用事业基金弥补收支差额：</w:t>
      </w:r>
      <w:r>
        <w:rPr>
          <w:rFonts w:ascii="方正仿宋_GBK" w:eastAsia="方正仿宋_GBK" w:cs="宋体"/>
          <w:bCs/>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14:paraId="0AD08515">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（六）年初结转和结余：</w:t>
      </w:r>
      <w:r>
        <w:rPr>
          <w:rFonts w:ascii="方正仿宋_GBK" w:eastAsia="方正仿宋_GBK" w:cs="宋体"/>
          <w:bCs/>
          <w:sz w:val="32"/>
          <w:szCs w:val="32"/>
        </w:rPr>
        <w:t>指单位上年结转本年使用的基本支出结转、项目支出结转和结余、经营结余。不包括事业单位净资产项下的事业基金和专用基金。</w:t>
      </w:r>
    </w:p>
    <w:p w14:paraId="2A845BDA">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（七）结余分配：</w:t>
      </w:r>
      <w:r>
        <w:rPr>
          <w:rFonts w:ascii="方正仿宋_GBK" w:eastAsia="方正仿宋_GBK" w:cs="宋体"/>
          <w:bCs/>
          <w:sz w:val="32"/>
          <w:szCs w:val="32"/>
        </w:rPr>
        <w:t>指单位当年结余的分配情况。根据《关于事业单位提取专用基金比例问题的通知》（财教[2012]32号）规定，事业单位职工福利基金的提取比例，在单位年度非财政拨款结余的40%以内确定，国家另有规定的从其规定。</w:t>
      </w:r>
    </w:p>
    <w:p w14:paraId="5BBBF66E">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（八）年末结转和结余：</w:t>
      </w:r>
      <w:r>
        <w:rPr>
          <w:rFonts w:ascii="方正仿宋_GBK" w:eastAsia="方正仿宋_GBK" w:cs="宋体"/>
          <w:bCs/>
          <w:sz w:val="32"/>
          <w:szCs w:val="32"/>
        </w:rPr>
        <w:t>指单位结转下年的基本支出结转、项目支出结转和结余、经营结余。不包括事业单位净资产项下的事业基金和专用基金。</w:t>
      </w:r>
    </w:p>
    <w:p w14:paraId="2D40695B">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（九）基本支出：</w:t>
      </w:r>
      <w:r>
        <w:rPr>
          <w:rFonts w:ascii="方正仿宋_GBK" w:eastAsia="方正仿宋_GBK" w:cs="宋体"/>
          <w:bCs/>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22828F1">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（十）项目支出：</w:t>
      </w:r>
      <w:r>
        <w:rPr>
          <w:rFonts w:ascii="方正仿宋_GBK" w:eastAsia="方正仿宋_GBK" w:cs="宋体"/>
          <w:bCs/>
          <w:sz w:val="32"/>
          <w:szCs w:val="32"/>
        </w:rPr>
        <w:t>指在基本支出之外为完成特定行政任务和事业发展目标所发生的支出。</w:t>
      </w:r>
    </w:p>
    <w:p w14:paraId="7A99B79E">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（十一）经营支出：</w:t>
      </w:r>
      <w:r>
        <w:rPr>
          <w:rFonts w:ascii="方正仿宋_GBK" w:eastAsia="方正仿宋_GBK" w:cs="宋体"/>
          <w:bCs/>
          <w:sz w:val="32"/>
          <w:szCs w:val="32"/>
        </w:rPr>
        <w:t>指事业单位在专业业务活动及其辅助活动之外开展非独立核算经营活动发生的支出。</w:t>
      </w:r>
    </w:p>
    <w:p w14:paraId="0730FC60">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（十二）“三公”经费：</w:t>
      </w:r>
      <w:r>
        <w:rPr>
          <w:rFonts w:ascii="方正仿宋_GBK" w:eastAsia="方正仿宋_GBK" w:cs="宋体"/>
          <w:bCs/>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F66F03C">
      <w:pPr>
        <w:pStyle w:val="43"/>
        <w:spacing w:before="0" w:beforeAutospacing="0" w:after="0" w:afterAutospacing="0"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（十三）机关运行经费：</w:t>
      </w:r>
      <w:r>
        <w:rPr>
          <w:rFonts w:ascii="方正仿宋_GBK" w:eastAsia="方正仿宋_GBK" w:cs="宋体"/>
          <w:bCs/>
          <w:sz w:val="32"/>
          <w:szCs w:val="32"/>
        </w:rPr>
        <w:t>为保障行政单位（含参照公务员法管理的事业单位）运行用于购买货物和服务等的各项公用经费，包括办公及印刷费、邮电费、差旅费、会议费、日常维护费、专用材料及一般设备购置费、办公用房水电费、办公用房取暖费、办公用房物业管理费、公务用车运行维护费以及其他费用。</w:t>
      </w:r>
    </w:p>
    <w:p w14:paraId="355ECE2A">
      <w:pPr>
        <w:pStyle w:val="43"/>
        <w:spacing w:before="0" w:beforeAutospacing="0" w:after="0" w:afterAutospacing="0"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（十四）工资福利支出（支出经济分类科目类级）：</w:t>
      </w:r>
      <w:r>
        <w:rPr>
          <w:rFonts w:ascii="方正仿宋_GBK" w:eastAsia="方正仿宋_GBK" w:cs="宋体"/>
          <w:bCs/>
          <w:sz w:val="32"/>
          <w:szCs w:val="32"/>
        </w:rPr>
        <w:t>反映单位开支的在职职工和编制外长期聘用人员的各类劳动报酬，以及为上述人员缴纳的各项社会保险费等。</w:t>
      </w:r>
    </w:p>
    <w:p w14:paraId="7AF6B79A">
      <w:pPr>
        <w:pStyle w:val="43"/>
        <w:spacing w:before="0" w:beforeAutospacing="0" w:after="0" w:afterAutospacing="0"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（十五）商品和服务支出（支出经济分类科目类级）：</w:t>
      </w:r>
      <w:r>
        <w:rPr>
          <w:rFonts w:ascii="方正仿宋_GBK" w:eastAsia="方正仿宋_GBK" w:cs="宋体"/>
          <w:bCs/>
          <w:sz w:val="32"/>
          <w:szCs w:val="32"/>
        </w:rPr>
        <w:t>反映单位购买商品和服务的支出（不包括用于购置固定资产的支出、战略性和应急储备支出）。</w:t>
      </w:r>
    </w:p>
    <w:p w14:paraId="111FF59C">
      <w:pPr>
        <w:pStyle w:val="43"/>
        <w:spacing w:before="0" w:beforeAutospacing="0" w:after="0" w:afterAutospacing="0"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（十六）对个人和家庭的补助（支出经济分类科目类级）：</w:t>
      </w:r>
      <w:r>
        <w:rPr>
          <w:rFonts w:ascii="方正仿宋_GBK" w:eastAsia="方正仿宋_GBK" w:cs="宋体"/>
          <w:bCs/>
          <w:sz w:val="32"/>
          <w:szCs w:val="32"/>
        </w:rPr>
        <w:t>反映用于对个人和家庭的补助支出。</w:t>
      </w:r>
    </w:p>
    <w:p w14:paraId="4D518D2A">
      <w:pPr>
        <w:pStyle w:val="43"/>
        <w:spacing w:before="0" w:beforeAutospacing="0" w:after="0" w:afterAutospacing="0"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（十七）其他资本性支出（支出经济分类科目类级）：</w:t>
      </w:r>
      <w:r>
        <w:rPr>
          <w:rFonts w:ascii="方正仿宋_GBK" w:eastAsia="方正仿宋_GBK" w:cs="宋体"/>
          <w:bCs/>
          <w:sz w:val="32"/>
          <w:szCs w:val="32"/>
        </w:rPr>
        <w:t>反映非各级发展与改革部门集中安排的用于购置固定资产、战略性和应急性储备、土地和无形资产，以及构建基础设施、大型修缮和财政支持企业更新改造所发生的支出。</w:t>
      </w:r>
    </w:p>
    <w:p w14:paraId="709E0472">
      <w:pPr>
        <w:spacing w:line="594" w:lineRule="exact"/>
        <w:ind w:firstLine="640" w:firstLineChars="200"/>
        <w:jc w:val="both"/>
        <w:rPr>
          <w:rFonts w:hint="default" w:ascii="方正黑体_GBK" w:eastAsia="方正黑体_GBK" w:cs="宋体"/>
          <w:bCs/>
          <w:sz w:val="32"/>
          <w:szCs w:val="32"/>
        </w:rPr>
      </w:pPr>
      <w:bookmarkStart w:id="20" w:name="_Toc9420_WPSOffice_Level1"/>
      <w:bookmarkStart w:id="21" w:name="_Toc15048_WPSOffice_Level1"/>
      <w:r>
        <w:rPr>
          <w:rFonts w:ascii="方正黑体_GBK" w:eastAsia="方正黑体_GBK" w:cs="宋体"/>
          <w:bCs/>
          <w:sz w:val="32"/>
          <w:szCs w:val="32"/>
        </w:rPr>
        <w:t>六、决算公开联系方式</w:t>
      </w:r>
      <w:bookmarkEnd w:id="20"/>
      <w:bookmarkEnd w:id="21"/>
    </w:p>
    <w:p w14:paraId="3A294014">
      <w:pPr>
        <w:spacing w:line="594" w:lineRule="exact"/>
        <w:ind w:firstLine="640" w:firstLineChars="200"/>
        <w:jc w:val="both"/>
        <w:rPr>
          <w:rFonts w:hint="default"/>
        </w:rPr>
      </w:pPr>
      <w:r>
        <w:rPr>
          <w:rFonts w:ascii="方正仿宋_GBK" w:eastAsia="方正仿宋_GBK" w:cs="宋体"/>
          <w:bCs/>
          <w:sz w:val="32"/>
          <w:szCs w:val="32"/>
        </w:rPr>
        <w:t>本单位决算公开信息反馈和联系方式：023-</w:t>
      </w:r>
      <w:bookmarkEnd w:id="15"/>
      <w:r>
        <w:rPr>
          <w:rFonts w:ascii="方正仿宋_GBK" w:eastAsia="方正仿宋_GBK" w:cs="宋体"/>
          <w:bCs/>
          <w:sz w:val="32"/>
          <w:szCs w:val="32"/>
        </w:rPr>
        <w:t>63256355</w:t>
      </w:r>
    </w:p>
    <w:sectPr>
      <w:footerReference r:id="rId3" w:type="default"/>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A00002BF" w:usb1="38CF7CFA" w:usb2="00082016" w:usb3="00000000" w:csb0="00040001" w:csb1="00000000"/>
    <w:embedRegular r:id="rId1" w:fontKey="{F772CB96-5353-454A-970C-382C4826D293}"/>
  </w:font>
  <w:font w:name="方正小标宋_GBK">
    <w:panose1 w:val="02000000000000000000"/>
    <w:charset w:val="86"/>
    <w:family w:val="script"/>
    <w:pitch w:val="default"/>
    <w:sig w:usb0="A00002BF" w:usb1="38CF7CFA" w:usb2="00082016" w:usb3="00000000" w:csb0="00040001" w:csb1="00000000"/>
    <w:embedRegular r:id="rId2" w:fontKey="{6DFB4652-709E-46A9-97AC-3DACCA00C2D4}"/>
  </w:font>
  <w:font w:name="方正黑体_GBK">
    <w:panose1 w:val="03000509000000000000"/>
    <w:charset w:val="86"/>
    <w:family w:val="script"/>
    <w:pitch w:val="default"/>
    <w:sig w:usb0="00000001" w:usb1="080E0000" w:usb2="00000000" w:usb3="00000000" w:csb0="00040000" w:csb1="00000000"/>
    <w:embedRegular r:id="rId3" w:fontKey="{C8CA2317-5B44-4FD1-BAE2-65F9C51CE238}"/>
  </w:font>
  <w:font w:name="方正楷体_GBK">
    <w:panose1 w:val="02000000000000000000"/>
    <w:charset w:val="86"/>
    <w:family w:val="script"/>
    <w:pitch w:val="default"/>
    <w:sig w:usb0="800002BF" w:usb1="38CF7CFA" w:usb2="00000016" w:usb3="00000000" w:csb0="00040000" w:csb1="00000000"/>
    <w:embedRegular r:id="rId4" w:fontKey="{BC1004AF-98D1-4525-A5DA-29E0A2197A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AB467">
    <w:pPr>
      <w:pStyle w:val="2"/>
      <w:rPr>
        <w:rFonts w:hint="default"/>
      </w:rPr>
    </w:pPr>
    <w:r>
      <w:rPr>
        <w:rFonts w:hint="default"/>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3D768F1">
                <w:pPr>
                  <w:pStyle w:val="2"/>
                  <w:rPr>
                    <w:rFonts w:hint="default"/>
                  </w:rPr>
                </w:pPr>
                <w:r>
                  <w:fldChar w:fldCharType="begin"/>
                </w:r>
                <w:r>
                  <w:instrText xml:space="preserve"> PAGE  \* MERGEFORMAT </w:instrText>
                </w:r>
                <w:r>
                  <w:fldChar w:fldCharType="separate"/>
                </w:r>
                <w:r>
                  <w:rPr>
                    <w:rFonts w:hint="default"/>
                  </w:rP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B632A"/>
    <w:multiLevelType w:val="singleLevel"/>
    <w:tmpl w:val="0F8B632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Y4ODY5MmZkNmNiOGIzYTI5ZTE5MzQ2YWFiMWI2OTIifQ=="/>
  </w:docVars>
  <w:rsids>
    <w:rsidRoot w:val="00E63878"/>
    <w:rsid w:val="00003CE5"/>
    <w:rsid w:val="0003673B"/>
    <w:rsid w:val="00061267"/>
    <w:rsid w:val="000741ED"/>
    <w:rsid w:val="000C0D69"/>
    <w:rsid w:val="000C1E95"/>
    <w:rsid w:val="000D381B"/>
    <w:rsid w:val="000E6AA3"/>
    <w:rsid w:val="000F2F8D"/>
    <w:rsid w:val="00143C7B"/>
    <w:rsid w:val="001528C5"/>
    <w:rsid w:val="00154D7E"/>
    <w:rsid w:val="001560F7"/>
    <w:rsid w:val="0016243F"/>
    <w:rsid w:val="001634AD"/>
    <w:rsid w:val="00191D66"/>
    <w:rsid w:val="00195758"/>
    <w:rsid w:val="001C36D3"/>
    <w:rsid w:val="001E1A7E"/>
    <w:rsid w:val="00200D3A"/>
    <w:rsid w:val="002159A3"/>
    <w:rsid w:val="00244E6C"/>
    <w:rsid w:val="00253F14"/>
    <w:rsid w:val="0026265D"/>
    <w:rsid w:val="00277A93"/>
    <w:rsid w:val="00297D53"/>
    <w:rsid w:val="002A4E6C"/>
    <w:rsid w:val="002A67AD"/>
    <w:rsid w:val="00354F52"/>
    <w:rsid w:val="0036792F"/>
    <w:rsid w:val="00381CBF"/>
    <w:rsid w:val="00384AE9"/>
    <w:rsid w:val="003A2147"/>
    <w:rsid w:val="003A34D3"/>
    <w:rsid w:val="003B3997"/>
    <w:rsid w:val="003D627E"/>
    <w:rsid w:val="00461D58"/>
    <w:rsid w:val="00467E7B"/>
    <w:rsid w:val="004A6002"/>
    <w:rsid w:val="004C5517"/>
    <w:rsid w:val="004C6C47"/>
    <w:rsid w:val="004D41C6"/>
    <w:rsid w:val="004D6C65"/>
    <w:rsid w:val="0050017B"/>
    <w:rsid w:val="00547412"/>
    <w:rsid w:val="00583736"/>
    <w:rsid w:val="005853DE"/>
    <w:rsid w:val="005B3555"/>
    <w:rsid w:val="005C5F4A"/>
    <w:rsid w:val="005D1F52"/>
    <w:rsid w:val="005F59BB"/>
    <w:rsid w:val="006006CD"/>
    <w:rsid w:val="006044FA"/>
    <w:rsid w:val="00613716"/>
    <w:rsid w:val="00661646"/>
    <w:rsid w:val="00680E12"/>
    <w:rsid w:val="00691047"/>
    <w:rsid w:val="006C2C84"/>
    <w:rsid w:val="00702B0D"/>
    <w:rsid w:val="00776411"/>
    <w:rsid w:val="007B50B9"/>
    <w:rsid w:val="007C68E2"/>
    <w:rsid w:val="007C7210"/>
    <w:rsid w:val="007D28D8"/>
    <w:rsid w:val="00831B55"/>
    <w:rsid w:val="00847EC6"/>
    <w:rsid w:val="008A6067"/>
    <w:rsid w:val="008B5D5C"/>
    <w:rsid w:val="008C5C32"/>
    <w:rsid w:val="008D1F89"/>
    <w:rsid w:val="008D4372"/>
    <w:rsid w:val="00927B82"/>
    <w:rsid w:val="00950FB9"/>
    <w:rsid w:val="009877A0"/>
    <w:rsid w:val="0099400D"/>
    <w:rsid w:val="009A0C95"/>
    <w:rsid w:val="009C13DA"/>
    <w:rsid w:val="009E3C25"/>
    <w:rsid w:val="00A137AB"/>
    <w:rsid w:val="00A22687"/>
    <w:rsid w:val="00A6130B"/>
    <w:rsid w:val="00A7316B"/>
    <w:rsid w:val="00A8068E"/>
    <w:rsid w:val="00AA0D32"/>
    <w:rsid w:val="00AC55EE"/>
    <w:rsid w:val="00AD7788"/>
    <w:rsid w:val="00AE25E3"/>
    <w:rsid w:val="00AF0405"/>
    <w:rsid w:val="00AF74A0"/>
    <w:rsid w:val="00B10078"/>
    <w:rsid w:val="00B27FFB"/>
    <w:rsid w:val="00B34895"/>
    <w:rsid w:val="00B85215"/>
    <w:rsid w:val="00BA4FED"/>
    <w:rsid w:val="00BA6B42"/>
    <w:rsid w:val="00BB3983"/>
    <w:rsid w:val="00C14FD5"/>
    <w:rsid w:val="00C46775"/>
    <w:rsid w:val="00C534BD"/>
    <w:rsid w:val="00C856D6"/>
    <w:rsid w:val="00CB1BBB"/>
    <w:rsid w:val="00CD3568"/>
    <w:rsid w:val="00CD73D5"/>
    <w:rsid w:val="00CE00CB"/>
    <w:rsid w:val="00CE1605"/>
    <w:rsid w:val="00D00FF7"/>
    <w:rsid w:val="00D01317"/>
    <w:rsid w:val="00D0388B"/>
    <w:rsid w:val="00D23B89"/>
    <w:rsid w:val="00D25833"/>
    <w:rsid w:val="00D40510"/>
    <w:rsid w:val="00D7736B"/>
    <w:rsid w:val="00D82803"/>
    <w:rsid w:val="00D97C9C"/>
    <w:rsid w:val="00DD3FE6"/>
    <w:rsid w:val="00DD49CC"/>
    <w:rsid w:val="00DE164B"/>
    <w:rsid w:val="00DE5822"/>
    <w:rsid w:val="00E14735"/>
    <w:rsid w:val="00E151E3"/>
    <w:rsid w:val="00E20F29"/>
    <w:rsid w:val="00E22A4B"/>
    <w:rsid w:val="00E25991"/>
    <w:rsid w:val="00E63878"/>
    <w:rsid w:val="00E8074B"/>
    <w:rsid w:val="00EB1EB1"/>
    <w:rsid w:val="00ED195A"/>
    <w:rsid w:val="00EE04FA"/>
    <w:rsid w:val="00EE254F"/>
    <w:rsid w:val="00EF62F7"/>
    <w:rsid w:val="00F10ABF"/>
    <w:rsid w:val="00F24E9E"/>
    <w:rsid w:val="00F25E96"/>
    <w:rsid w:val="00F5457D"/>
    <w:rsid w:val="00F864BC"/>
    <w:rsid w:val="00FB183A"/>
    <w:rsid w:val="00FC170B"/>
    <w:rsid w:val="020D5E75"/>
    <w:rsid w:val="02E22B85"/>
    <w:rsid w:val="03011443"/>
    <w:rsid w:val="03214DA3"/>
    <w:rsid w:val="04820CBC"/>
    <w:rsid w:val="05F52FFB"/>
    <w:rsid w:val="06885292"/>
    <w:rsid w:val="079C1115"/>
    <w:rsid w:val="08485F8A"/>
    <w:rsid w:val="08950143"/>
    <w:rsid w:val="08A23FDD"/>
    <w:rsid w:val="08C95681"/>
    <w:rsid w:val="09D83F8D"/>
    <w:rsid w:val="0A1A6B1E"/>
    <w:rsid w:val="0A44499C"/>
    <w:rsid w:val="0A6016FF"/>
    <w:rsid w:val="0AF20BCC"/>
    <w:rsid w:val="0B070D1C"/>
    <w:rsid w:val="0B2327F9"/>
    <w:rsid w:val="0B6825A9"/>
    <w:rsid w:val="0C6D1064"/>
    <w:rsid w:val="0C9B1662"/>
    <w:rsid w:val="0C9F6B6C"/>
    <w:rsid w:val="0D543D30"/>
    <w:rsid w:val="0DC507F8"/>
    <w:rsid w:val="0EB91D09"/>
    <w:rsid w:val="0F3665B3"/>
    <w:rsid w:val="0F374E15"/>
    <w:rsid w:val="0F800546"/>
    <w:rsid w:val="101262AD"/>
    <w:rsid w:val="10860921"/>
    <w:rsid w:val="10865739"/>
    <w:rsid w:val="14B626C3"/>
    <w:rsid w:val="14DB7722"/>
    <w:rsid w:val="14F62A08"/>
    <w:rsid w:val="15AE59E3"/>
    <w:rsid w:val="16547EFD"/>
    <w:rsid w:val="174444E5"/>
    <w:rsid w:val="17800D4C"/>
    <w:rsid w:val="179B104C"/>
    <w:rsid w:val="189B721C"/>
    <w:rsid w:val="19366E78"/>
    <w:rsid w:val="19554742"/>
    <w:rsid w:val="1A7A4306"/>
    <w:rsid w:val="1BDB0D88"/>
    <w:rsid w:val="1CD808B6"/>
    <w:rsid w:val="1D6D331E"/>
    <w:rsid w:val="1DB3104A"/>
    <w:rsid w:val="1DBA0C5A"/>
    <w:rsid w:val="1DC55968"/>
    <w:rsid w:val="1DD90D57"/>
    <w:rsid w:val="1E5B7FB7"/>
    <w:rsid w:val="20A1644F"/>
    <w:rsid w:val="21D307FD"/>
    <w:rsid w:val="22602BED"/>
    <w:rsid w:val="2323588D"/>
    <w:rsid w:val="23E35EB8"/>
    <w:rsid w:val="23FD2F32"/>
    <w:rsid w:val="248C1F28"/>
    <w:rsid w:val="25BF07C0"/>
    <w:rsid w:val="26D068AF"/>
    <w:rsid w:val="273F4731"/>
    <w:rsid w:val="28C84C07"/>
    <w:rsid w:val="28FD10F5"/>
    <w:rsid w:val="2A257124"/>
    <w:rsid w:val="2A812BF6"/>
    <w:rsid w:val="2C130121"/>
    <w:rsid w:val="2C360B23"/>
    <w:rsid w:val="2CA225DF"/>
    <w:rsid w:val="2E8370FE"/>
    <w:rsid w:val="31C430E0"/>
    <w:rsid w:val="32A974B4"/>
    <w:rsid w:val="32DD5A5D"/>
    <w:rsid w:val="356D4B99"/>
    <w:rsid w:val="35802138"/>
    <w:rsid w:val="365E2017"/>
    <w:rsid w:val="368D1285"/>
    <w:rsid w:val="38160B6F"/>
    <w:rsid w:val="394D10F1"/>
    <w:rsid w:val="3A824630"/>
    <w:rsid w:val="3BE4295B"/>
    <w:rsid w:val="3CF01FFD"/>
    <w:rsid w:val="3D576E46"/>
    <w:rsid w:val="3D725E77"/>
    <w:rsid w:val="3DCF258E"/>
    <w:rsid w:val="3E7D1431"/>
    <w:rsid w:val="3F6025F3"/>
    <w:rsid w:val="40704D13"/>
    <w:rsid w:val="40D00C6E"/>
    <w:rsid w:val="414C61A6"/>
    <w:rsid w:val="42087585"/>
    <w:rsid w:val="429E1386"/>
    <w:rsid w:val="4467022A"/>
    <w:rsid w:val="459F4291"/>
    <w:rsid w:val="45E765BC"/>
    <w:rsid w:val="460478F2"/>
    <w:rsid w:val="46076203"/>
    <w:rsid w:val="46EB299B"/>
    <w:rsid w:val="47FD2715"/>
    <w:rsid w:val="483F05EC"/>
    <w:rsid w:val="48964089"/>
    <w:rsid w:val="4A8C32B2"/>
    <w:rsid w:val="4AC14A75"/>
    <w:rsid w:val="4ADE4B2F"/>
    <w:rsid w:val="4DC23A51"/>
    <w:rsid w:val="4DCB2CE9"/>
    <w:rsid w:val="4DD178FF"/>
    <w:rsid w:val="4E1A2482"/>
    <w:rsid w:val="4F293EF1"/>
    <w:rsid w:val="4F9F7A95"/>
    <w:rsid w:val="4FA51531"/>
    <w:rsid w:val="50BE7DCE"/>
    <w:rsid w:val="50C85051"/>
    <w:rsid w:val="512523E2"/>
    <w:rsid w:val="51993BAE"/>
    <w:rsid w:val="51F96613"/>
    <w:rsid w:val="52FA3836"/>
    <w:rsid w:val="53FD06F1"/>
    <w:rsid w:val="552349F3"/>
    <w:rsid w:val="583100D3"/>
    <w:rsid w:val="587114B6"/>
    <w:rsid w:val="58A550E1"/>
    <w:rsid w:val="58E07D9D"/>
    <w:rsid w:val="5BE26B34"/>
    <w:rsid w:val="5EAA65C1"/>
    <w:rsid w:val="5F461C77"/>
    <w:rsid w:val="5F854B66"/>
    <w:rsid w:val="61204A76"/>
    <w:rsid w:val="61D413E0"/>
    <w:rsid w:val="61EB7064"/>
    <w:rsid w:val="6254074B"/>
    <w:rsid w:val="62CA5BA9"/>
    <w:rsid w:val="62D60225"/>
    <w:rsid w:val="636A0F24"/>
    <w:rsid w:val="640069E4"/>
    <w:rsid w:val="64AC6EF6"/>
    <w:rsid w:val="64D42A13"/>
    <w:rsid w:val="66925301"/>
    <w:rsid w:val="6705110C"/>
    <w:rsid w:val="67C42263"/>
    <w:rsid w:val="68667A43"/>
    <w:rsid w:val="68C20B56"/>
    <w:rsid w:val="691725DB"/>
    <w:rsid w:val="693F6FCA"/>
    <w:rsid w:val="6B313618"/>
    <w:rsid w:val="6BAB13AD"/>
    <w:rsid w:val="6C4B3B29"/>
    <w:rsid w:val="6C5D4D45"/>
    <w:rsid w:val="6C972414"/>
    <w:rsid w:val="6DE67646"/>
    <w:rsid w:val="6E3D53FE"/>
    <w:rsid w:val="6E51704E"/>
    <w:rsid w:val="6EB17F3B"/>
    <w:rsid w:val="6F0B6B21"/>
    <w:rsid w:val="6FFA6688"/>
    <w:rsid w:val="716D4304"/>
    <w:rsid w:val="71FB616F"/>
    <w:rsid w:val="72846DF6"/>
    <w:rsid w:val="73F72F49"/>
    <w:rsid w:val="74716370"/>
    <w:rsid w:val="74B14782"/>
    <w:rsid w:val="75354DAD"/>
    <w:rsid w:val="75B63A86"/>
    <w:rsid w:val="760F4AB4"/>
    <w:rsid w:val="76422174"/>
    <w:rsid w:val="76BE7CA0"/>
    <w:rsid w:val="77C71FEE"/>
    <w:rsid w:val="786F2F7A"/>
    <w:rsid w:val="787B2FEF"/>
    <w:rsid w:val="78AB3EF5"/>
    <w:rsid w:val="797B1FD5"/>
    <w:rsid w:val="79AF0DE3"/>
    <w:rsid w:val="79F75116"/>
    <w:rsid w:val="7A0818D7"/>
    <w:rsid w:val="7A6061A3"/>
    <w:rsid w:val="7A976741"/>
    <w:rsid w:val="7B49390F"/>
    <w:rsid w:val="7B8C61AB"/>
    <w:rsid w:val="7BD3793A"/>
    <w:rsid w:val="7C5922CF"/>
    <w:rsid w:val="7D113EDB"/>
    <w:rsid w:val="7E46560F"/>
    <w:rsid w:val="7E8E1A70"/>
    <w:rsid w:val="7F345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style>
  <w:style w:type="paragraph" w:styleId="5">
    <w:name w:val="Normal (Web)"/>
    <w:basedOn w:val="1"/>
    <w:unhideWhenUsed/>
    <w:qFormat/>
    <w:uiPriority w:val="99"/>
    <w:pPr>
      <w:spacing w:before="100" w:beforeAutospacing="1" w:after="100" w:afterAutospacing="1"/>
    </w:pPr>
  </w:style>
  <w:style w:type="paragraph" w:styleId="6">
    <w:name w:val="Title"/>
    <w:basedOn w:val="1"/>
    <w:next w:val="1"/>
    <w:link w:val="31"/>
    <w:qFormat/>
    <w:uiPriority w:val="10"/>
    <w:pPr>
      <w:spacing w:before="240" w:after="60"/>
      <w:jc w:val="center"/>
      <w:outlineLvl w:val="0"/>
    </w:pPr>
    <w:rPr>
      <w:rFonts w:hint="default" w:ascii="Cambria" w:hAnsi="Cambria"/>
      <w:b/>
      <w:sz w:val="32"/>
      <w:szCs w:val="32"/>
    </w:rPr>
  </w:style>
  <w:style w:type="character" w:styleId="9">
    <w:name w:val="Strong"/>
    <w:basedOn w:val="8"/>
    <w:qFormat/>
    <w:uiPriority w:val="22"/>
    <w:rPr>
      <w:b/>
    </w:rPr>
  </w:style>
  <w:style w:type="character" w:styleId="10">
    <w:name w:val="page number"/>
    <w:basedOn w:val="8"/>
    <w:qFormat/>
    <w:uiPriority w:val="0"/>
  </w:style>
  <w:style w:type="character" w:styleId="11">
    <w:name w:val="FollowedHyperlink"/>
    <w:basedOn w:val="8"/>
    <w:semiHidden/>
    <w:unhideWhenUsed/>
    <w:qFormat/>
    <w:uiPriority w:val="99"/>
    <w:rPr>
      <w:color w:val="800080"/>
      <w:u w:val="single"/>
    </w:rPr>
  </w:style>
  <w:style w:type="character" w:styleId="12">
    <w:name w:val="Hyperlink"/>
    <w:qFormat/>
    <w:uiPriority w:val="99"/>
    <w:rPr>
      <w:color w:val="0000FF"/>
      <w:u w:val="single"/>
    </w:rPr>
  </w:style>
  <w:style w:type="character" w:customStyle="1" w:styleId="13">
    <w:name w:val="页眉 字符"/>
    <w:basedOn w:val="8"/>
    <w:link w:val="3"/>
    <w:qFormat/>
    <w:uiPriority w:val="99"/>
    <w:rPr>
      <w:sz w:val="18"/>
      <w:szCs w:val="18"/>
    </w:rPr>
  </w:style>
  <w:style w:type="character" w:customStyle="1" w:styleId="14">
    <w:name w:val="页脚 字符"/>
    <w:basedOn w:val="8"/>
    <w:link w:val="2"/>
    <w:qFormat/>
    <w:uiPriority w:val="99"/>
    <w:rPr>
      <w:sz w:val="18"/>
      <w:szCs w:val="18"/>
    </w:rPr>
  </w:style>
  <w:style w:type="character" w:customStyle="1" w:styleId="15">
    <w:name w:val="27"/>
    <w:qFormat/>
    <w:uiPriority w:val="0"/>
    <w:rPr>
      <w:rFonts w:hint="eastAsia" w:ascii="宋体" w:hAnsi="宋体" w:eastAsia="宋体" w:cs="宋体"/>
      <w:b/>
      <w:sz w:val="32"/>
      <w:szCs w:val="32"/>
    </w:rPr>
  </w:style>
  <w:style w:type="character" w:customStyle="1" w:styleId="16">
    <w:name w:val="页码1"/>
    <w:qFormat/>
    <w:uiPriority w:val="0"/>
    <w:rPr>
      <w:rFonts w:hint="default" w:ascii="Times New Roman" w:hAnsi="Times New Roman" w:cs="Times New Roman"/>
    </w:rPr>
  </w:style>
  <w:style w:type="character" w:customStyle="1" w:styleId="17">
    <w:name w:val="22"/>
    <w:qFormat/>
    <w:uiPriority w:val="0"/>
    <w:rPr>
      <w:rFonts w:hint="default" w:ascii="Times New Roman" w:hAnsi="Times New Roman" w:cs="Times New Roman"/>
      <w:b/>
    </w:rPr>
  </w:style>
  <w:style w:type="character" w:customStyle="1" w:styleId="18">
    <w:name w:val="26"/>
    <w:qFormat/>
    <w:uiPriority w:val="0"/>
    <w:rPr>
      <w:rFonts w:hint="default" w:ascii="Times New Roman" w:hAnsi="Times New Roman" w:cs="Times New Roman"/>
      <w:b/>
    </w:rPr>
  </w:style>
  <w:style w:type="character" w:customStyle="1" w:styleId="19">
    <w:name w:val="20"/>
    <w:qFormat/>
    <w:uiPriority w:val="0"/>
    <w:rPr>
      <w:rFonts w:hint="default" w:ascii="Times New Roman" w:hAnsi="Times New Roman" w:cs="Times New Roman"/>
      <w:b/>
    </w:rPr>
  </w:style>
  <w:style w:type="character" w:customStyle="1" w:styleId="20">
    <w:name w:val="18"/>
    <w:qFormat/>
    <w:uiPriority w:val="0"/>
    <w:rPr>
      <w:rFonts w:hint="default" w:ascii="Times New Roman" w:hAnsi="Times New Roman" w:cs="Times New Roman"/>
      <w:b/>
      <w:bCs/>
    </w:rPr>
  </w:style>
  <w:style w:type="character" w:customStyle="1" w:styleId="21">
    <w:name w:val="19"/>
    <w:qFormat/>
    <w:uiPriority w:val="0"/>
    <w:rPr>
      <w:rFonts w:hint="eastAsia" w:ascii="黑体" w:hAnsi="宋体" w:eastAsia="黑体" w:cs="黑体"/>
      <w:color w:val="000000"/>
      <w:sz w:val="30"/>
      <w:szCs w:val="30"/>
    </w:rPr>
  </w:style>
  <w:style w:type="character" w:customStyle="1" w:styleId="22">
    <w:name w:val="25"/>
    <w:qFormat/>
    <w:uiPriority w:val="0"/>
    <w:rPr>
      <w:rFonts w:hint="eastAsia" w:ascii="黑体" w:eastAsia="黑体" w:cs="黑体"/>
      <w:color w:val="000000"/>
      <w:sz w:val="30"/>
      <w:szCs w:val="30"/>
    </w:rPr>
  </w:style>
  <w:style w:type="character" w:customStyle="1" w:styleId="23">
    <w:name w:val="16"/>
    <w:qFormat/>
    <w:uiPriority w:val="0"/>
    <w:rPr>
      <w:rFonts w:hint="default" w:ascii="Times New Roman" w:hAnsi="Times New Roman" w:cs="Times New Roman"/>
      <w:b/>
    </w:rPr>
  </w:style>
  <w:style w:type="character" w:customStyle="1" w:styleId="24">
    <w:name w:val="28"/>
    <w:qFormat/>
    <w:uiPriority w:val="0"/>
    <w:rPr>
      <w:rFonts w:hint="default" w:ascii="Calibri" w:hAnsi="Calibri" w:cs="Calibri"/>
    </w:rPr>
  </w:style>
  <w:style w:type="character" w:customStyle="1" w:styleId="25">
    <w:name w:val="15"/>
    <w:basedOn w:val="8"/>
    <w:qFormat/>
    <w:uiPriority w:val="0"/>
    <w:rPr>
      <w:rFonts w:hint="default" w:ascii="Times New Roman" w:hAnsi="Times New Roman" w:cs="Times New Roman"/>
      <w:b/>
    </w:rPr>
  </w:style>
  <w:style w:type="character" w:customStyle="1" w:styleId="26">
    <w:name w:val="24"/>
    <w:qFormat/>
    <w:uiPriority w:val="0"/>
    <w:rPr>
      <w:rFonts w:hint="default" w:ascii="Times New Roman" w:hAnsi="Times New Roman" w:cs="Times New Roman"/>
      <w:b/>
    </w:rPr>
  </w:style>
  <w:style w:type="character" w:customStyle="1" w:styleId="27">
    <w:name w:val="17"/>
    <w:qFormat/>
    <w:uiPriority w:val="0"/>
    <w:rPr>
      <w:rFonts w:hint="default" w:ascii="Times New Roman" w:hAnsi="Times New Roman" w:cs="Times New Roman"/>
      <w:b/>
    </w:rPr>
  </w:style>
  <w:style w:type="character" w:customStyle="1" w:styleId="28">
    <w:name w:val="p17 Char"/>
    <w:link w:val="29"/>
    <w:qFormat/>
    <w:uiPriority w:val="0"/>
    <w:rPr>
      <w:rFonts w:ascii="宋体" w:hAnsi="宋体"/>
      <w:kern w:val="0"/>
      <w:sz w:val="24"/>
      <w:szCs w:val="24"/>
    </w:rPr>
  </w:style>
  <w:style w:type="paragraph" w:customStyle="1" w:styleId="29">
    <w:name w:val="p17"/>
    <w:basedOn w:val="1"/>
    <w:link w:val="28"/>
    <w:qFormat/>
    <w:uiPriority w:val="0"/>
    <w:pPr>
      <w:spacing w:before="100" w:after="100"/>
    </w:pPr>
    <w:rPr>
      <w:rFonts w:eastAsiaTheme="minorEastAsia" w:cstheme="minorBidi"/>
    </w:rPr>
  </w:style>
  <w:style w:type="paragraph" w:customStyle="1" w:styleId="30">
    <w:name w:val="p30"/>
    <w:basedOn w:val="1"/>
    <w:qFormat/>
    <w:uiPriority w:val="0"/>
    <w:pPr>
      <w:spacing w:before="100" w:after="100"/>
    </w:pPr>
  </w:style>
  <w:style w:type="character" w:customStyle="1" w:styleId="31">
    <w:name w:val="标题 字符"/>
    <w:basedOn w:val="8"/>
    <w:link w:val="6"/>
    <w:qFormat/>
    <w:uiPriority w:val="10"/>
    <w:rPr>
      <w:rFonts w:ascii="Cambria" w:hAnsi="Cambria" w:eastAsia="宋体" w:cs="Times New Roman"/>
      <w:b/>
      <w:kern w:val="0"/>
      <w:sz w:val="32"/>
      <w:szCs w:val="32"/>
    </w:rPr>
  </w:style>
  <w:style w:type="paragraph" w:customStyle="1" w:styleId="32">
    <w:name w:val="p26"/>
    <w:basedOn w:val="1"/>
    <w:qFormat/>
    <w:uiPriority w:val="0"/>
  </w:style>
  <w:style w:type="paragraph" w:customStyle="1" w:styleId="33">
    <w:name w:val="p43"/>
    <w:basedOn w:val="1"/>
    <w:qFormat/>
    <w:uiPriority w:val="0"/>
  </w:style>
  <w:style w:type="paragraph" w:customStyle="1" w:styleId="34">
    <w:name w:val="列出段落1"/>
    <w:basedOn w:val="1"/>
    <w:qFormat/>
    <w:uiPriority w:val="99"/>
    <w:pPr>
      <w:ind w:firstLine="420" w:firstLineChars="200"/>
    </w:pPr>
  </w:style>
  <w:style w:type="paragraph" w:customStyle="1" w:styleId="35">
    <w:name w:val="p23"/>
    <w:basedOn w:val="1"/>
    <w:qFormat/>
    <w:uiPriority w:val="0"/>
    <w:pPr>
      <w:spacing w:before="100" w:after="100"/>
    </w:pPr>
  </w:style>
  <w:style w:type="paragraph" w:customStyle="1" w:styleId="36">
    <w:name w:val="p21"/>
    <w:basedOn w:val="1"/>
    <w:qFormat/>
    <w:uiPriority w:val="0"/>
    <w:pPr>
      <w:spacing w:before="100" w:after="100"/>
    </w:pPr>
  </w:style>
  <w:style w:type="paragraph" w:customStyle="1" w:styleId="37">
    <w:name w:val="p29"/>
    <w:basedOn w:val="1"/>
    <w:qFormat/>
    <w:uiPriority w:val="0"/>
  </w:style>
  <w:style w:type="paragraph" w:customStyle="1" w:styleId="38">
    <w:name w:val="p0"/>
    <w:basedOn w:val="1"/>
    <w:qFormat/>
    <w:uiPriority w:val="0"/>
  </w:style>
  <w:style w:type="paragraph" w:customStyle="1" w:styleId="39">
    <w:name w:val="p27"/>
    <w:basedOn w:val="1"/>
    <w:qFormat/>
    <w:uiPriority w:val="0"/>
  </w:style>
  <w:style w:type="paragraph" w:customStyle="1" w:styleId="40">
    <w:name w:val="p22"/>
    <w:basedOn w:val="1"/>
    <w:qFormat/>
    <w:uiPriority w:val="0"/>
  </w:style>
  <w:style w:type="paragraph" w:customStyle="1" w:styleId="41">
    <w:name w:val="p32"/>
    <w:basedOn w:val="1"/>
    <w:qFormat/>
    <w:uiPriority w:val="0"/>
    <w:pPr>
      <w:spacing w:before="100" w:after="100" w:line="240" w:lineRule="atLeast"/>
    </w:pPr>
  </w:style>
  <w:style w:type="paragraph" w:customStyle="1" w:styleId="42">
    <w:name w:val="样式1"/>
    <w:basedOn w:val="1"/>
    <w:qFormat/>
    <w:uiPriority w:val="0"/>
    <w:pPr>
      <w:spacing w:line="600" w:lineRule="exact"/>
      <w:ind w:firstLine="640" w:firstLineChars="200"/>
    </w:pPr>
    <w:rPr>
      <w:rFonts w:hint="default" w:ascii="Times New Roman" w:hAnsi="Times New Roman" w:eastAsia="方正仿宋_GBK"/>
      <w:spacing w:val="-3"/>
      <w:sz w:val="32"/>
      <w:szCs w:val="32"/>
    </w:rPr>
  </w:style>
  <w:style w:type="paragraph" w:customStyle="1" w:styleId="43">
    <w:name w:val="普通(网站) Char"/>
    <w:basedOn w:val="1"/>
    <w:qFormat/>
    <w:uiPriority w:val="0"/>
    <w:pPr>
      <w:spacing w:before="100" w:beforeAutospacing="1" w:after="100" w:afterAutospacing="1"/>
    </w:pPr>
  </w:style>
  <w:style w:type="paragraph" w:customStyle="1" w:styleId="44">
    <w:name w:val="p24"/>
    <w:basedOn w:val="1"/>
    <w:qFormat/>
    <w:uiPriority w:val="0"/>
    <w:pPr>
      <w:spacing w:before="100" w:after="100"/>
    </w:pPr>
  </w:style>
  <w:style w:type="paragraph" w:customStyle="1" w:styleId="45">
    <w:name w:val="_Style 1"/>
    <w:basedOn w:val="1"/>
    <w:qFormat/>
    <w:uiPriority w:val="99"/>
    <w:pPr>
      <w:ind w:firstLine="420" w:firstLineChars="200"/>
    </w:pPr>
  </w:style>
  <w:style w:type="paragraph" w:customStyle="1" w:styleId="46">
    <w:name w:val="无间隔1"/>
    <w:basedOn w:val="1"/>
    <w:qFormat/>
    <w:uiPriority w:val="1"/>
    <w:pPr>
      <w:widowControl w:val="0"/>
      <w:jc w:val="both"/>
    </w:pPr>
    <w:rPr>
      <w:rFonts w:hint="default" w:ascii="Calibri" w:hAnsi="Calibri"/>
      <w:kern w:val="2"/>
      <w:sz w:val="21"/>
      <w:szCs w:val="22"/>
    </w:rPr>
  </w:style>
  <w:style w:type="paragraph" w:customStyle="1" w:styleId="47">
    <w:name w:val="msolistparagraph"/>
    <w:basedOn w:val="1"/>
    <w:qFormat/>
    <w:uiPriority w:val="0"/>
    <w:pPr>
      <w:ind w:firstLine="420" w:firstLineChars="200"/>
    </w:pPr>
  </w:style>
  <w:style w:type="paragraph" w:customStyle="1" w:styleId="48">
    <w:name w:val="WPSOffice手动目录 1"/>
    <w:qFormat/>
    <w:uiPriority w:val="0"/>
    <w:rPr>
      <w:rFonts w:ascii="Calibri" w:hAnsi="Calibri" w:eastAsia="宋体" w:cs="Times New Roman"/>
      <w:lang w:val="en-US" w:eastAsia="zh-CN" w:bidi="ar-SA"/>
    </w:rPr>
  </w:style>
  <w:style w:type="paragraph" w:styleId="49">
    <w:name w:val="List Paragraph"/>
    <w:basedOn w:val="1"/>
    <w:qFormat/>
    <w:uiPriority w:val="34"/>
    <w:pPr>
      <w:widowControl w:val="0"/>
      <w:ind w:firstLine="420" w:firstLineChars="200"/>
      <w:jc w:val="both"/>
    </w:pPr>
    <w:rPr>
      <w:rFonts w:hint="default" w:ascii="Times New Roman" w:hAnsi="Times New Roman"/>
      <w:kern w:val="2"/>
      <w:sz w:val="21"/>
      <w:szCs w:val="22"/>
    </w:rPr>
  </w:style>
  <w:style w:type="paragraph" w:customStyle="1" w:styleId="50">
    <w:name w:val="xl65"/>
    <w:basedOn w:val="1"/>
    <w:qFormat/>
    <w:uiPriority w:val="0"/>
    <w:pPr>
      <w:pBdr>
        <w:bottom w:val="single" w:color="000000" w:sz="4" w:space="0"/>
        <w:right w:val="single" w:color="000000" w:sz="4" w:space="0"/>
      </w:pBdr>
      <w:shd w:val="clear" w:color="000000" w:fill="FFFFFF"/>
      <w:spacing w:before="100" w:beforeAutospacing="1" w:after="100" w:afterAutospacing="1"/>
      <w:jc w:val="right"/>
      <w:textAlignment w:val="center"/>
    </w:pPr>
    <w:rPr>
      <w:rFonts w:hint="default" w:cs="宋体"/>
    </w:rPr>
  </w:style>
  <w:style w:type="paragraph" w:customStyle="1" w:styleId="51">
    <w:name w:val="xl66"/>
    <w:basedOn w:val="1"/>
    <w:qFormat/>
    <w:uiPriority w:val="0"/>
    <w:pPr>
      <w:pBdr>
        <w:bottom w:val="single" w:color="000000" w:sz="4" w:space="0"/>
        <w:right w:val="single" w:color="000000" w:sz="4" w:space="0"/>
      </w:pBdr>
      <w:shd w:val="clear" w:color="000000" w:fill="00FF00"/>
      <w:spacing w:before="100" w:beforeAutospacing="1" w:after="100" w:afterAutospacing="1"/>
      <w:jc w:val="right"/>
      <w:textAlignment w:val="center"/>
    </w:pPr>
    <w:rPr>
      <w:rFonts w:hint="default" w:cs="宋体"/>
    </w:rPr>
  </w:style>
  <w:style w:type="paragraph" w:customStyle="1" w:styleId="52">
    <w:name w:val="xl67"/>
    <w:basedOn w:val="1"/>
    <w:qFormat/>
    <w:uiPriority w:val="0"/>
    <w:pPr>
      <w:pBdr>
        <w:bottom w:val="single" w:color="000000" w:sz="4" w:space="0"/>
        <w:right w:val="single" w:color="000000" w:sz="12" w:space="0"/>
      </w:pBdr>
      <w:shd w:val="clear" w:color="000000" w:fill="00FF00"/>
      <w:spacing w:before="100" w:beforeAutospacing="1" w:after="100" w:afterAutospacing="1"/>
      <w:jc w:val="right"/>
      <w:textAlignment w:val="center"/>
    </w:pPr>
    <w:rPr>
      <w:rFonts w:hint="default" w:cs="宋体"/>
    </w:rPr>
  </w:style>
  <w:style w:type="paragraph" w:customStyle="1" w:styleId="53">
    <w:name w:val="xl68"/>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textAlignment w:val="center"/>
    </w:pPr>
    <w:rPr>
      <w:rFonts w:hint="default" w:cs="宋体"/>
    </w:rPr>
  </w:style>
  <w:style w:type="paragraph" w:customStyle="1" w:styleId="54">
    <w:name w:val="xl69"/>
    <w:basedOn w:val="1"/>
    <w:qFormat/>
    <w:uiPriority w:val="0"/>
    <w:pPr>
      <w:pBdr>
        <w:bottom w:val="single" w:color="000000" w:sz="4" w:space="0"/>
        <w:right w:val="single" w:color="000000" w:sz="4" w:space="0"/>
      </w:pBdr>
      <w:shd w:val="clear" w:color="000000" w:fill="FFFFFF"/>
      <w:spacing w:before="100" w:beforeAutospacing="1" w:after="100" w:afterAutospacing="1"/>
      <w:jc w:val="right"/>
      <w:textAlignment w:val="center"/>
    </w:pPr>
    <w:rPr>
      <w:rFonts w:hint="default" w:cs="宋体"/>
    </w:rPr>
  </w:style>
  <w:style w:type="paragraph" w:customStyle="1" w:styleId="55">
    <w:name w:val="xl70"/>
    <w:basedOn w:val="1"/>
    <w:qFormat/>
    <w:uiPriority w:val="0"/>
    <w:pPr>
      <w:pBdr>
        <w:bottom w:val="single" w:color="000000" w:sz="4" w:space="0"/>
        <w:right w:val="single" w:color="000000" w:sz="12" w:space="0"/>
      </w:pBdr>
      <w:shd w:val="clear" w:color="000000" w:fill="FFFFFF"/>
      <w:spacing w:before="100" w:beforeAutospacing="1" w:after="100" w:afterAutospacing="1"/>
      <w:jc w:val="right"/>
      <w:textAlignment w:val="center"/>
    </w:pPr>
    <w:rPr>
      <w:rFonts w:hint="default" w:cs="宋体"/>
    </w:rPr>
  </w:style>
  <w:style w:type="paragraph" w:customStyle="1" w:styleId="56">
    <w:name w:val="xl71"/>
    <w:basedOn w:val="1"/>
    <w:qFormat/>
    <w:uiPriority w:val="0"/>
    <w:pPr>
      <w:pBdr>
        <w:bottom w:val="single" w:color="000000" w:sz="4" w:space="0"/>
        <w:right w:val="single" w:color="000000" w:sz="4" w:space="0"/>
      </w:pBdr>
      <w:shd w:val="clear" w:color="000000" w:fill="FFFFFF"/>
      <w:spacing w:before="100" w:beforeAutospacing="1" w:after="100" w:afterAutospacing="1"/>
      <w:jc w:val="center"/>
      <w:textAlignment w:val="center"/>
    </w:pPr>
    <w:rPr>
      <w:rFonts w:hint="default" w:cs="宋体"/>
    </w:rPr>
  </w:style>
  <w:style w:type="paragraph" w:customStyle="1" w:styleId="57">
    <w:name w:val="xl72"/>
    <w:basedOn w:val="1"/>
    <w:qFormat/>
    <w:uiPriority w:val="0"/>
    <w:pPr>
      <w:pBdr>
        <w:bottom w:val="single" w:color="000000" w:sz="4" w:space="0"/>
        <w:right w:val="single" w:color="000000" w:sz="12" w:space="0"/>
      </w:pBdr>
      <w:shd w:val="clear" w:color="000000" w:fill="FFFFFF"/>
      <w:spacing w:before="100" w:beforeAutospacing="1" w:after="100" w:afterAutospacing="1"/>
      <w:jc w:val="center"/>
      <w:textAlignment w:val="center"/>
    </w:pPr>
    <w:rPr>
      <w:rFonts w:hint="default" w:cs="宋体"/>
    </w:rPr>
  </w:style>
  <w:style w:type="paragraph" w:customStyle="1" w:styleId="58">
    <w:name w:val="xl73"/>
    <w:basedOn w:val="1"/>
    <w:qFormat/>
    <w:uiPriority w:val="0"/>
    <w:pPr>
      <w:pBdr>
        <w:bottom w:val="single" w:color="000000" w:sz="12" w:space="0"/>
        <w:right w:val="single" w:color="000000" w:sz="4" w:space="0"/>
      </w:pBdr>
      <w:shd w:val="clear" w:color="000000" w:fill="00FF00"/>
      <w:spacing w:before="100" w:beforeAutospacing="1" w:after="100" w:afterAutospacing="1"/>
      <w:jc w:val="right"/>
      <w:textAlignment w:val="center"/>
    </w:pPr>
    <w:rPr>
      <w:rFonts w:hint="default" w:cs="宋体"/>
    </w:rPr>
  </w:style>
  <w:style w:type="paragraph" w:customStyle="1" w:styleId="59">
    <w:name w:val="xl74"/>
    <w:basedOn w:val="1"/>
    <w:qFormat/>
    <w:uiPriority w:val="0"/>
    <w:pPr>
      <w:pBdr>
        <w:bottom w:val="single" w:color="000000" w:sz="12" w:space="0"/>
        <w:right w:val="single" w:color="000000" w:sz="12" w:space="0"/>
      </w:pBdr>
      <w:shd w:val="clear" w:color="000000" w:fill="00FF00"/>
      <w:spacing w:before="100" w:beforeAutospacing="1" w:after="100" w:afterAutospacing="1"/>
      <w:jc w:val="right"/>
      <w:textAlignment w:val="center"/>
    </w:pPr>
    <w:rPr>
      <w:rFonts w:hint="default" w:cs="宋体"/>
    </w:rPr>
  </w:style>
  <w:style w:type="paragraph" w:customStyle="1" w:styleId="60">
    <w:name w:val="xl75"/>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jc w:val="center"/>
      <w:textAlignment w:val="center"/>
    </w:pPr>
    <w:rPr>
      <w:rFonts w:hint="default" w:cs="宋体"/>
    </w:rPr>
  </w:style>
  <w:style w:type="paragraph" w:customStyle="1" w:styleId="61">
    <w:name w:val="xl76"/>
    <w:basedOn w:val="1"/>
    <w:qFormat/>
    <w:uiPriority w:val="0"/>
    <w:pPr>
      <w:pBdr>
        <w:bottom w:val="single" w:color="000000" w:sz="4" w:space="0"/>
        <w:right w:val="single" w:color="000000" w:sz="12" w:space="0"/>
      </w:pBdr>
      <w:shd w:val="clear" w:color="000000" w:fill="C0C0C0"/>
      <w:spacing w:before="100" w:beforeAutospacing="1" w:after="100" w:afterAutospacing="1"/>
      <w:jc w:val="center"/>
      <w:textAlignment w:val="center"/>
    </w:pPr>
    <w:rPr>
      <w:rFonts w:hint="default" w:cs="宋体"/>
    </w:rPr>
  </w:style>
  <w:style w:type="paragraph" w:customStyle="1" w:styleId="62">
    <w:name w:val="xl77"/>
    <w:basedOn w:val="1"/>
    <w:qFormat/>
    <w:uiPriority w:val="0"/>
    <w:pPr>
      <w:pBdr>
        <w:bottom w:val="single" w:color="000000" w:sz="4" w:space="0"/>
        <w:right w:val="single" w:color="000000" w:sz="4" w:space="0"/>
      </w:pBdr>
      <w:shd w:val="clear" w:color="000000" w:fill="C0C0C0"/>
      <w:spacing w:before="100" w:beforeAutospacing="1" w:after="100" w:afterAutospacing="1"/>
      <w:jc w:val="center"/>
      <w:textAlignment w:val="center"/>
    </w:pPr>
    <w:rPr>
      <w:rFonts w:hint="default" w:cs="宋体"/>
    </w:rPr>
  </w:style>
  <w:style w:type="paragraph" w:customStyle="1" w:styleId="63">
    <w:name w:val="xl78"/>
    <w:basedOn w:val="1"/>
    <w:qFormat/>
    <w:uiPriority w:val="0"/>
    <w:pPr>
      <w:pBdr>
        <w:bottom w:val="single" w:color="000000" w:sz="4" w:space="0"/>
        <w:right w:val="single" w:color="000000" w:sz="4" w:space="0"/>
      </w:pBdr>
      <w:shd w:val="clear" w:color="000000" w:fill="C0C0C0"/>
      <w:spacing w:before="100" w:beforeAutospacing="1" w:after="100" w:afterAutospacing="1"/>
      <w:jc w:val="center"/>
      <w:textAlignment w:val="center"/>
    </w:pPr>
    <w:rPr>
      <w:rFonts w:hint="default" w:cs="宋体"/>
    </w:rPr>
  </w:style>
  <w:style w:type="paragraph" w:customStyle="1" w:styleId="64">
    <w:name w:val="xl79"/>
    <w:basedOn w:val="1"/>
    <w:qFormat/>
    <w:uiPriority w:val="0"/>
    <w:pPr>
      <w:pBdr>
        <w:bottom w:val="single" w:color="000000" w:sz="4" w:space="0"/>
        <w:right w:val="single" w:color="000000" w:sz="12" w:space="0"/>
      </w:pBdr>
      <w:shd w:val="clear" w:color="000000" w:fill="C0C0C0"/>
      <w:spacing w:before="100" w:beforeAutospacing="1" w:after="100" w:afterAutospacing="1"/>
      <w:jc w:val="center"/>
      <w:textAlignment w:val="center"/>
    </w:pPr>
    <w:rPr>
      <w:rFonts w:hint="default" w:cs="宋体"/>
    </w:rPr>
  </w:style>
  <w:style w:type="paragraph" w:customStyle="1" w:styleId="65">
    <w:name w:val="xl80"/>
    <w:basedOn w:val="1"/>
    <w:qFormat/>
    <w:uiPriority w:val="0"/>
    <w:pPr>
      <w:pBdr>
        <w:bottom w:val="single" w:color="000000" w:sz="4" w:space="0"/>
        <w:right w:val="single" w:color="000000" w:sz="4" w:space="0"/>
      </w:pBdr>
      <w:shd w:val="clear" w:color="000000" w:fill="C0C0C0"/>
      <w:spacing w:before="100" w:beforeAutospacing="1" w:after="100" w:afterAutospacing="1"/>
      <w:textAlignment w:val="center"/>
    </w:pPr>
    <w:rPr>
      <w:rFonts w:hint="default" w:cs="宋体"/>
    </w:rPr>
  </w:style>
  <w:style w:type="paragraph" w:customStyle="1" w:styleId="66">
    <w:name w:val="xl81"/>
    <w:basedOn w:val="1"/>
    <w:qFormat/>
    <w:uiPriority w:val="0"/>
    <w:pPr>
      <w:pBdr>
        <w:bottom w:val="single" w:color="000000" w:sz="4" w:space="0"/>
        <w:right w:val="single" w:color="000000" w:sz="4" w:space="0"/>
      </w:pBdr>
      <w:shd w:val="clear" w:color="000000" w:fill="C0C0C0"/>
      <w:spacing w:before="100" w:beforeAutospacing="1" w:after="100" w:afterAutospacing="1"/>
      <w:textAlignment w:val="center"/>
    </w:pPr>
    <w:rPr>
      <w:rFonts w:hint="default" w:cs="宋体"/>
    </w:rPr>
  </w:style>
  <w:style w:type="paragraph" w:customStyle="1" w:styleId="67">
    <w:name w:val="xl82"/>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jc w:val="center"/>
      <w:textAlignment w:val="center"/>
    </w:pPr>
    <w:rPr>
      <w:rFonts w:hint="default" w:cs="宋体"/>
      <w:b/>
      <w:bCs/>
    </w:rPr>
  </w:style>
  <w:style w:type="paragraph" w:customStyle="1" w:styleId="68">
    <w:name w:val="xl83"/>
    <w:basedOn w:val="1"/>
    <w:qFormat/>
    <w:uiPriority w:val="0"/>
    <w:pPr>
      <w:pBdr>
        <w:bottom w:val="single" w:color="000000" w:sz="4" w:space="0"/>
        <w:right w:val="single" w:color="000000" w:sz="4" w:space="0"/>
      </w:pBdr>
      <w:shd w:val="clear" w:color="000000" w:fill="C0C0C0"/>
      <w:spacing w:before="100" w:beforeAutospacing="1" w:after="100" w:afterAutospacing="1"/>
      <w:jc w:val="center"/>
      <w:textAlignment w:val="center"/>
    </w:pPr>
    <w:rPr>
      <w:rFonts w:hint="default" w:cs="宋体"/>
      <w:b/>
      <w:bCs/>
    </w:rPr>
  </w:style>
  <w:style w:type="paragraph" w:customStyle="1" w:styleId="69">
    <w:name w:val="xl84"/>
    <w:basedOn w:val="1"/>
    <w:qFormat/>
    <w:uiPriority w:val="0"/>
    <w:pPr>
      <w:pBdr>
        <w:left w:val="single" w:color="000000" w:sz="12" w:space="0"/>
        <w:bottom w:val="single" w:color="000000" w:sz="12" w:space="0"/>
        <w:right w:val="single" w:color="000000" w:sz="4" w:space="0"/>
      </w:pBdr>
      <w:shd w:val="clear" w:color="000000" w:fill="C0C0C0"/>
      <w:spacing w:before="100" w:beforeAutospacing="1" w:after="100" w:afterAutospacing="1"/>
      <w:jc w:val="center"/>
      <w:textAlignment w:val="center"/>
    </w:pPr>
    <w:rPr>
      <w:rFonts w:hint="default" w:cs="宋体"/>
      <w:b/>
      <w:bCs/>
    </w:rPr>
  </w:style>
  <w:style w:type="paragraph" w:customStyle="1" w:styleId="70">
    <w:name w:val="xl85"/>
    <w:basedOn w:val="1"/>
    <w:qFormat/>
    <w:uiPriority w:val="0"/>
    <w:pPr>
      <w:pBdr>
        <w:bottom w:val="single" w:color="000000" w:sz="12" w:space="0"/>
        <w:right w:val="single" w:color="000000" w:sz="4" w:space="0"/>
      </w:pBdr>
      <w:shd w:val="clear" w:color="000000" w:fill="C0C0C0"/>
      <w:spacing w:before="100" w:beforeAutospacing="1" w:after="100" w:afterAutospacing="1"/>
      <w:jc w:val="center"/>
      <w:textAlignment w:val="center"/>
    </w:pPr>
    <w:rPr>
      <w:rFonts w:hint="default" w:cs="宋体"/>
    </w:rPr>
  </w:style>
  <w:style w:type="paragraph" w:customStyle="1" w:styleId="71">
    <w:name w:val="xl86"/>
    <w:basedOn w:val="1"/>
    <w:qFormat/>
    <w:uiPriority w:val="0"/>
    <w:pPr>
      <w:pBdr>
        <w:bottom w:val="single" w:color="000000" w:sz="12" w:space="0"/>
        <w:right w:val="single" w:color="000000" w:sz="4" w:space="0"/>
      </w:pBdr>
      <w:shd w:val="clear" w:color="000000" w:fill="C0C0C0"/>
      <w:spacing w:before="100" w:beforeAutospacing="1" w:after="100" w:afterAutospacing="1"/>
      <w:jc w:val="center"/>
      <w:textAlignment w:val="center"/>
    </w:pPr>
    <w:rPr>
      <w:rFonts w:hint="default" w:cs="宋体"/>
      <w:b/>
      <w:bCs/>
    </w:rPr>
  </w:style>
  <w:style w:type="paragraph" w:customStyle="1" w:styleId="72">
    <w:name w:val="xl87"/>
    <w:basedOn w:val="1"/>
    <w:qFormat/>
    <w:uiPriority w:val="0"/>
    <w:pPr>
      <w:pBdr>
        <w:bottom w:val="single" w:color="000000" w:sz="4" w:space="0"/>
        <w:right w:val="single" w:color="000000" w:sz="4" w:space="0"/>
      </w:pBdr>
      <w:spacing w:before="100" w:beforeAutospacing="1" w:after="100" w:afterAutospacing="1"/>
      <w:jc w:val="center"/>
      <w:textAlignment w:val="center"/>
    </w:pPr>
    <w:rPr>
      <w:rFonts w:hint="default" w:cs="宋体"/>
    </w:rPr>
  </w:style>
  <w:style w:type="paragraph" w:customStyle="1" w:styleId="73">
    <w:name w:val="xl88"/>
    <w:basedOn w:val="1"/>
    <w:qFormat/>
    <w:uiPriority w:val="0"/>
    <w:pPr>
      <w:pBdr>
        <w:bottom w:val="single" w:color="000000" w:sz="4" w:space="0"/>
        <w:right w:val="single" w:color="000000" w:sz="12" w:space="0"/>
      </w:pBdr>
      <w:spacing w:before="100" w:beforeAutospacing="1" w:after="100" w:afterAutospacing="1"/>
      <w:jc w:val="center"/>
      <w:textAlignment w:val="center"/>
    </w:pPr>
    <w:rPr>
      <w:rFonts w:hint="default" w:cs="宋体"/>
    </w:rPr>
  </w:style>
  <w:style w:type="paragraph" w:customStyle="1" w:styleId="74">
    <w:name w:val="xl89"/>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jc w:val="center"/>
      <w:textAlignment w:val="center"/>
    </w:pPr>
    <w:rPr>
      <w:rFonts w:hint="default" w:cs="宋体"/>
    </w:rPr>
  </w:style>
  <w:style w:type="paragraph" w:customStyle="1" w:styleId="75">
    <w:name w:val="xl90"/>
    <w:basedOn w:val="1"/>
    <w:qFormat/>
    <w:uiPriority w:val="0"/>
    <w:pPr>
      <w:pBdr>
        <w:left w:val="single" w:color="000000" w:sz="12" w:space="0"/>
        <w:bottom w:val="single" w:color="000000" w:sz="4" w:space="0"/>
        <w:right w:val="single" w:color="000000" w:sz="4" w:space="0"/>
      </w:pBdr>
      <w:spacing w:before="100" w:beforeAutospacing="1" w:after="100" w:afterAutospacing="1"/>
      <w:jc w:val="center"/>
      <w:textAlignment w:val="center"/>
    </w:pPr>
    <w:rPr>
      <w:rFonts w:hint="default" w:cs="宋体"/>
    </w:rPr>
  </w:style>
  <w:style w:type="paragraph" w:customStyle="1" w:styleId="76">
    <w:name w:val="xl91"/>
    <w:basedOn w:val="1"/>
    <w:qFormat/>
    <w:uiPriority w:val="0"/>
    <w:pPr>
      <w:pBdr>
        <w:bottom w:val="single" w:color="000000" w:sz="4" w:space="0"/>
        <w:right w:val="single" w:color="000000" w:sz="4" w:space="0"/>
      </w:pBdr>
      <w:spacing w:before="100" w:beforeAutospacing="1" w:after="100" w:afterAutospacing="1"/>
      <w:jc w:val="center"/>
      <w:textAlignment w:val="center"/>
    </w:pPr>
    <w:rPr>
      <w:rFonts w:hint="default"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53E93-8A03-463A-82CF-F2843825E19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4219</Words>
  <Characters>4588</Characters>
  <Lines>46</Lines>
  <Paragraphs>13</Paragraphs>
  <TotalTime>2</TotalTime>
  <ScaleCrop>false</ScaleCrop>
  <LinksUpToDate>false</LinksUpToDate>
  <CharactersWithSpaces>4595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2018-09-29T02:06:00Z</dcterms:created>
  <dc:creator>User</dc:creator>
  <cp:lastModifiedBy>肖肖</cp:lastModifiedBy>
  <cp:lastPrinted>2024-08-20T06:22:00Z</cp:lastPrinted>
  <dcterms:modified xsi:type="dcterms:W3CDTF">2024-10-25T07:16:15Z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89E4A59F78D84BE184AF492CA5A45B2C</vt:lpwstr>
  </property>
</Properties>
</file>