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重庆市渝中区大数据应用发展管理局</w:t>
      </w:r>
    </w:p>
    <w:p>
      <w:pPr>
        <w:pStyle w:val="7"/>
        <w:spacing w:before="0" w:beforeAutospacing="0" w:after="0" w:afterAutospacing="0" w:line="594" w:lineRule="exact"/>
        <w:jc w:val="center"/>
        <w:rPr>
          <w:rFonts w:ascii="Times New Roman" w:hAnsi="Times New Roman" w:eastAsia="方正小标宋_GBK"/>
          <w:sz w:val="44"/>
          <w:szCs w:val="44"/>
          <w:shd w:val="clear" w:color="auto" w:fill="FFFFFF"/>
        </w:rPr>
      </w:pPr>
      <w:r>
        <w:rPr>
          <w:rFonts w:ascii="Times New Roman" w:hAnsi="Times New Roman" w:eastAsia="方正小标宋_GBK"/>
          <w:sz w:val="44"/>
          <w:szCs w:val="44"/>
          <w:shd w:val="clear" w:color="auto" w:fill="FFFFFF"/>
        </w:rPr>
        <w:t>2023年度部门决算公开说明</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一、部门基本情况</w:t>
      </w:r>
    </w:p>
    <w:p>
      <w:pPr>
        <w:pStyle w:val="7"/>
        <w:shd w:val="clear" w:color="auto" w:fill="FFFFFF"/>
        <w:spacing w:before="0" w:beforeAutospacing="0" w:after="0" w:afterAutospacing="0" w:line="594" w:lineRule="exact"/>
        <w:ind w:firstLine="640" w:firstLineChars="200"/>
        <w:rPr>
          <w:rFonts w:ascii="方正楷体_GBK" w:eastAsia="方正楷体_GBK" w:cs="方正楷体_GBK"/>
          <w:bCs/>
          <w:sz w:val="32"/>
          <w:szCs w:val="32"/>
        </w:rPr>
      </w:pPr>
      <w:r>
        <w:rPr>
          <w:rStyle w:val="10"/>
          <w:rFonts w:ascii="方正楷体_GBK" w:eastAsia="方正楷体_GBK" w:cs="方正楷体_GBK"/>
          <w:b w:val="0"/>
          <w:bCs/>
          <w:sz w:val="32"/>
          <w:szCs w:val="32"/>
          <w:shd w:val="clear" w:color="auto" w:fill="FFFFFF"/>
        </w:rPr>
        <w:t>（一）职能职责</w:t>
      </w:r>
    </w:p>
    <w:p>
      <w:pPr>
        <w:pStyle w:val="7"/>
        <w:widowControl w:val="0"/>
        <w:shd w:val="clear" w:color="auto" w:fill="FFFFFF"/>
        <w:autoSpaceDE w:val="0"/>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Fonts w:ascii="Times New Roman" w:hAnsi="Times New Roman" w:eastAsia="方正仿宋_GBK"/>
          <w:bCs/>
          <w:sz w:val="32"/>
          <w:szCs w:val="32"/>
          <w:shd w:val="clear" w:color="auto" w:fill="FFFFFF"/>
        </w:rPr>
        <w:t>负责贯彻落实大数据、人工智能、信息化领域相关法律法规规章，起草相关领域规范性文件草案，组织实施行业技术规划和标准；负责协调推进数据基础制度建设，统筹数据资源整合共享和开发利用，统筹推进数字重庆、数字社会规划和建设；负责协调推动公共服务和社会治理信息化、协调促进智慧城市建设、协调全区重要信息资源开放利用与共享、推动信息资源跨行业跨部门互联互通；承担区数字化城市运行和治理中心平台系统的技术支持和维护工作；组织实施大数据、人工智能、信息化发展战略；负责全区数据资源建设、管理，促进大数据政用、民用、商用；负责全区大数据应用发展管理；负责推进全区信息化应用工作；负责协调全区信息基础建设；负责推动大数据、人工智能、信息化领域对外交流合作等。</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（二）机构设置</w:t>
      </w:r>
    </w:p>
    <w:p>
      <w:pPr>
        <w:adjustRightInd w:val="0"/>
        <w:snapToGrid w:val="0"/>
        <w:spacing w:line="594" w:lineRule="exact"/>
        <w:ind w:firstLine="640" w:firstLineChars="200"/>
        <w:rPr>
          <w:rFonts w:ascii="Times New Roman" w:hAnsi="Times New Roman" w:eastAsia="方正仿宋_GBK"/>
          <w:bCs/>
          <w:sz w:val="32"/>
        </w:rPr>
      </w:pPr>
      <w:r>
        <w:rPr>
          <w:rFonts w:ascii="Times New Roman" w:hAnsi="Times New Roman" w:eastAsia="方正仿宋_GBK"/>
          <w:bCs/>
          <w:sz w:val="32"/>
          <w:szCs w:val="32"/>
        </w:rPr>
        <w:t>重庆市渝中区大数据应用发展管理局现设有3个科室（综合科、应用推广科、融合发展科），下设事业单位重庆市渝中区大数据应用服务中心。</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二、部门决算情况说明</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（一）收入支出决算总体情况说明。</w:t>
      </w:r>
    </w:p>
    <w:p>
      <w:pPr>
        <w:pStyle w:val="7"/>
        <w:shd w:val="clear" w:color="auto" w:fill="FFFFFF"/>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Times New Roman" w:hAnsi="Times New Roman" w:eastAsia="方正仿宋_GBK"/>
          <w:b w:val="0"/>
          <w:bCs/>
          <w:sz w:val="32"/>
          <w:szCs w:val="32"/>
          <w:shd w:val="clear" w:color="auto" w:fill="FFFFFF"/>
        </w:rPr>
        <w:t>1.总体情况。</w:t>
      </w:r>
      <w:r>
        <w:rPr>
          <w:rFonts w:ascii="Times New Roman" w:hAnsi="Times New Roman" w:eastAsia="方正仿宋_GBK"/>
          <w:bCs/>
          <w:sz w:val="32"/>
          <w:szCs w:val="32"/>
          <w:shd w:val="clear" w:color="auto" w:fill="FFFFFF"/>
        </w:rPr>
        <w:t>2023年度收入总计1972.14万元，支出总计</w:t>
      </w:r>
      <w:r>
        <w:rPr>
          <w:rFonts w:ascii="Times New Roman" w:hAnsi="Times New Roman" w:eastAsia="方正仿宋_GBK"/>
          <w:bCs/>
          <w:sz w:val="32"/>
          <w:szCs w:val="32"/>
        </w:rPr>
        <w:t>1972.14</w:t>
      </w:r>
      <w:r>
        <w:rPr>
          <w:rFonts w:ascii="Times New Roman" w:hAnsi="Times New Roman" w:eastAsia="方正仿宋_GBK"/>
          <w:bCs/>
          <w:sz w:val="32"/>
          <w:szCs w:val="32"/>
          <w:shd w:val="clear" w:color="auto" w:fill="FFFFFF"/>
        </w:rPr>
        <w:t>万元。收支较上年决算数增加588.62万元，增长42.55%，主要原因是因工作之需，新增渝中区“住改仓”智慧安全监管平台建设、市大数据发展专项资金等项目。</w:t>
      </w:r>
    </w:p>
    <w:p>
      <w:pPr>
        <w:pStyle w:val="7"/>
        <w:shd w:val="clear" w:color="auto" w:fill="FFFFFF"/>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Times New Roman" w:hAnsi="Times New Roman" w:eastAsia="方正仿宋_GBK"/>
          <w:b w:val="0"/>
          <w:bCs/>
          <w:sz w:val="32"/>
          <w:szCs w:val="32"/>
          <w:shd w:val="clear" w:color="auto" w:fill="FFFFFF"/>
        </w:rPr>
        <w:t>2.收入情况。</w:t>
      </w:r>
      <w:r>
        <w:rPr>
          <w:rFonts w:ascii="Times New Roman" w:hAnsi="Times New Roman" w:eastAsia="方正仿宋_GBK"/>
          <w:bCs/>
          <w:sz w:val="32"/>
          <w:szCs w:val="32"/>
          <w:shd w:val="clear" w:color="auto" w:fill="FFFFFF"/>
        </w:rPr>
        <w:t>2023年度收入合计1971.95万元，较上年决算数增加590.83万元，增长42.78%，主要原因是因工作之需，新增渝中区“住改仓”智慧安全监管平台建设、市大数据发展专项资金等项目其中：财政拨款收入</w:t>
      </w:r>
      <w:r>
        <w:rPr>
          <w:rFonts w:ascii="Times New Roman" w:hAnsi="Times New Roman" w:eastAsia="方正仿宋_GBK"/>
          <w:bCs/>
          <w:sz w:val="32"/>
          <w:szCs w:val="32"/>
        </w:rPr>
        <w:t>1971.95</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100.0</w:t>
      </w:r>
      <w:r>
        <w:rPr>
          <w:rFonts w:ascii="Times New Roman" w:hAnsi="Times New Roman" w:eastAsia="方正仿宋_GBK"/>
          <w:bCs/>
          <w:sz w:val="32"/>
          <w:szCs w:val="32"/>
          <w:shd w:val="clear" w:color="auto" w:fill="FFFFFF"/>
        </w:rPr>
        <w:t>%。此外，使用年初结转和结余</w:t>
      </w:r>
      <w:r>
        <w:rPr>
          <w:rFonts w:ascii="Times New Roman" w:hAnsi="Times New Roman" w:eastAsia="方正仿宋_GBK"/>
          <w:bCs/>
          <w:sz w:val="32"/>
          <w:szCs w:val="32"/>
        </w:rPr>
        <w:t>0.19</w:t>
      </w:r>
      <w:r>
        <w:rPr>
          <w:rFonts w:ascii="Times New Roman" w:hAnsi="Times New Roman" w:eastAsia="方正仿宋_GBK"/>
          <w:bCs/>
          <w:sz w:val="32"/>
          <w:szCs w:val="32"/>
          <w:shd w:val="clear" w:color="auto" w:fill="FFFFFF"/>
        </w:rPr>
        <w:t>万元。</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Style w:val="10"/>
          <w:rFonts w:ascii="Times New Roman" w:hAnsi="Times New Roman" w:eastAsia="方正仿宋_GBK"/>
          <w:b w:val="0"/>
          <w:bCs/>
          <w:sz w:val="32"/>
          <w:szCs w:val="32"/>
          <w:shd w:val="clear" w:color="auto" w:fill="FFFFFF"/>
        </w:rPr>
        <w:t>3.支出情况。</w:t>
      </w:r>
      <w:r>
        <w:rPr>
          <w:rFonts w:ascii="Times New Roman" w:hAnsi="Times New Roman" w:eastAsia="方正仿宋_GBK"/>
          <w:bCs/>
          <w:sz w:val="32"/>
          <w:szCs w:val="32"/>
          <w:shd w:val="clear" w:color="auto" w:fill="FFFFFF"/>
        </w:rPr>
        <w:t>2023年度支出合计</w:t>
      </w:r>
      <w:r>
        <w:rPr>
          <w:rFonts w:ascii="Times New Roman" w:hAnsi="Times New Roman" w:eastAsia="方正仿宋_GBK"/>
          <w:bCs/>
          <w:sz w:val="32"/>
          <w:szCs w:val="32"/>
        </w:rPr>
        <w:t>1972.14</w:t>
      </w:r>
      <w:r>
        <w:rPr>
          <w:rFonts w:ascii="Times New Roman" w:hAnsi="Times New Roman" w:eastAsia="方正仿宋_GBK"/>
          <w:bCs/>
          <w:sz w:val="32"/>
          <w:szCs w:val="32"/>
          <w:shd w:val="clear" w:color="auto" w:fill="FFFFFF"/>
        </w:rPr>
        <w:t>万元，较上年决算数增加588.81万元，增长42.56%，主要原因是</w:t>
      </w:r>
      <w:bookmarkStart w:id="0" w:name="_GoBack"/>
      <w:bookmarkEnd w:id="0"/>
      <w:r>
        <w:rPr>
          <w:rFonts w:ascii="Times New Roman" w:hAnsi="Times New Roman" w:eastAsia="方正仿宋_GBK"/>
          <w:bCs/>
          <w:sz w:val="32"/>
          <w:szCs w:val="32"/>
          <w:shd w:val="clear" w:color="auto" w:fill="FFFFFF"/>
        </w:rPr>
        <w:t>因工作之需，新增渝中区“住改仓”智慧安全监管平台建设、市大数据发展专项资金等项目。其中：基本支出</w:t>
      </w:r>
      <w:r>
        <w:rPr>
          <w:rFonts w:ascii="Times New Roman" w:hAnsi="Times New Roman" w:eastAsia="方正仿宋_GBK"/>
          <w:bCs/>
          <w:sz w:val="32"/>
          <w:szCs w:val="32"/>
        </w:rPr>
        <w:t>324.06</w:t>
      </w:r>
      <w:r>
        <w:rPr>
          <w:rFonts w:ascii="Times New Roman" w:hAnsi="Times New Roman" w:eastAsia="方正仿宋_GBK"/>
          <w:bCs/>
          <w:sz w:val="32"/>
          <w:szCs w:val="32"/>
          <w:shd w:val="clear" w:color="auto" w:fill="FFFFFF"/>
        </w:rPr>
        <w:t>万元，占16.43%；项目支出</w:t>
      </w:r>
      <w:r>
        <w:rPr>
          <w:rFonts w:ascii="Times New Roman" w:hAnsi="Times New Roman" w:eastAsia="方正仿宋_GBK"/>
          <w:bCs/>
          <w:sz w:val="32"/>
          <w:szCs w:val="32"/>
        </w:rPr>
        <w:t>1648.08</w:t>
      </w:r>
      <w:r>
        <w:rPr>
          <w:rFonts w:ascii="Times New Roman" w:hAnsi="Times New Roman" w:eastAsia="方正仿宋_GBK"/>
          <w:bCs/>
          <w:sz w:val="32"/>
          <w:szCs w:val="32"/>
          <w:shd w:val="clear" w:color="auto" w:fill="FFFFFF"/>
        </w:rPr>
        <w:t>万元，占83.57%。</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Style w:val="10"/>
          <w:rFonts w:ascii="Times New Roman" w:hAnsi="Times New Roman" w:eastAsia="方正仿宋_GBK"/>
          <w:b w:val="0"/>
          <w:bCs/>
          <w:sz w:val="32"/>
          <w:szCs w:val="32"/>
          <w:shd w:val="clear" w:color="auto" w:fill="FFFFFF"/>
        </w:rPr>
        <w:t>4.结转结余情况。</w:t>
      </w:r>
      <w:r>
        <w:rPr>
          <w:rFonts w:ascii="Times New Roman" w:hAnsi="Times New Roman" w:eastAsia="方正仿宋_GBK"/>
          <w:bCs/>
          <w:sz w:val="32"/>
          <w:szCs w:val="32"/>
          <w:shd w:val="clear" w:color="auto" w:fill="FFFFFF"/>
        </w:rPr>
        <w:t>2023年度年末结转和结余</w:t>
      </w:r>
      <w:r>
        <w:rPr>
          <w:rFonts w:ascii="Times New Roman" w:hAnsi="Times New Roman" w:eastAsia="方正仿宋_GBK"/>
          <w:bCs/>
          <w:sz w:val="32"/>
          <w:szCs w:val="32"/>
        </w:rPr>
        <w:t>0.0</w:t>
      </w:r>
      <w:r>
        <w:rPr>
          <w:rFonts w:ascii="Times New Roman" w:hAnsi="Times New Roman" w:eastAsia="方正仿宋_GBK"/>
          <w:bCs/>
          <w:sz w:val="32"/>
          <w:szCs w:val="32"/>
          <w:shd w:val="clear" w:color="auto" w:fill="FFFFFF"/>
        </w:rPr>
        <w:t>万元，较上年决算数减少0.19万元，下降100.0%，主要原因是2022年招商引资及产业扶持专项结转资金结转到2023年使用。</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（二）财政拨款收入支出决算总体情况说明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2023年度财政拨款收、支总计1972.14万元。与2022年相比，财政拨款收、支总计各增加588.62万元，增长42.55%。主要原因是因工作之需，新增渝中区“住改仓”智慧安全监管平台建设、市大数据发展专项资金等项目。</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（三）一般公共预算财政拨款收入支出决算情况说明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Times New Roman" w:hAnsi="Times New Roman" w:eastAsia="方正仿宋_GBK"/>
          <w:b w:val="0"/>
          <w:bCs/>
          <w:sz w:val="32"/>
          <w:szCs w:val="32"/>
          <w:shd w:val="clear" w:color="auto" w:fill="FFFFFF"/>
        </w:rPr>
        <w:t>1.收入情况。</w:t>
      </w:r>
      <w:r>
        <w:rPr>
          <w:rFonts w:ascii="Times New Roman" w:hAnsi="Times New Roman" w:eastAsia="方正仿宋_GBK"/>
          <w:bCs/>
          <w:sz w:val="32"/>
          <w:szCs w:val="32"/>
          <w:shd w:val="clear" w:color="auto" w:fill="FFFFFF"/>
        </w:rPr>
        <w:t>2023年度一般公共预算财政拨款收入</w:t>
      </w:r>
      <w:r>
        <w:rPr>
          <w:rFonts w:ascii="Times New Roman" w:hAnsi="Times New Roman" w:eastAsia="方正仿宋_GBK"/>
          <w:bCs/>
          <w:sz w:val="32"/>
          <w:szCs w:val="32"/>
        </w:rPr>
        <w:t>1971.95</w:t>
      </w:r>
      <w:r>
        <w:rPr>
          <w:rFonts w:ascii="Times New Roman" w:hAnsi="Times New Roman" w:eastAsia="方正仿宋_GBK"/>
          <w:bCs/>
          <w:sz w:val="32"/>
          <w:szCs w:val="32"/>
          <w:shd w:val="clear" w:color="auto" w:fill="FFFFFF"/>
        </w:rPr>
        <w:t>万元，较上年决算数增加590.83万元，增长42.78%。主要原因是因工作之需，新增渝中区“住改仓”智慧安全监管平台建设、市大数据发展专项资金等项目。较年初预算数增加217.71万元，增长12.41%。主要原因是因工作之需，追加市大数据发展专项资金等项目。此外，年初财政拨款结转和结余</w:t>
      </w:r>
      <w:r>
        <w:rPr>
          <w:rFonts w:ascii="Times New Roman" w:hAnsi="Times New Roman" w:eastAsia="方正仿宋_GBK"/>
          <w:bCs/>
          <w:sz w:val="32"/>
          <w:szCs w:val="32"/>
        </w:rPr>
        <w:t>0.19</w:t>
      </w:r>
      <w:r>
        <w:rPr>
          <w:rFonts w:ascii="Times New Roman" w:hAnsi="Times New Roman" w:eastAsia="方正仿宋_GBK"/>
          <w:bCs/>
          <w:sz w:val="32"/>
          <w:szCs w:val="32"/>
          <w:shd w:val="clear" w:color="auto" w:fill="FFFFFF"/>
        </w:rPr>
        <w:t>万元。</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Times New Roman" w:hAnsi="Times New Roman" w:eastAsia="方正仿宋_GBK"/>
          <w:b w:val="0"/>
          <w:bCs/>
          <w:sz w:val="32"/>
          <w:szCs w:val="32"/>
          <w:shd w:val="clear" w:color="auto" w:fill="FFFFFF"/>
        </w:rPr>
        <w:t>2.支出情况。</w:t>
      </w:r>
      <w:r>
        <w:rPr>
          <w:rFonts w:ascii="Times New Roman" w:hAnsi="Times New Roman" w:eastAsia="方正仿宋_GBK"/>
          <w:bCs/>
          <w:sz w:val="32"/>
          <w:szCs w:val="32"/>
          <w:shd w:val="clear" w:color="auto" w:fill="FFFFFF"/>
        </w:rPr>
        <w:t>2023年度一般公共预算财政拨款支出</w:t>
      </w:r>
      <w:r>
        <w:rPr>
          <w:rFonts w:ascii="Times New Roman" w:hAnsi="Times New Roman" w:eastAsia="方正仿宋_GBK"/>
          <w:bCs/>
          <w:sz w:val="32"/>
          <w:szCs w:val="32"/>
        </w:rPr>
        <w:t>1972.14</w:t>
      </w:r>
      <w:r>
        <w:rPr>
          <w:rFonts w:ascii="Times New Roman" w:hAnsi="Times New Roman" w:eastAsia="方正仿宋_GBK"/>
          <w:bCs/>
          <w:sz w:val="32"/>
          <w:szCs w:val="32"/>
          <w:shd w:val="clear" w:color="auto" w:fill="FFFFFF"/>
        </w:rPr>
        <w:t>万元，较上年决算数增加588.81万元，增长42.56%。主要原因是因工作之需，新增渝中区“住改仓”智慧安全监管平台建设、市大数据发展专项资金等项目。较年初预算数增加33.0万元，增长1.70%。主要原因是人员增加。</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Times New Roman" w:hAnsi="Times New Roman" w:eastAsia="方正仿宋_GBK"/>
          <w:b w:val="0"/>
          <w:bCs/>
          <w:sz w:val="32"/>
          <w:szCs w:val="32"/>
          <w:shd w:val="clear" w:color="auto" w:fill="FFFFFF"/>
        </w:rPr>
        <w:t>3.结转结余情况。</w:t>
      </w:r>
      <w:r>
        <w:rPr>
          <w:rFonts w:ascii="Times New Roman" w:hAnsi="Times New Roman" w:eastAsia="方正仿宋_GBK"/>
          <w:bCs/>
          <w:sz w:val="32"/>
          <w:szCs w:val="32"/>
          <w:shd w:val="clear" w:color="auto" w:fill="FFFFFF"/>
        </w:rPr>
        <w:t>2023年度年末一般公共预算财政拨款结转和结余</w:t>
      </w:r>
      <w:r>
        <w:rPr>
          <w:rFonts w:ascii="Times New Roman" w:hAnsi="Times New Roman" w:eastAsia="方正仿宋_GBK"/>
          <w:bCs/>
          <w:sz w:val="32"/>
          <w:szCs w:val="32"/>
        </w:rPr>
        <w:t>0.0</w:t>
      </w:r>
      <w:r>
        <w:rPr>
          <w:rFonts w:ascii="Times New Roman" w:hAnsi="Times New Roman" w:eastAsia="方正仿宋_GBK"/>
          <w:bCs/>
          <w:sz w:val="32"/>
          <w:szCs w:val="32"/>
          <w:shd w:val="clear" w:color="auto" w:fill="FFFFFF"/>
        </w:rPr>
        <w:t>万元，较上年决算数减少0.19万元，下降100.0%，主要原因是2022年招商引资及产业扶持专项结转资金结转到2023年使用。</w:t>
      </w:r>
    </w:p>
    <w:p>
      <w:pPr>
        <w:pStyle w:val="7"/>
        <w:snapToGrid w:val="0"/>
        <w:spacing w:before="0" w:beforeAutospacing="0" w:after="0" w:afterAutospacing="0" w:line="594" w:lineRule="exact"/>
        <w:ind w:firstLine="640" w:firstLineChars="200"/>
        <w:jc w:val="both"/>
        <w:rPr>
          <w:rFonts w:ascii="Times New Roman" w:hAnsi="Times New Roman" w:eastAsia="方正仿宋_GBK"/>
          <w:bCs/>
          <w:color w:val="FF0000"/>
          <w:sz w:val="32"/>
          <w:szCs w:val="32"/>
          <w:highlight w:val="cyan"/>
          <w:shd w:val="clear" w:color="auto" w:fill="FFFFFF"/>
        </w:rPr>
      </w:pPr>
      <w:r>
        <w:rPr>
          <w:rStyle w:val="10"/>
          <w:rFonts w:ascii="Times New Roman" w:hAnsi="Times New Roman" w:eastAsia="方正仿宋_GBK"/>
          <w:b w:val="0"/>
          <w:bCs/>
          <w:sz w:val="32"/>
          <w:szCs w:val="32"/>
          <w:shd w:val="clear" w:color="auto" w:fill="FFFFFF"/>
        </w:rPr>
        <w:t xml:space="preserve"> 4.比较情况。</w:t>
      </w:r>
      <w:r>
        <w:rPr>
          <w:rFonts w:ascii="Times New Roman" w:hAnsi="Times New Roman" w:eastAsia="方正仿宋_GBK"/>
          <w:bCs/>
          <w:sz w:val="32"/>
          <w:szCs w:val="32"/>
          <w:shd w:val="clear" w:color="auto" w:fill="FFFFFF"/>
        </w:rPr>
        <w:t>本部门2023年度一般公共预算财政拨款支出主要用于以下几个方面：</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（1）一般公共服务支出</w:t>
      </w:r>
      <w:r>
        <w:rPr>
          <w:rFonts w:ascii="Times New Roman" w:hAnsi="Times New Roman" w:eastAsia="方正仿宋_GBK"/>
          <w:bCs/>
          <w:sz w:val="32"/>
          <w:szCs w:val="32"/>
        </w:rPr>
        <w:t>3.27</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0.17</w:t>
      </w:r>
      <w:r>
        <w:rPr>
          <w:rFonts w:ascii="Times New Roman" w:hAnsi="Times New Roman" w:eastAsia="方正仿宋_GBK"/>
          <w:bCs/>
          <w:sz w:val="32"/>
          <w:szCs w:val="32"/>
          <w:shd w:val="clear" w:color="auto" w:fill="FFFFFF"/>
        </w:rPr>
        <w:t>%，较年初预算数增加1.27万元，增长63.5%，主要原因是因工作之需，</w:t>
      </w:r>
      <w:r>
        <w:rPr>
          <w:rFonts w:ascii="Times New Roman" w:hAnsi="Times New Roman" w:eastAsia="方正仿宋_GBK"/>
          <w:bCs/>
          <w:color w:val="000000"/>
          <w:sz w:val="32"/>
          <w:szCs w:val="32"/>
          <w:shd w:val="clear" w:color="auto" w:fill="FFFFFF"/>
        </w:rPr>
        <w:t>追加理论武装、意识形态工作、哲学社会科学工作等专项经费。</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（2）国防支出</w:t>
      </w:r>
      <w:r>
        <w:rPr>
          <w:rFonts w:ascii="Times New Roman" w:hAnsi="Times New Roman" w:eastAsia="方正仿宋_GBK"/>
          <w:bCs/>
          <w:sz w:val="32"/>
          <w:szCs w:val="32"/>
        </w:rPr>
        <w:t>1.0</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0.05</w:t>
      </w:r>
      <w:r>
        <w:rPr>
          <w:rFonts w:ascii="Times New Roman" w:hAnsi="Times New Roman" w:eastAsia="方正仿宋_GBK"/>
          <w:bCs/>
          <w:sz w:val="32"/>
          <w:szCs w:val="32"/>
          <w:shd w:val="clear" w:color="auto" w:fill="FFFFFF"/>
        </w:rPr>
        <w:t>%，较年初预算数增加1.0万元，增长100.0%，主要原因是因工作之需，追加民兵编制工作经费。</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（3）科学技术支出</w:t>
      </w:r>
      <w:r>
        <w:rPr>
          <w:rFonts w:ascii="Times New Roman" w:hAnsi="Times New Roman" w:eastAsia="方正仿宋_GBK"/>
          <w:bCs/>
          <w:sz w:val="32"/>
          <w:szCs w:val="32"/>
        </w:rPr>
        <w:t>1207.99</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61.25</w:t>
      </w:r>
      <w:r>
        <w:rPr>
          <w:rFonts w:ascii="Times New Roman" w:hAnsi="Times New Roman" w:eastAsia="方正仿宋_GBK"/>
          <w:bCs/>
          <w:sz w:val="32"/>
          <w:szCs w:val="32"/>
          <w:shd w:val="clear" w:color="auto" w:fill="FFFFFF"/>
        </w:rPr>
        <w:t>%，较年初预算数减少131.36万元，下降9.81%，主要原因是经委托第三方对2023年浪潮公司虚拟化资源服务进行了付款审核咨询，实际支付渝中区政务云服务费502.46万元，少于年初预算金额。</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（4）社会保障与就业支出</w:t>
      </w:r>
      <w:r>
        <w:rPr>
          <w:rFonts w:ascii="Times New Roman" w:hAnsi="Times New Roman" w:eastAsia="方正仿宋_GBK"/>
          <w:bCs/>
          <w:sz w:val="32"/>
          <w:szCs w:val="32"/>
        </w:rPr>
        <w:t>38.73</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1.96</w:t>
      </w:r>
      <w:r>
        <w:rPr>
          <w:rFonts w:ascii="Times New Roman" w:hAnsi="Times New Roman" w:eastAsia="方正仿宋_GBK"/>
          <w:bCs/>
          <w:sz w:val="32"/>
          <w:szCs w:val="32"/>
          <w:shd w:val="clear" w:color="auto" w:fill="FFFFFF"/>
        </w:rPr>
        <w:t>%，较年初预算数增加14.04万元，增长56.87%，主要原因是人员增加。</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（5）卫生健康支出</w:t>
      </w:r>
      <w:r>
        <w:rPr>
          <w:rFonts w:ascii="Times New Roman" w:hAnsi="Times New Roman" w:eastAsia="方正仿宋_GBK"/>
          <w:bCs/>
          <w:sz w:val="32"/>
          <w:szCs w:val="32"/>
        </w:rPr>
        <w:t>10.94</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0.55</w:t>
      </w:r>
      <w:r>
        <w:rPr>
          <w:rFonts w:ascii="Times New Roman" w:hAnsi="Times New Roman" w:eastAsia="方正仿宋_GBK"/>
          <w:bCs/>
          <w:sz w:val="32"/>
          <w:szCs w:val="32"/>
          <w:shd w:val="clear" w:color="auto" w:fill="FFFFFF"/>
        </w:rPr>
        <w:t>%，较年初预算数增加0.50万元，增长4.79%，主要原因是人员增加。</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（6）城乡社区支出</w:t>
      </w:r>
      <w:r>
        <w:rPr>
          <w:rFonts w:ascii="Times New Roman" w:hAnsi="Times New Roman" w:eastAsia="方正仿宋_GBK"/>
          <w:bCs/>
          <w:sz w:val="32"/>
          <w:szCs w:val="32"/>
        </w:rPr>
        <w:t>383.20</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19.43</w:t>
      </w:r>
      <w:r>
        <w:rPr>
          <w:rFonts w:ascii="Times New Roman" w:hAnsi="Times New Roman" w:eastAsia="方正仿宋_GBK"/>
          <w:bCs/>
          <w:sz w:val="32"/>
          <w:szCs w:val="32"/>
          <w:shd w:val="clear" w:color="auto" w:fill="FFFFFF"/>
        </w:rPr>
        <w:t>%，较年初预算数无增减，与年初预算数持平。</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（7）资源勘探信息等支出</w:t>
      </w:r>
      <w:r>
        <w:rPr>
          <w:rFonts w:ascii="Times New Roman" w:hAnsi="Times New Roman" w:eastAsia="方正仿宋_GBK"/>
          <w:bCs/>
          <w:sz w:val="32"/>
          <w:szCs w:val="32"/>
        </w:rPr>
        <w:t>300.00</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15.21</w:t>
      </w:r>
      <w:r>
        <w:rPr>
          <w:rFonts w:ascii="Times New Roman" w:hAnsi="Times New Roman" w:eastAsia="方正仿宋_GBK"/>
          <w:bCs/>
          <w:sz w:val="32"/>
          <w:szCs w:val="32"/>
          <w:shd w:val="clear" w:color="auto" w:fill="FFFFFF"/>
        </w:rPr>
        <w:t>%，较年初预算数增加140.00万元，增长87.50%，主要原因是因工作之需，追加市大数据发展专项资金。</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（8）商业服务业等支出</w:t>
      </w:r>
      <w:r>
        <w:rPr>
          <w:rFonts w:ascii="Times New Roman" w:hAnsi="Times New Roman" w:eastAsia="方正仿宋_GBK"/>
          <w:bCs/>
          <w:sz w:val="32"/>
          <w:szCs w:val="32"/>
        </w:rPr>
        <w:t>4.44</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0.23</w:t>
      </w:r>
      <w:r>
        <w:rPr>
          <w:rFonts w:ascii="Times New Roman" w:hAnsi="Times New Roman" w:eastAsia="方正仿宋_GBK"/>
          <w:bCs/>
          <w:sz w:val="32"/>
          <w:szCs w:val="32"/>
          <w:shd w:val="clear" w:color="auto" w:fill="FFFFFF"/>
        </w:rPr>
        <w:t>%，较年初预算数增加4.44万元，增长100.00%，主要原因是因工作之需，追加区内重点企业政策扶持资金等。</w:t>
      </w:r>
    </w:p>
    <w:p>
      <w:pPr>
        <w:pStyle w:val="7"/>
        <w:shd w:val="clear" w:color="auto" w:fill="FFFFFF"/>
        <w:spacing w:before="0" w:beforeAutospacing="0" w:after="0" w:afterAutospacing="0" w:line="594" w:lineRule="exact"/>
        <w:ind w:firstLine="640" w:firstLineChars="200"/>
        <w:rPr>
          <w:rFonts w:ascii="Times New Roman" w:hAnsi="Times New Roman" w:eastAsia="方正仿宋_GBK"/>
          <w:bCs/>
          <w:color w:val="FF0000"/>
          <w:sz w:val="32"/>
          <w:szCs w:val="32"/>
          <w:shd w:val="clear" w:color="auto" w:fill="FFFFFF"/>
        </w:rPr>
      </w:pPr>
      <w:r>
        <w:rPr>
          <w:rFonts w:ascii="Times New Roman" w:hAnsi="Times New Roman"/>
          <w:bCs/>
          <w:sz w:val="32"/>
          <w:szCs w:val="32"/>
          <w:shd w:val="clear" w:color="auto" w:fill="FFFFFF"/>
        </w:rPr>
        <w:t>  </w:t>
      </w:r>
      <w:r>
        <w:rPr>
          <w:rFonts w:ascii="Times New Roman" w:hAnsi="Times New Roman" w:eastAsia="方正仿宋_GBK"/>
          <w:bCs/>
          <w:sz w:val="32"/>
          <w:szCs w:val="32"/>
          <w:shd w:val="clear" w:color="auto" w:fill="FFFFFF"/>
        </w:rPr>
        <w:t>（9）</w:t>
      </w:r>
      <w:r>
        <w:rPr>
          <w:rFonts w:ascii="Times New Roman" w:hAnsi="Times New Roman" w:eastAsia="方正仿宋_GBK"/>
          <w:bCs/>
          <w:sz w:val="32"/>
          <w:szCs w:val="32"/>
        </w:rPr>
        <w:t>住房保障支出22.58</w:t>
      </w:r>
      <w:r>
        <w:rPr>
          <w:rFonts w:ascii="Times New Roman" w:hAnsi="Times New Roman" w:eastAsia="方正仿宋_GBK"/>
          <w:bCs/>
          <w:sz w:val="32"/>
          <w:szCs w:val="32"/>
          <w:shd w:val="clear" w:color="auto" w:fill="FFFFFF"/>
        </w:rPr>
        <w:t>万元，占</w:t>
      </w:r>
      <w:r>
        <w:rPr>
          <w:rFonts w:ascii="Times New Roman" w:hAnsi="Times New Roman" w:eastAsia="方正仿宋_GBK"/>
          <w:bCs/>
          <w:sz w:val="32"/>
          <w:szCs w:val="32"/>
        </w:rPr>
        <w:t>1.14</w:t>
      </w:r>
      <w:r>
        <w:rPr>
          <w:rFonts w:ascii="Times New Roman" w:hAnsi="Times New Roman" w:eastAsia="方正仿宋_GBK"/>
          <w:bCs/>
          <w:sz w:val="32"/>
          <w:szCs w:val="32"/>
          <w:shd w:val="clear" w:color="auto" w:fill="FFFFFF"/>
        </w:rPr>
        <w:t>%，较年初预算数增加3.12万元，增长16.03%，主要原因是人员增加。</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（四）一般公共预算财政拨款基本支出决算情况说明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 2023年度一般公共财政拨款基本支出</w:t>
      </w:r>
      <w:r>
        <w:rPr>
          <w:rFonts w:ascii="Times New Roman" w:hAnsi="Times New Roman" w:eastAsia="方正仿宋_GBK"/>
          <w:bCs/>
          <w:sz w:val="32"/>
          <w:szCs w:val="32"/>
        </w:rPr>
        <w:t>324.06</w:t>
      </w:r>
      <w:r>
        <w:rPr>
          <w:rFonts w:ascii="Times New Roman" w:hAnsi="Times New Roman" w:eastAsia="方正仿宋_GBK"/>
          <w:bCs/>
          <w:sz w:val="32"/>
          <w:szCs w:val="32"/>
          <w:shd w:val="clear" w:color="auto" w:fill="FFFFFF"/>
        </w:rPr>
        <w:t>万元。其中：人员经费</w:t>
      </w:r>
      <w:r>
        <w:rPr>
          <w:rFonts w:ascii="Times New Roman" w:hAnsi="Times New Roman" w:eastAsia="方正仿宋_GBK"/>
          <w:bCs/>
          <w:sz w:val="32"/>
          <w:szCs w:val="32"/>
        </w:rPr>
        <w:t>265.14</w:t>
      </w:r>
      <w:r>
        <w:rPr>
          <w:rFonts w:ascii="Times New Roman" w:hAnsi="Times New Roman" w:eastAsia="方正仿宋_GBK"/>
          <w:bCs/>
          <w:sz w:val="32"/>
          <w:szCs w:val="32"/>
          <w:shd w:val="clear" w:color="auto" w:fill="FFFFFF"/>
        </w:rPr>
        <w:t>万元，较上年决算数增加50.42万元，增长23.48%，主要原因是人员增加。人员经费用途主要包括基本工资、津贴补贴、奖金、绩效工资、机关事业单位基本养老保险费、职业年金缴费、职工基本医疗保险缴费、其他社会保障缴费、住房公积金、医疗费。公用经费</w:t>
      </w:r>
      <w:r>
        <w:rPr>
          <w:rFonts w:ascii="Times New Roman" w:hAnsi="Times New Roman" w:eastAsia="方正仿宋_GBK"/>
          <w:bCs/>
          <w:sz w:val="32"/>
          <w:szCs w:val="32"/>
        </w:rPr>
        <w:t>58.92</w:t>
      </w:r>
      <w:r>
        <w:rPr>
          <w:rFonts w:ascii="Times New Roman" w:hAnsi="Times New Roman" w:eastAsia="方正仿宋_GBK"/>
          <w:bCs/>
          <w:sz w:val="32"/>
          <w:szCs w:val="32"/>
          <w:shd w:val="clear" w:color="auto" w:fill="FFFFFF"/>
        </w:rPr>
        <w:t>万元，较上年决算数增加11.22万元，增长23.52%，主要原因是人员增加。公用经费用途主要包括办公费、邮电费、培训费、委托业务费、工会经费、福利费、公务用车运行维护费、其他交通费用、其他商品和服务支出。</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（五）政府性基金预算收支决算情况说明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本部门2023年度无政府性基金预算财政拨款收支。</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（六）国有资本经营预算财政拨款支出决算情况说明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本部门2023年度无国有资本经营预算财政拨款支出。</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三、“三公”经费情况说明</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 xml:space="preserve"> （一）“三公”经费支出总体情况说明</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2023年度“三公”经费支出共计</w:t>
      </w:r>
      <w:r>
        <w:rPr>
          <w:rFonts w:ascii="Times New Roman" w:hAnsi="Times New Roman" w:eastAsia="方正仿宋_GBK"/>
          <w:bCs/>
          <w:sz w:val="32"/>
          <w:szCs w:val="32"/>
        </w:rPr>
        <w:t>6.17</w:t>
      </w:r>
      <w:r>
        <w:rPr>
          <w:rFonts w:ascii="Times New Roman" w:hAnsi="Times New Roman" w:eastAsia="方正仿宋_GBK"/>
          <w:bCs/>
          <w:sz w:val="32"/>
          <w:szCs w:val="32"/>
          <w:shd w:val="clear" w:color="auto" w:fill="FFFFFF"/>
        </w:rPr>
        <w:t>万元，较年初预算数减少0.43万元，下降6.52%，主要原因是继续贯彻落实党政机关过紧日子的要求，坚持勤俭节约，严控“三公”经费使用规模。</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（二）“三公”经费分项支出情况</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2023年度本部门因公出国（境）费用</w:t>
      </w:r>
      <w:r>
        <w:rPr>
          <w:rFonts w:ascii="Times New Roman" w:hAnsi="Times New Roman" w:eastAsia="方正仿宋_GBK"/>
          <w:bCs/>
          <w:sz w:val="32"/>
          <w:szCs w:val="32"/>
        </w:rPr>
        <w:t>0.0</w:t>
      </w:r>
      <w:r>
        <w:rPr>
          <w:rFonts w:ascii="Times New Roman" w:hAnsi="Times New Roman" w:eastAsia="方正仿宋_GBK"/>
          <w:bCs/>
          <w:sz w:val="32"/>
          <w:szCs w:val="32"/>
          <w:shd w:val="clear" w:color="auto" w:fill="FFFFFF"/>
        </w:rPr>
        <w:t>万元。费用支出</w:t>
      </w:r>
      <w:r>
        <w:rPr>
          <w:rFonts w:ascii="Times New Roman" w:hAnsi="Times New Roman" w:eastAsia="方正仿宋_GBK"/>
          <w:bCs/>
          <w:sz w:val="32"/>
          <w:szCs w:val="32"/>
        </w:rPr>
        <w:t>0.0</w:t>
      </w:r>
      <w:r>
        <w:rPr>
          <w:rFonts w:ascii="Times New Roman" w:hAnsi="Times New Roman" w:eastAsia="方正仿宋_GBK"/>
          <w:bCs/>
          <w:sz w:val="32"/>
          <w:szCs w:val="32"/>
          <w:shd w:val="clear" w:color="auto" w:fill="FFFFFF"/>
        </w:rPr>
        <w:t>万元，费用支出较年初预算数无增减变化，与年初预算数持平。较上年支出数无增减变化，与年上年支出数持平。</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 公务车购置费</w:t>
      </w:r>
      <w:r>
        <w:rPr>
          <w:rFonts w:ascii="Times New Roman" w:hAnsi="Times New Roman" w:eastAsia="方正仿宋_GBK"/>
          <w:bCs/>
          <w:sz w:val="32"/>
          <w:szCs w:val="32"/>
        </w:rPr>
        <w:t>0.0</w:t>
      </w:r>
      <w:r>
        <w:rPr>
          <w:rFonts w:ascii="Times New Roman" w:hAnsi="Times New Roman" w:eastAsia="方正仿宋_GBK"/>
          <w:bCs/>
          <w:sz w:val="32"/>
          <w:szCs w:val="32"/>
          <w:shd w:val="clear" w:color="auto" w:fill="FFFFFF"/>
        </w:rPr>
        <w:t>万元。费用支出</w:t>
      </w:r>
      <w:r>
        <w:rPr>
          <w:rFonts w:ascii="Times New Roman" w:hAnsi="Times New Roman" w:eastAsia="方正仿宋_GBK"/>
          <w:bCs/>
          <w:sz w:val="32"/>
          <w:szCs w:val="32"/>
        </w:rPr>
        <w:t>0.0</w:t>
      </w:r>
      <w:r>
        <w:rPr>
          <w:rFonts w:ascii="Times New Roman" w:hAnsi="Times New Roman" w:eastAsia="方正仿宋_GBK"/>
          <w:bCs/>
          <w:sz w:val="32"/>
          <w:szCs w:val="32"/>
          <w:shd w:val="clear" w:color="auto" w:fill="FFFFFF"/>
        </w:rPr>
        <w:t>万元，费用支出较年初预算数无增减变化，与年初预算数持平。较上年支出数无增减变化，与年上年支出数持平。</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 公务车运行维护费</w:t>
      </w:r>
      <w:r>
        <w:rPr>
          <w:rFonts w:ascii="Times New Roman" w:hAnsi="Times New Roman" w:eastAsia="方正仿宋_GBK"/>
          <w:bCs/>
          <w:sz w:val="32"/>
          <w:szCs w:val="32"/>
        </w:rPr>
        <w:t>2.90</w:t>
      </w:r>
      <w:r>
        <w:rPr>
          <w:rFonts w:ascii="Times New Roman" w:hAnsi="Times New Roman" w:eastAsia="方正仿宋_GBK"/>
          <w:bCs/>
          <w:sz w:val="32"/>
          <w:szCs w:val="32"/>
          <w:shd w:val="clear" w:color="auto" w:fill="FFFFFF"/>
        </w:rPr>
        <w:t>万元，主要用于公务车辆燃油费、停放费等。费用支出较年初预算数减少0.10万元，下降3.33%，主要原因是强化公务用车使用责任意识，严格落实公务用车管理制度。较上年支出数减少0.01万元，下降0.34%，主要原因是加强公务用车日常监督管理，降低公务用车成本。</w:t>
      </w:r>
    </w:p>
    <w:p>
      <w:pPr>
        <w:pStyle w:val="7"/>
        <w:snapToGrid w:val="0"/>
        <w:spacing w:before="0" w:beforeAutospacing="0" w:after="0" w:afterAutospacing="0" w:line="594" w:lineRule="exact"/>
        <w:ind w:firstLine="640" w:firstLineChars="200"/>
        <w:jc w:val="both"/>
        <w:rPr>
          <w:rFonts w:ascii="Times New Roman" w:hAnsi="Times New Roman" w:eastAsia="仿宋_GB2312"/>
          <w:bCs/>
          <w:sz w:val="32"/>
          <w:szCs w:val="32"/>
          <w:shd w:val="clear" w:color="auto" w:fill="FFFFFF"/>
        </w:rPr>
      </w:pPr>
      <w:r>
        <w:rPr>
          <w:rFonts w:ascii="Times New Roman" w:hAnsi="Times New Roman" w:eastAsia="方正仿宋_GBK"/>
          <w:bCs/>
          <w:sz w:val="32"/>
          <w:szCs w:val="32"/>
          <w:shd w:val="clear" w:color="auto" w:fill="FFFFFF"/>
        </w:rPr>
        <w:t> 公务接待费</w:t>
      </w:r>
      <w:r>
        <w:rPr>
          <w:rFonts w:ascii="Times New Roman" w:hAnsi="Times New Roman" w:eastAsia="方正仿宋_GBK"/>
          <w:bCs/>
          <w:sz w:val="32"/>
          <w:szCs w:val="32"/>
        </w:rPr>
        <w:t>3.27</w:t>
      </w:r>
      <w:r>
        <w:rPr>
          <w:rFonts w:ascii="Times New Roman" w:hAnsi="Times New Roman" w:eastAsia="方正仿宋_GBK"/>
          <w:bCs/>
          <w:sz w:val="32"/>
          <w:szCs w:val="32"/>
          <w:shd w:val="clear" w:color="auto" w:fill="FFFFFF"/>
        </w:rPr>
        <w:t>万元，主要用于接待招商引资企业、洽谈招商项目等事宜。费用支出较年初预算数减少0.33万元，下降9.17%，较上年支出数无增减，主要原因是加强公务接待管理，严格遵守公务接待开支范围和标准，严控陪餐人数，公务接待费相应减少</w:t>
      </w:r>
      <w:r>
        <w:rPr>
          <w:rFonts w:ascii="Times New Roman" w:hAnsi="Times New Roman"/>
          <w:bCs/>
          <w:sz w:val="32"/>
          <w:szCs w:val="32"/>
          <w:shd w:val="clear" w:color="auto" w:fill="FFFFFF"/>
        </w:rPr>
        <w:t>。</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（三）“三公”经费实物量情况</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  2023年度本部门因公出国（境）共计</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个团组，</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人；公务用车购置</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辆，公务车保有量为</w:t>
      </w:r>
      <w:r>
        <w:rPr>
          <w:rFonts w:ascii="Times New Roman" w:hAnsi="Times New Roman" w:eastAsia="方正仿宋_GBK"/>
          <w:bCs/>
          <w:sz w:val="32"/>
          <w:szCs w:val="32"/>
        </w:rPr>
        <w:t>1</w:t>
      </w:r>
      <w:r>
        <w:rPr>
          <w:rFonts w:ascii="Times New Roman" w:hAnsi="Times New Roman" w:eastAsia="方正仿宋_GBK"/>
          <w:bCs/>
          <w:sz w:val="32"/>
          <w:szCs w:val="32"/>
          <w:shd w:val="clear" w:color="auto" w:fill="FFFFFF"/>
        </w:rPr>
        <w:t>辆；国内公务接待</w:t>
      </w:r>
      <w:r>
        <w:rPr>
          <w:rFonts w:ascii="Times New Roman" w:hAnsi="Times New Roman" w:eastAsia="方正仿宋_GBK"/>
          <w:bCs/>
          <w:sz w:val="32"/>
          <w:szCs w:val="32"/>
        </w:rPr>
        <w:t>30</w:t>
      </w:r>
      <w:r>
        <w:rPr>
          <w:rFonts w:ascii="Times New Roman" w:hAnsi="Times New Roman" w:eastAsia="方正仿宋_GBK"/>
          <w:bCs/>
          <w:sz w:val="32"/>
          <w:szCs w:val="32"/>
          <w:shd w:val="clear" w:color="auto" w:fill="FFFFFF"/>
        </w:rPr>
        <w:t>批次</w:t>
      </w:r>
      <w:r>
        <w:rPr>
          <w:rFonts w:ascii="Times New Roman" w:hAnsi="Times New Roman" w:eastAsia="方正仿宋_GBK"/>
          <w:bCs/>
          <w:sz w:val="32"/>
          <w:szCs w:val="32"/>
        </w:rPr>
        <w:t>345</w:t>
      </w:r>
      <w:r>
        <w:rPr>
          <w:rFonts w:ascii="Times New Roman" w:hAnsi="Times New Roman" w:eastAsia="方正仿宋_GBK"/>
          <w:bCs/>
          <w:sz w:val="32"/>
          <w:szCs w:val="32"/>
          <w:shd w:val="clear" w:color="auto" w:fill="FFFFFF"/>
        </w:rPr>
        <w:t>人，其中：国内外事接待</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批次，</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人；国（境）外公务接待</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批次，</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人。2023年本部门人均接待费</w:t>
      </w:r>
      <w:r>
        <w:rPr>
          <w:rFonts w:ascii="Times New Roman" w:hAnsi="Times New Roman" w:eastAsia="方正仿宋_GBK"/>
          <w:bCs/>
          <w:sz w:val="32"/>
          <w:szCs w:val="32"/>
        </w:rPr>
        <w:t>94.87</w:t>
      </w:r>
      <w:r>
        <w:rPr>
          <w:rFonts w:ascii="Times New Roman" w:hAnsi="Times New Roman" w:eastAsia="方正仿宋_GBK"/>
          <w:bCs/>
          <w:sz w:val="32"/>
          <w:szCs w:val="32"/>
          <w:shd w:val="clear" w:color="auto" w:fill="FFFFFF"/>
        </w:rPr>
        <w:t>元，车均购置费</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万元，车均维护费</w:t>
      </w:r>
      <w:r>
        <w:rPr>
          <w:rFonts w:ascii="Times New Roman" w:hAnsi="Times New Roman" w:eastAsia="方正仿宋_GBK"/>
          <w:bCs/>
          <w:sz w:val="32"/>
          <w:szCs w:val="32"/>
        </w:rPr>
        <w:t>2.90</w:t>
      </w:r>
      <w:r>
        <w:rPr>
          <w:rFonts w:ascii="Times New Roman" w:hAnsi="Times New Roman" w:eastAsia="方正仿宋_GBK"/>
          <w:bCs/>
          <w:sz w:val="32"/>
          <w:szCs w:val="32"/>
          <w:shd w:val="clear" w:color="auto" w:fill="FFFFFF"/>
        </w:rPr>
        <w:t>万元。</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四、其他需要说明的事项</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（一）财政拨款会议费和培训费情况说明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  本年度会议费支出</w:t>
      </w:r>
      <w:r>
        <w:rPr>
          <w:rFonts w:ascii="Times New Roman" w:hAnsi="Times New Roman" w:eastAsia="方正仿宋_GBK"/>
          <w:bCs/>
          <w:sz w:val="32"/>
          <w:szCs w:val="32"/>
        </w:rPr>
        <w:t>1.97</w:t>
      </w:r>
      <w:r>
        <w:rPr>
          <w:rFonts w:ascii="Times New Roman" w:hAnsi="Times New Roman" w:eastAsia="方正仿宋_GBK"/>
          <w:bCs/>
          <w:sz w:val="32"/>
          <w:szCs w:val="32"/>
          <w:shd w:val="clear" w:color="auto" w:fill="FFFFFF"/>
        </w:rPr>
        <w:t>万元，较上年决算数增加1.25万元，增长173.61%，主要原因是因工作之需，增加与中国广电重庆网络股份有限公司战略合作等会议费。本年度培训费支出</w:t>
      </w:r>
      <w:r>
        <w:rPr>
          <w:rFonts w:ascii="Times New Roman" w:hAnsi="Times New Roman" w:eastAsia="方正仿宋_GBK"/>
          <w:bCs/>
          <w:sz w:val="32"/>
          <w:szCs w:val="32"/>
        </w:rPr>
        <w:t>1.77</w:t>
      </w:r>
      <w:r>
        <w:rPr>
          <w:rFonts w:ascii="Times New Roman" w:hAnsi="Times New Roman" w:eastAsia="方正仿宋_GBK"/>
          <w:bCs/>
          <w:sz w:val="32"/>
          <w:szCs w:val="32"/>
          <w:shd w:val="clear" w:color="auto" w:fill="FFFFFF"/>
        </w:rPr>
        <w:t>万元，较上年决算数减少0.02万元，下降1.12%，主要原因是减少“数字经济+数字化转型产业机遇与项目实战解决方案”线上高级研修班培训费等。</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（二）机关运行经费情况说明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2023年度本部门机关运行经费支出</w:t>
      </w:r>
      <w:r>
        <w:rPr>
          <w:rFonts w:ascii="Times New Roman" w:hAnsi="Times New Roman" w:eastAsia="方正仿宋_GBK"/>
          <w:bCs/>
          <w:sz w:val="32"/>
          <w:szCs w:val="32"/>
        </w:rPr>
        <w:t>58.92</w:t>
      </w:r>
      <w:r>
        <w:rPr>
          <w:rFonts w:ascii="Times New Roman" w:hAnsi="Times New Roman" w:eastAsia="方正仿宋_GBK"/>
          <w:bCs/>
          <w:sz w:val="32"/>
          <w:szCs w:val="32"/>
          <w:shd w:val="clear" w:color="auto" w:fill="FFFFFF"/>
        </w:rPr>
        <w:t>万元，机关运行经费主要用于开支办公费、邮电费、培训费、委托业务费、工会经费、福利费、公务用车运行维护费、其他交通费用、其他商品和服务支出。机关运行经费较上年支出数增加11.22万元，增长23.52%，主要原因是人员增加，相应费用增加。</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（三）国有资产占用情况说明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ascii="Times New Roman" w:hAnsi="Times New Roman" w:eastAsia="方正仿宋_GBK"/>
          <w:bCs/>
          <w:sz w:val="32"/>
          <w:szCs w:val="32"/>
          <w:shd w:val="clear" w:color="auto" w:fill="FFFFFF"/>
        </w:rPr>
        <w:t>  截至2023年12月31日，本部门共有车辆</w:t>
      </w:r>
      <w:r>
        <w:rPr>
          <w:rFonts w:ascii="Times New Roman" w:hAnsi="Times New Roman" w:eastAsia="方正仿宋_GBK"/>
          <w:bCs/>
          <w:sz w:val="32"/>
          <w:szCs w:val="32"/>
        </w:rPr>
        <w:t>1</w:t>
      </w:r>
      <w:r>
        <w:rPr>
          <w:rFonts w:ascii="Times New Roman" w:hAnsi="Times New Roman" w:eastAsia="方正仿宋_GBK"/>
          <w:bCs/>
          <w:sz w:val="32"/>
          <w:szCs w:val="32"/>
          <w:shd w:val="clear" w:color="auto" w:fill="FFFFFF"/>
        </w:rPr>
        <w:t>辆，其中，副部（省）级及以上领导用车</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辆、主要负责人用车</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辆、机要通信用车</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辆、应急保障用车</w:t>
      </w:r>
      <w:r>
        <w:rPr>
          <w:rFonts w:ascii="Times New Roman" w:hAnsi="Times New Roman" w:eastAsia="方正仿宋_GBK"/>
          <w:bCs/>
          <w:sz w:val="32"/>
          <w:szCs w:val="32"/>
        </w:rPr>
        <w:t>1</w:t>
      </w:r>
      <w:r>
        <w:rPr>
          <w:rFonts w:ascii="Times New Roman" w:hAnsi="Times New Roman" w:eastAsia="方正仿宋_GBK"/>
          <w:bCs/>
          <w:sz w:val="32"/>
          <w:szCs w:val="32"/>
          <w:shd w:val="clear" w:color="auto" w:fill="FFFFFF"/>
        </w:rPr>
        <w:t>辆、执法执勤用车</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辆，特种专业技术用车</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辆，离退休干部用车</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辆。单价100万元（含）以上专用设备</w:t>
      </w:r>
      <w:r>
        <w:rPr>
          <w:rFonts w:ascii="Times New Roman" w:hAnsi="Times New Roman" w:eastAsia="方正仿宋_GBK"/>
          <w:bCs/>
          <w:sz w:val="32"/>
          <w:szCs w:val="32"/>
        </w:rPr>
        <w:t>0</w:t>
      </w:r>
      <w:r>
        <w:rPr>
          <w:rFonts w:ascii="Times New Roman" w:hAnsi="Times New Roman" w:eastAsia="方正仿宋_GBK"/>
          <w:bCs/>
          <w:sz w:val="32"/>
          <w:szCs w:val="32"/>
          <w:shd w:val="clear" w:color="auto" w:fill="FFFFFF"/>
        </w:rPr>
        <w:t>台（套）。</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（四）政府采购支出情况说明</w:t>
      </w:r>
    </w:p>
    <w:p>
      <w:pPr>
        <w:pStyle w:val="7"/>
        <w:snapToGrid w:val="0"/>
        <w:spacing w:before="0" w:beforeAutospacing="0" w:after="0" w:afterAutospacing="0" w:line="594" w:lineRule="exact"/>
        <w:ind w:firstLine="640" w:firstLineChars="200"/>
        <w:jc w:val="both"/>
        <w:rPr>
          <w:rFonts w:ascii="Times New Roman" w:hAnsi="Times New Roman" w:eastAsia="方正仿宋_GBK"/>
          <w:bCs/>
          <w:color w:val="FF0000"/>
          <w:sz w:val="32"/>
          <w:szCs w:val="32"/>
          <w:shd w:val="clear" w:color="auto" w:fill="FFFFFF"/>
        </w:rPr>
      </w:pPr>
      <w:r>
        <w:rPr>
          <w:rFonts w:ascii="Times New Roman" w:hAnsi="Times New Roman" w:eastAsia="方正仿宋_GBK"/>
          <w:bCs/>
          <w:sz w:val="32"/>
          <w:szCs w:val="32"/>
          <w:shd w:val="clear" w:color="auto" w:fill="FFFFFF"/>
        </w:rPr>
        <w:t>  2023年度本部门政府采购支出总额</w:t>
      </w:r>
      <w:r>
        <w:rPr>
          <w:rFonts w:ascii="Times New Roman" w:hAnsi="Times New Roman" w:eastAsia="方正仿宋_GBK"/>
          <w:bCs/>
          <w:sz w:val="32"/>
          <w:szCs w:val="32"/>
        </w:rPr>
        <w:t>1437.97</w:t>
      </w:r>
      <w:r>
        <w:rPr>
          <w:rFonts w:ascii="Times New Roman" w:hAnsi="Times New Roman" w:eastAsia="方正仿宋_GBK"/>
          <w:bCs/>
          <w:sz w:val="32"/>
          <w:szCs w:val="32"/>
          <w:shd w:val="clear" w:color="auto" w:fill="FFFFFF"/>
        </w:rPr>
        <w:t>万元，其中：政府采购货物支出</w:t>
      </w:r>
      <w:r>
        <w:rPr>
          <w:rFonts w:ascii="Times New Roman" w:hAnsi="Times New Roman" w:eastAsia="方正仿宋_GBK"/>
          <w:bCs/>
          <w:sz w:val="32"/>
          <w:szCs w:val="32"/>
        </w:rPr>
        <w:t>1213.40</w:t>
      </w:r>
      <w:r>
        <w:rPr>
          <w:rFonts w:ascii="Times New Roman" w:hAnsi="Times New Roman" w:eastAsia="方正仿宋_GBK"/>
          <w:bCs/>
          <w:sz w:val="32"/>
          <w:szCs w:val="32"/>
          <w:shd w:val="clear" w:color="auto" w:fill="FFFFFF"/>
        </w:rPr>
        <w:t>万元、政府采购工程支出</w:t>
      </w:r>
      <w:r>
        <w:rPr>
          <w:rFonts w:ascii="Times New Roman" w:hAnsi="Times New Roman" w:eastAsia="方正仿宋_GBK"/>
          <w:bCs/>
          <w:sz w:val="32"/>
          <w:szCs w:val="32"/>
        </w:rPr>
        <w:t>0.00</w:t>
      </w:r>
      <w:r>
        <w:rPr>
          <w:rFonts w:ascii="Times New Roman" w:hAnsi="Times New Roman" w:eastAsia="方正仿宋_GBK"/>
          <w:bCs/>
          <w:sz w:val="32"/>
          <w:szCs w:val="32"/>
          <w:shd w:val="clear" w:color="auto" w:fill="FFFFFF"/>
        </w:rPr>
        <w:t>万元、政府采购服务支出</w:t>
      </w:r>
      <w:r>
        <w:rPr>
          <w:rFonts w:ascii="Times New Roman" w:hAnsi="Times New Roman" w:eastAsia="方正仿宋_GBK"/>
          <w:bCs/>
          <w:sz w:val="32"/>
          <w:szCs w:val="32"/>
        </w:rPr>
        <w:t>224.57</w:t>
      </w:r>
      <w:r>
        <w:rPr>
          <w:rFonts w:ascii="Times New Roman" w:hAnsi="Times New Roman" w:eastAsia="方正仿宋_GBK"/>
          <w:bCs/>
          <w:sz w:val="32"/>
          <w:szCs w:val="32"/>
          <w:shd w:val="clear" w:color="auto" w:fill="FFFFFF"/>
        </w:rPr>
        <w:t>万元。授予中小企业合同金额</w:t>
      </w:r>
      <w:r>
        <w:rPr>
          <w:rFonts w:ascii="Times New Roman" w:hAnsi="Times New Roman" w:eastAsia="方正仿宋_GBK"/>
          <w:bCs/>
          <w:sz w:val="32"/>
          <w:szCs w:val="32"/>
        </w:rPr>
        <w:t>267.92万</w:t>
      </w:r>
      <w:r>
        <w:rPr>
          <w:rFonts w:ascii="Times New Roman" w:hAnsi="Times New Roman" w:eastAsia="方正仿宋_GBK"/>
          <w:bCs/>
          <w:sz w:val="32"/>
          <w:szCs w:val="32"/>
          <w:shd w:val="clear" w:color="auto" w:fill="FFFFFF"/>
        </w:rPr>
        <w:t>元，占政府采购支出总额的</w:t>
      </w:r>
      <w:r>
        <w:rPr>
          <w:rFonts w:ascii="Times New Roman" w:hAnsi="Times New Roman" w:eastAsia="方正仿宋_GBK"/>
          <w:bCs/>
          <w:sz w:val="32"/>
          <w:szCs w:val="32"/>
        </w:rPr>
        <w:t>18.63</w:t>
      </w:r>
      <w:r>
        <w:rPr>
          <w:rFonts w:ascii="Times New Roman" w:hAnsi="Times New Roman" w:eastAsia="方正仿宋_GBK"/>
          <w:bCs/>
          <w:sz w:val="32"/>
          <w:szCs w:val="32"/>
          <w:shd w:val="clear" w:color="auto" w:fill="FFFFFF"/>
        </w:rPr>
        <w:t>%，其中：授予小微企业合同金额</w:t>
      </w:r>
      <w:r>
        <w:rPr>
          <w:rFonts w:ascii="Times New Roman" w:hAnsi="Times New Roman" w:eastAsia="方正仿宋_GBK"/>
          <w:bCs/>
          <w:sz w:val="32"/>
          <w:szCs w:val="32"/>
        </w:rPr>
        <w:t>225.92</w:t>
      </w:r>
      <w:r>
        <w:rPr>
          <w:rFonts w:ascii="Times New Roman" w:hAnsi="Times New Roman" w:eastAsia="方正仿宋_GBK"/>
          <w:bCs/>
          <w:sz w:val="32"/>
          <w:szCs w:val="32"/>
          <w:shd w:val="clear" w:color="auto" w:fill="FFFFFF"/>
        </w:rPr>
        <w:t>万元，占政府采购支出总额的</w:t>
      </w:r>
      <w:r>
        <w:rPr>
          <w:rFonts w:ascii="Times New Roman" w:hAnsi="Times New Roman" w:eastAsia="方正仿宋_GBK"/>
          <w:bCs/>
          <w:sz w:val="32"/>
          <w:szCs w:val="32"/>
        </w:rPr>
        <w:t>15.71</w:t>
      </w:r>
      <w:r>
        <w:rPr>
          <w:rFonts w:ascii="Times New Roman" w:hAnsi="Times New Roman" w:eastAsia="方正仿宋_GBK"/>
          <w:bCs/>
          <w:sz w:val="32"/>
          <w:szCs w:val="32"/>
          <w:shd w:val="clear" w:color="auto" w:fill="FFFFFF"/>
        </w:rPr>
        <w:t xml:space="preserve"> %。主要用于采购渝中区农贸市场食品安全智慧化建设、渝中区食品药品安全监测追溯及公共服务信息平台（三期工程）、“链采未来·博采众长”2023年区块链高质量发展论坛等项目。</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五、预算绩效管理情况说明</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（一）预算绩效管理工作开展情况</w:t>
      </w:r>
    </w:p>
    <w:p>
      <w:pPr>
        <w:pStyle w:val="12"/>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根据预算绩效管理要求，我局对部门整体和12个项目开展了绩效自评，其中，以填报自评表形式开展自评13项，涉及财政拨款项目支出资金1642.83万元。</w:t>
      </w:r>
    </w:p>
    <w:p>
      <w:pPr>
        <w:pStyle w:val="7"/>
        <w:shd w:val="clear" w:color="auto" w:fill="FFFFFF"/>
        <w:spacing w:before="0" w:beforeAutospacing="0" w:after="0" w:afterAutospacing="0" w:line="594" w:lineRule="exact"/>
        <w:ind w:firstLine="640" w:firstLineChars="200"/>
        <w:rPr>
          <w:rStyle w:val="10"/>
          <w:rFonts w:ascii="方正楷体_GBK" w:eastAsia="方正楷体_GBK" w:cs="方正楷体_GBK"/>
          <w:b w:val="0"/>
          <w:bCs/>
          <w:sz w:val="32"/>
          <w:szCs w:val="32"/>
          <w:shd w:val="clear" w:color="auto" w:fill="FFFFFF"/>
        </w:rPr>
      </w:pPr>
      <w:r>
        <w:rPr>
          <w:rStyle w:val="10"/>
          <w:rFonts w:ascii="方正楷体_GBK" w:eastAsia="方正楷体_GBK" w:cs="方正楷体_GBK"/>
          <w:b w:val="0"/>
          <w:bCs/>
          <w:sz w:val="32"/>
          <w:szCs w:val="32"/>
          <w:shd w:val="clear" w:color="auto" w:fill="FFFFFF"/>
        </w:rPr>
        <w:t>（二）部门绩效评价情况</w:t>
      </w:r>
    </w:p>
    <w:p>
      <w:pPr>
        <w:pStyle w:val="7"/>
        <w:shd w:val="clear" w:color="auto" w:fill="FFFFFF"/>
        <w:spacing w:before="0" w:beforeAutospacing="0" w:after="0" w:afterAutospacing="0" w:line="594" w:lineRule="exact"/>
        <w:ind w:firstLine="640" w:firstLineChars="200"/>
        <w:rPr>
          <w:rFonts w:ascii="方正楷体_GBK" w:eastAsia="方正楷体_GBK"/>
          <w:bCs/>
          <w:color w:val="000000"/>
          <w:sz w:val="32"/>
          <w:szCs w:val="32"/>
        </w:rPr>
      </w:pPr>
      <w:r>
        <w:rPr>
          <w:rStyle w:val="10"/>
          <w:rFonts w:ascii="方正楷体_GBK" w:eastAsia="方正楷体_GBK" w:cs="方正楷体_GBK"/>
          <w:b w:val="0"/>
          <w:bCs/>
          <w:sz w:val="32"/>
          <w:szCs w:val="32"/>
          <w:shd w:val="clear" w:color="auto" w:fill="FFFFFF"/>
        </w:rPr>
        <w:t>1.</w:t>
      </w:r>
      <w:r>
        <w:rPr>
          <w:rFonts w:ascii="方正楷体_GBK" w:eastAsia="方正楷体_GBK"/>
          <w:bCs/>
          <w:color w:val="000000"/>
          <w:sz w:val="32"/>
          <w:szCs w:val="32"/>
        </w:rPr>
        <w:t xml:space="preserve"> 绩效目标自评表（见附件重庆市渝中区大数据应用发展管理局整体监控及项目绩效自评表，以附件形式上传）。</w:t>
      </w:r>
    </w:p>
    <w:p>
      <w:pPr>
        <w:pStyle w:val="12"/>
        <w:widowControl w:val="0"/>
        <w:spacing w:before="0" w:beforeAutospacing="0" w:after="0" w:afterAutospacing="0"/>
        <w:ind w:firstLine="640" w:firstLineChars="200"/>
        <w:rPr>
          <w:rFonts w:hint="eastAsia" w:ascii="方正仿宋_GBK" w:eastAsia="方正仿宋_GBK" w:cs="方正仿宋_GBK"/>
          <w:sz w:val="32"/>
          <w:szCs w:val="32"/>
        </w:rPr>
      </w:pPr>
      <w:r>
        <w:rPr>
          <w:rFonts w:ascii="方正楷体_GBK" w:eastAsia="方正楷体_GBK"/>
          <w:bCs/>
          <w:color w:val="000000"/>
          <w:sz w:val="32"/>
          <w:szCs w:val="32"/>
        </w:rPr>
        <w:t>2.</w:t>
      </w:r>
      <w:r>
        <w:rPr>
          <w:rFonts w:ascii="方正仿宋_GBK" w:eastAsia="方正仿宋_GBK" w:cs="方正仿宋_GBK"/>
          <w:sz w:val="32"/>
          <w:szCs w:val="32"/>
        </w:rPr>
        <w:t xml:space="preserve"> </w:t>
      </w:r>
      <w:r>
        <w:rPr>
          <w:rFonts w:hint="eastAsia" w:ascii="方正仿宋_GBK" w:eastAsia="方正仿宋_GBK" w:cs="方正仿宋_GBK"/>
          <w:sz w:val="32"/>
          <w:szCs w:val="32"/>
        </w:rPr>
        <w:t>绩效自评报告或案例</w:t>
      </w:r>
    </w:p>
    <w:p>
      <w:pPr>
        <w:pStyle w:val="12"/>
        <w:widowControl w:val="0"/>
        <w:spacing w:before="0" w:beforeAutospacing="0" w:after="0" w:afterAutospacing="0"/>
        <w:ind w:firstLine="640" w:firstLineChars="200"/>
        <w:rPr>
          <w:rFonts w:hint="eastAsia"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本部门</w:t>
      </w:r>
      <w:r>
        <w:rPr>
          <w:rFonts w:ascii="Times New Roman" w:hAnsi="Times New Roman" w:eastAsia="方正仿宋_GBK"/>
          <w:bCs/>
          <w:color w:val="000000"/>
          <w:sz w:val="32"/>
          <w:szCs w:val="32"/>
        </w:rPr>
        <w:t>未组织</w:t>
      </w:r>
      <w:r>
        <w:rPr>
          <w:rFonts w:hint="eastAsia" w:ascii="Times New Roman" w:hAnsi="Times New Roman" w:eastAsia="方正仿宋_GBK"/>
          <w:bCs/>
          <w:color w:val="000000"/>
          <w:sz w:val="32"/>
          <w:szCs w:val="32"/>
        </w:rPr>
        <w:t>第三方</w:t>
      </w:r>
      <w:r>
        <w:rPr>
          <w:rFonts w:ascii="Times New Roman" w:hAnsi="Times New Roman" w:eastAsia="方正仿宋_GBK"/>
          <w:bCs/>
          <w:color w:val="000000"/>
          <w:sz w:val="32"/>
          <w:szCs w:val="32"/>
        </w:rPr>
        <w:t>开展绩效评价。</w:t>
      </w:r>
    </w:p>
    <w:p>
      <w:pPr>
        <w:pStyle w:val="12"/>
        <w:widowControl w:val="0"/>
        <w:spacing w:before="0" w:beforeAutospacing="0" w:after="0" w:afterAutospacing="0"/>
        <w:ind w:firstLine="640" w:firstLineChars="200"/>
        <w:rPr>
          <w:rFonts w:hint="eastAsia"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3.关于绩效自评结果的说明</w:t>
      </w:r>
    </w:p>
    <w:p>
      <w:pPr>
        <w:pStyle w:val="7"/>
        <w:shd w:val="clear" w:color="auto" w:fill="FFFFFF"/>
        <w:spacing w:before="0" w:beforeAutospacing="0" w:after="0" w:afterAutospacing="0" w:line="594" w:lineRule="exact"/>
        <w:ind w:firstLine="640" w:firstLineChars="200"/>
        <w:rPr>
          <w:rFonts w:ascii="方正楷体_GBK" w:eastAsia="方正楷体_GBK" w:cs="方正楷体_GBK"/>
          <w:bCs/>
          <w:sz w:val="32"/>
          <w:szCs w:val="32"/>
          <w:shd w:val="clear" w:color="auto" w:fill="FFFFFF"/>
        </w:rPr>
      </w:pPr>
      <w:r>
        <w:rPr>
          <w:rStyle w:val="10"/>
          <w:rFonts w:ascii="方正楷体_GBK" w:eastAsia="方正楷体_GBK" w:cs="方正楷体_GBK"/>
          <w:b w:val="0"/>
          <w:bCs/>
          <w:sz w:val="32"/>
          <w:szCs w:val="32"/>
          <w:shd w:val="clear" w:color="auto" w:fill="FFFFFF"/>
        </w:rPr>
        <w:t>本部门绩效自评均已完成年度绩效目标。</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六、专业名词解释</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（一）财政拨款收入：</w:t>
      </w:r>
      <w:r>
        <w:rPr>
          <w:rFonts w:ascii="Times New Roman" w:hAnsi="Times New Roman" w:eastAsia="方正仿宋_GBK"/>
          <w:bCs/>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（二）事业收入：</w:t>
      </w:r>
      <w:r>
        <w:rPr>
          <w:rFonts w:ascii="Times New Roman" w:hAnsi="Times New Roman" w:eastAsia="方正仿宋_GBK"/>
          <w:bCs/>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（三）经营收入：</w:t>
      </w:r>
      <w:r>
        <w:rPr>
          <w:rFonts w:ascii="Times New Roman" w:hAnsi="Times New Roman" w:eastAsia="方正仿宋_GBK"/>
          <w:bCs/>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（四）其他收入：</w:t>
      </w:r>
      <w:r>
        <w:rPr>
          <w:rFonts w:ascii="Times New Roman" w:hAnsi="Times New Roman" w:eastAsia="方正仿宋_GBK"/>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（五）使用非财政拨款结余：</w:t>
      </w:r>
      <w:r>
        <w:rPr>
          <w:rFonts w:ascii="Times New Roman" w:hAnsi="Times New Roman" w:eastAsia="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（六）年初结转和结余：</w:t>
      </w:r>
      <w:r>
        <w:rPr>
          <w:rFonts w:ascii="Times New Roman" w:hAnsi="Times New Roman" w:eastAsia="方正仿宋_GBK"/>
          <w:bCs/>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（七）结余分配：</w:t>
      </w:r>
      <w:r>
        <w:rPr>
          <w:rFonts w:ascii="Times New Roman" w:hAnsi="Times New Roman" w:eastAsia="方正仿宋_GBK"/>
          <w:bCs/>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（八）年末结转和结余：</w:t>
      </w:r>
      <w:r>
        <w:rPr>
          <w:rFonts w:ascii="Times New Roman" w:hAnsi="Times New Roman" w:eastAsia="方正仿宋_GBK"/>
          <w:bCs/>
          <w:sz w:val="32"/>
          <w:szCs w:val="32"/>
          <w:shd w:val="clear" w:color="auto" w:fill="FFFFFF"/>
        </w:rPr>
        <w:t>指单位结转下年的基本支出结转、项目支出结转和结余、经营结余。</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（九）基本支出：</w:t>
      </w:r>
      <w:r>
        <w:rPr>
          <w:rFonts w:ascii="Times New Roman" w:hAnsi="Times New Roman" w:eastAsia="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（十）项目支出：</w:t>
      </w:r>
      <w:r>
        <w:rPr>
          <w:rFonts w:ascii="Times New Roman" w:hAnsi="Times New Roman" w:eastAsia="方正仿宋_GBK"/>
          <w:bCs/>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（十一）经营支出：</w:t>
      </w:r>
      <w:r>
        <w:rPr>
          <w:rFonts w:ascii="Times New Roman" w:hAnsi="Times New Roman" w:eastAsia="方正仿宋_GBK"/>
          <w:bCs/>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（十二）“三公”经费：</w:t>
      </w:r>
      <w:r>
        <w:rPr>
          <w:rFonts w:ascii="Times New Roman" w:hAnsi="Times New Roman" w:eastAsia="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（十三）机关运行经费：</w:t>
      </w:r>
      <w:r>
        <w:rPr>
          <w:rFonts w:ascii="Times New Roman" w:hAnsi="Times New Roman" w:eastAsia="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 （十四）工资福利支出（支出经济分类科目类级）：</w:t>
      </w:r>
      <w:r>
        <w:rPr>
          <w:rFonts w:ascii="Times New Roman" w:hAnsi="Times New Roman" w:eastAsia="方正仿宋_GBK"/>
          <w:bCs/>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Times New Roman" w:hAnsi="Times New Roman" w:eastAsia="方正仿宋_GBK"/>
          <w:b w:val="0"/>
          <w:bCs/>
          <w:sz w:val="32"/>
          <w:szCs w:val="32"/>
          <w:shd w:val="clear" w:color="auto" w:fill="FFFFFF"/>
        </w:rPr>
        <w:t> </w:t>
      </w:r>
      <w:r>
        <w:rPr>
          <w:rStyle w:val="10"/>
          <w:rFonts w:ascii="方正楷体_GBK" w:eastAsia="方正楷体_GBK" w:cs="方正楷体_GBK"/>
          <w:b w:val="0"/>
          <w:bCs/>
          <w:sz w:val="32"/>
          <w:szCs w:val="32"/>
          <w:shd w:val="clear" w:color="auto" w:fill="FFFFFF"/>
        </w:rPr>
        <w:t>（十五）商品和服务支出（支出经济分类科目类级）：</w:t>
      </w:r>
      <w:r>
        <w:rPr>
          <w:rFonts w:ascii="Times New Roman" w:hAnsi="Times New Roman" w:eastAsia="方正仿宋_GBK"/>
          <w:bCs/>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Style w:val="10"/>
          <w:rFonts w:ascii="Times New Roman" w:hAnsi="Times New Roman" w:eastAsia="楷体"/>
          <w:b w:val="0"/>
          <w:bCs/>
          <w:sz w:val="32"/>
          <w:szCs w:val="32"/>
          <w:shd w:val="clear" w:color="auto" w:fill="FFFFFF"/>
        </w:rPr>
        <w:t> </w:t>
      </w:r>
      <w:r>
        <w:rPr>
          <w:rStyle w:val="10"/>
          <w:rFonts w:ascii="方正楷体_GBK" w:eastAsia="方正楷体_GBK" w:cs="方正楷体_GBK"/>
          <w:b w:val="0"/>
          <w:bCs/>
          <w:sz w:val="32"/>
          <w:szCs w:val="32"/>
          <w:shd w:val="clear" w:color="auto" w:fill="FFFFFF"/>
        </w:rPr>
        <w:t>（十六）对个人和家庭的补助（支出经济分类科目类级）：</w:t>
      </w:r>
      <w:r>
        <w:rPr>
          <w:rFonts w:ascii="Times New Roman" w:hAnsi="Times New Roman" w:eastAsia="方正仿宋_GBK"/>
          <w:bCs/>
          <w:sz w:val="32"/>
          <w:szCs w:val="32"/>
          <w:shd w:val="clear" w:color="auto" w:fill="FFFFFF"/>
        </w:rPr>
        <w:t>反映用于对个人和家庭的补助支出。</w:t>
      </w:r>
    </w:p>
    <w:p>
      <w:pPr>
        <w:pStyle w:val="7"/>
        <w:snapToGrid w:val="0"/>
        <w:spacing w:before="0" w:beforeAutospacing="0" w:after="0" w:afterAutospacing="0" w:line="594" w:lineRule="exact"/>
        <w:ind w:firstLine="640" w:firstLineChars="200"/>
        <w:jc w:val="both"/>
        <w:rPr>
          <w:rFonts w:ascii="Times New Roman" w:hAnsi="Times New Roman" w:eastAsia="方正仿宋_GBK"/>
          <w:bCs/>
          <w:sz w:val="32"/>
          <w:szCs w:val="32"/>
          <w:shd w:val="clear" w:color="auto" w:fill="FFFFFF"/>
        </w:rPr>
      </w:pPr>
      <w:r>
        <w:rPr>
          <w:rStyle w:val="10"/>
          <w:rFonts w:ascii="Times New Roman" w:hAnsi="Times New Roman" w:eastAsia="方正仿宋_GBK"/>
          <w:b w:val="0"/>
          <w:bCs/>
          <w:sz w:val="32"/>
          <w:szCs w:val="32"/>
          <w:shd w:val="clear" w:color="auto" w:fill="FFFFFF"/>
        </w:rPr>
        <w:t> </w:t>
      </w:r>
      <w:r>
        <w:rPr>
          <w:rStyle w:val="10"/>
          <w:rFonts w:ascii="方正楷体_GBK" w:eastAsia="方正楷体_GBK" w:cs="方正楷体_GBK"/>
          <w:b w:val="0"/>
          <w:bCs/>
          <w:sz w:val="32"/>
          <w:szCs w:val="32"/>
          <w:shd w:val="clear" w:color="auto" w:fill="FFFFFF"/>
        </w:rPr>
        <w:t>（十七）其他资本性支出（支出经济分类科目类级）：</w:t>
      </w:r>
      <w:r>
        <w:rPr>
          <w:rFonts w:ascii="Times New Roman" w:hAnsi="Times New Roman" w:eastAsia="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（十八）一般行政管理事务（支出功能分类科目项级）：</w:t>
      </w:r>
      <w:r>
        <w:rPr>
          <w:rFonts w:ascii="Times New Roman" w:hAnsi="Times New Roman" w:eastAsia="方正仿宋_GBK"/>
          <w:bCs/>
          <w:sz w:val="32"/>
          <w:szCs w:val="32"/>
          <w:shd w:val="clear" w:color="auto" w:fill="FFFFFF"/>
        </w:rPr>
        <w:t>反映行政单位（包括实行公务员管理的事业单位）未单独设置项级科目的其他项目支出。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（十九）民兵（支出功能分类科目项级）：</w:t>
      </w:r>
      <w:r>
        <w:rPr>
          <w:rFonts w:ascii="Times New Roman" w:hAnsi="Times New Roman" w:eastAsia="方正仿宋_GBK"/>
          <w:bCs/>
          <w:sz w:val="32"/>
          <w:szCs w:val="32"/>
          <w:shd w:val="clear" w:color="auto" w:fill="FFFFFF"/>
        </w:rPr>
        <w:t>反映用于民兵建设与管理等方面的支出。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（二十）行政运行（支出功能分类科目项级）：</w:t>
      </w:r>
      <w:r>
        <w:rPr>
          <w:rStyle w:val="15"/>
          <w:rFonts w:hint="eastAsia" w:eastAsia="方正仿宋_GBK"/>
          <w:b w:val="0"/>
          <w:bCs/>
          <w:sz w:val="32"/>
          <w:szCs w:val="32"/>
          <w:shd w:val="clear" w:color="auto" w:fill="FFFFFF"/>
        </w:rPr>
        <w:t>反映行政单位（包括实行公务员管理的事业单位）的基本支出。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（二十一）机关服务（支出功能分类科目项级）：</w:t>
      </w:r>
      <w:r>
        <w:rPr>
          <w:rStyle w:val="15"/>
          <w:rFonts w:hint="eastAsia" w:eastAsia="方正仿宋_GBK"/>
          <w:b w:val="0"/>
          <w:bCs/>
          <w:sz w:val="32"/>
          <w:szCs w:val="32"/>
          <w:shd w:val="clear" w:color="auto" w:fill="FFFFFF"/>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（二十二）其他科学技术支出（支出功能分类科目项级）：</w:t>
      </w:r>
      <w:r>
        <w:rPr>
          <w:rStyle w:val="15"/>
          <w:rFonts w:hint="eastAsia" w:eastAsia="方正仿宋_GBK"/>
          <w:b w:val="0"/>
          <w:bCs/>
          <w:sz w:val="32"/>
          <w:szCs w:val="32"/>
          <w:shd w:val="clear" w:color="auto" w:fill="FFFFFF"/>
        </w:rPr>
        <w:t>反映其他科学技术支出中除以上各项外用于科技方面的支出。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rPr>
      </w:pPr>
      <w:r>
        <w:rPr>
          <w:rStyle w:val="10"/>
          <w:rFonts w:ascii="方正楷体_GBK" w:eastAsia="方正楷体_GBK" w:cs="方正楷体_GBK"/>
          <w:b w:val="0"/>
          <w:bCs/>
          <w:sz w:val="32"/>
          <w:szCs w:val="32"/>
          <w:shd w:val="clear" w:color="auto" w:fill="FFFFFF"/>
        </w:rPr>
        <w:t>（二十三）机关事业单位基本养老保险缴费支出（支出功能分类科目项级）：</w:t>
      </w:r>
      <w:r>
        <w:rPr>
          <w:rStyle w:val="15"/>
          <w:rFonts w:hint="eastAsia" w:eastAsia="方正仿宋_GBK"/>
          <w:b w:val="0"/>
          <w:bCs/>
          <w:sz w:val="32"/>
          <w:szCs w:val="32"/>
          <w:shd w:val="clear" w:color="auto" w:fill="FFFFFF"/>
        </w:rPr>
        <w:t>反映机关事业单位实施养老保险制度由单位缴纳的基本养老保险费支出。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（二十四）机关事业单位职业年金缴费支出（支出功能分类科目项级）：</w:t>
      </w:r>
      <w:r>
        <w:rPr>
          <w:rStyle w:val="15"/>
          <w:rFonts w:hint="eastAsia" w:eastAsia="方正仿宋_GBK"/>
          <w:b w:val="0"/>
          <w:bCs/>
          <w:sz w:val="32"/>
          <w:szCs w:val="32"/>
          <w:shd w:val="clear" w:color="auto" w:fill="FFFFFF"/>
        </w:rPr>
        <w:t>反映机关事业单位实施养老保险制度由单位缴纳的职业年金支出。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（二十五）行政单位医疗（支出功能分类科目项级）：</w:t>
      </w:r>
      <w:r>
        <w:rPr>
          <w:rStyle w:val="15"/>
          <w:rFonts w:hint="eastAsia" w:eastAsia="方正仿宋_GBK"/>
          <w:b w:val="0"/>
          <w:bCs/>
          <w:sz w:val="32"/>
          <w:szCs w:val="32"/>
          <w:shd w:val="clear" w:color="auto" w:fill="FFFFFF"/>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（二十六）事业单位医疗（支出功能分类科目项级）：</w:t>
      </w:r>
      <w:r>
        <w:rPr>
          <w:rStyle w:val="15"/>
          <w:rFonts w:hint="eastAsia" w:eastAsia="方正仿宋_GBK"/>
          <w:b w:val="0"/>
          <w:bCs/>
          <w:sz w:val="32"/>
          <w:szCs w:val="32"/>
          <w:shd w:val="clear" w:color="auto" w:fill="FFFFFF"/>
        </w:rPr>
        <w:t>反映财政部门安排的事业单位基本医疗保险缴费经费，未参加医疗保险的事业单位的公费医疗经费，按国家规定享受离休人员待遇的医疗经费。</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（二十七）其他城乡社区支出（支出功能分类科目项级）：</w:t>
      </w:r>
      <w:r>
        <w:rPr>
          <w:rStyle w:val="15"/>
          <w:rFonts w:hint="eastAsia" w:eastAsia="方正仿宋_GBK"/>
          <w:b w:val="0"/>
          <w:bCs/>
          <w:sz w:val="32"/>
          <w:szCs w:val="32"/>
          <w:shd w:val="clear" w:color="auto" w:fill="FFFFFF"/>
        </w:rPr>
        <w:t>反映除上述项目以外其他用于城乡社区方面的支出。</w:t>
      </w:r>
    </w:p>
    <w:p>
      <w:pPr>
        <w:pStyle w:val="7"/>
        <w:widowControl w:val="0"/>
        <w:shd w:val="clear" w:color="auto" w:fill="FFFFFF"/>
        <w:autoSpaceDE w:val="0"/>
        <w:spacing w:before="0" w:beforeAutospacing="0" w:after="0" w:afterAutospacing="0" w:line="594" w:lineRule="exact"/>
        <w:ind w:firstLine="640" w:firstLineChars="200"/>
        <w:rPr>
          <w:rStyle w:val="15"/>
          <w:rFonts w:hint="eastAsia" w:eastAsia="方正仿宋_GBK"/>
          <w:b w:val="0"/>
          <w:bCs/>
          <w:sz w:val="32"/>
          <w:szCs w:val="32"/>
          <w:shd w:val="clear" w:color="auto" w:fill="FFFFFF"/>
        </w:rPr>
      </w:pPr>
      <w:r>
        <w:rPr>
          <w:rStyle w:val="10"/>
          <w:rFonts w:ascii="方正楷体_GBK" w:eastAsia="方正楷体_GBK" w:cs="方正楷体_GBK"/>
          <w:b w:val="0"/>
          <w:bCs/>
          <w:sz w:val="32"/>
          <w:szCs w:val="32"/>
          <w:shd w:val="clear" w:color="auto" w:fill="FFFFFF"/>
        </w:rPr>
        <w:t>（二十八）产业发展（支出功能分类科目项级）：</w:t>
      </w:r>
      <w:r>
        <w:rPr>
          <w:rStyle w:val="15"/>
          <w:rFonts w:hint="eastAsia" w:eastAsia="方正仿宋_GBK"/>
          <w:b w:val="0"/>
          <w:bCs/>
          <w:sz w:val="32"/>
          <w:szCs w:val="32"/>
          <w:shd w:val="clear" w:color="auto" w:fill="FFFFFF"/>
        </w:rPr>
        <w:t>反映工业和信息化产业发展的支出。</w:t>
      </w:r>
    </w:p>
    <w:p>
      <w:pPr>
        <w:widowControl w:val="0"/>
        <w:autoSpaceDE w:val="0"/>
        <w:adjustRightInd w:val="0"/>
        <w:snapToGrid w:val="0"/>
        <w:spacing w:line="594" w:lineRule="exact"/>
        <w:ind w:firstLine="640" w:firstLineChars="200"/>
        <w:jc w:val="both"/>
        <w:rPr>
          <w:rStyle w:val="15"/>
          <w:rFonts w:hint="eastAsia" w:eastAsia="方正仿宋_GBK"/>
          <w:b w:val="0"/>
          <w:bCs/>
          <w:sz w:val="32"/>
          <w:szCs w:val="32"/>
        </w:rPr>
      </w:pPr>
      <w:r>
        <w:rPr>
          <w:rStyle w:val="10"/>
          <w:rFonts w:ascii="方正楷体_GBK" w:eastAsia="方正楷体_GBK" w:cs="方正楷体_GBK"/>
          <w:b w:val="0"/>
          <w:bCs/>
          <w:sz w:val="32"/>
          <w:szCs w:val="32"/>
          <w:shd w:val="clear" w:color="auto" w:fill="FFFFFF"/>
        </w:rPr>
        <w:t>（二十九）其他商品服务业等支出（支出功能分类科目项级）：</w:t>
      </w:r>
      <w:r>
        <w:rPr>
          <w:rFonts w:ascii="Times New Roman" w:hAnsi="Times New Roman" w:eastAsia="方正仿宋_GBK"/>
          <w:bCs/>
          <w:sz w:val="32"/>
          <w:szCs w:val="32"/>
        </w:rPr>
        <w:t>反映其他商业服务业等支出中除上述项目以外的其他支出。</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（三十）住房公积金（支出功能分类科目项级）：</w:t>
      </w:r>
      <w:r>
        <w:rPr>
          <w:rStyle w:val="15"/>
          <w:rFonts w:hint="eastAsia" w:eastAsia="方正仿宋_GBK"/>
          <w:b w:val="0"/>
          <w:bCs/>
          <w:sz w:val="32"/>
          <w:szCs w:val="32"/>
          <w:shd w:val="clear" w:color="auto" w:fill="FFFFFF"/>
        </w:rPr>
        <w:t>反映行政事业单位按人力资源和社会保障部、财政部规定的基本工资和津贴补贴以及规定比例为职工缴纳的住房公积金。</w:t>
      </w:r>
    </w:p>
    <w:p>
      <w:pPr>
        <w:pStyle w:val="7"/>
        <w:widowControl w:val="0"/>
        <w:shd w:val="clear" w:color="auto" w:fill="FFFFFF"/>
        <w:autoSpaceDE w:val="0"/>
        <w:spacing w:before="0" w:beforeAutospacing="0" w:after="0" w:afterAutospacing="0" w:line="594" w:lineRule="exact"/>
        <w:ind w:firstLine="640" w:firstLineChars="200"/>
        <w:rPr>
          <w:rFonts w:ascii="Times New Roman" w:hAnsi="Times New Roman" w:eastAsia="方正仿宋_GBK"/>
          <w:bCs/>
          <w:sz w:val="32"/>
          <w:szCs w:val="32"/>
          <w:shd w:val="clear" w:color="auto" w:fill="FFFFFF"/>
        </w:rPr>
      </w:pPr>
      <w:r>
        <w:rPr>
          <w:rStyle w:val="10"/>
          <w:rFonts w:ascii="方正楷体_GBK" w:eastAsia="方正楷体_GBK" w:cs="方正楷体_GBK"/>
          <w:b w:val="0"/>
          <w:bCs/>
          <w:sz w:val="32"/>
          <w:szCs w:val="32"/>
          <w:shd w:val="clear" w:color="auto" w:fill="FFFFFF"/>
        </w:rPr>
        <w:t>（三十一）购房补贴（支出功能分类科目项级）：</w:t>
      </w:r>
      <w:r>
        <w:rPr>
          <w:rStyle w:val="15"/>
          <w:rFonts w:hint="eastAsia" w:eastAsia="方正仿宋_GBK"/>
          <w:b w:val="0"/>
          <w:bCs/>
          <w:sz w:val="32"/>
          <w:szCs w:val="32"/>
          <w:shd w:val="clear" w:color="auto" w:fill="FFFFFF"/>
        </w:rPr>
        <w:t>反映按房改政策规定，行政事业单位向符合条件职工（含离退休人员）、军队（含武警）向转役复员离退休人员发放的用于购买住房的补贴。</w:t>
      </w:r>
    </w:p>
    <w:p>
      <w:pPr>
        <w:pStyle w:val="7"/>
        <w:shd w:val="clear" w:color="auto" w:fill="FFFFFF"/>
        <w:spacing w:before="0" w:beforeAutospacing="0" w:after="0" w:afterAutospacing="0" w:line="594" w:lineRule="exact"/>
        <w:ind w:firstLine="640" w:firstLineChars="200"/>
        <w:rPr>
          <w:rStyle w:val="10"/>
          <w:rFonts w:ascii="方正黑体_GBK" w:eastAsia="方正黑体_GBK" w:cs="方正黑体_GBK"/>
          <w:b w:val="0"/>
          <w:bCs/>
          <w:sz w:val="32"/>
          <w:szCs w:val="32"/>
          <w:shd w:val="clear" w:color="auto" w:fill="FFFFFF"/>
        </w:rPr>
      </w:pPr>
      <w:r>
        <w:rPr>
          <w:rStyle w:val="10"/>
          <w:rFonts w:ascii="方正黑体_GBK" w:eastAsia="方正黑体_GBK" w:cs="方正黑体_GBK"/>
          <w:b w:val="0"/>
          <w:bCs/>
          <w:sz w:val="32"/>
          <w:szCs w:val="32"/>
          <w:shd w:val="clear" w:color="auto" w:fill="FFFFFF"/>
        </w:rPr>
        <w:t>七、决算公开联系方式及信息反馈渠道</w:t>
      </w:r>
    </w:p>
    <w:p>
      <w:pPr>
        <w:pStyle w:val="11"/>
        <w:autoSpaceDE w:val="0"/>
        <w:spacing w:line="594" w:lineRule="exact"/>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本单位决算公开信息反馈和联系方式：</w:t>
      </w:r>
    </w:p>
    <w:p>
      <w:pPr>
        <w:pStyle w:val="7"/>
        <w:widowControl w:val="0"/>
        <w:shd w:val="clear" w:color="auto" w:fill="FFFFFF"/>
        <w:autoSpaceDE w:val="0"/>
        <w:spacing w:beforeAutospacing="0" w:afterAutospacing="0" w:line="594" w:lineRule="exact"/>
        <w:ind w:firstLine="640" w:firstLineChars="200"/>
        <w:rPr>
          <w:rFonts w:cs="宋体"/>
          <w:sz w:val="21"/>
          <w:szCs w:val="21"/>
        </w:rPr>
      </w:pPr>
      <w:r>
        <w:rPr>
          <w:rFonts w:ascii="Times New Roman" w:hAnsi="Times New Roman" w:eastAsia="方正仿宋_GBK"/>
          <w:bCs/>
          <w:color w:val="000000"/>
          <w:sz w:val="32"/>
          <w:szCs w:val="32"/>
          <w:shd w:val="clear" w:color="auto" w:fill="FFFFFF"/>
        </w:rPr>
        <w:t>谢辉   023-63768299</w:t>
      </w:r>
    </w:p>
    <w:sectPr>
      <w:headerReference r:id="rId3" w:type="default"/>
      <w:footerReference r:id="rId4" w:type="default"/>
      <w:pgSz w:w="16840" w:h="23808"/>
      <w:pgMar w:top="1985" w:right="1474" w:bottom="1644" w:left="1474" w:header="0" w:footer="283" w:gutter="0"/>
      <w:pgNumType w:fmt="numberInDash"/>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3665" distR="113665" simplePos="0" relativeHeight="1024" behindDoc="0" locked="0" layoutInCell="1" allowOverlap="0">
              <wp:simplePos x="0" y="0"/>
              <wp:positionH relativeFrom="margin">
                <wp:align>center</wp:align>
              </wp:positionH>
              <wp:positionV relativeFrom="paragraph">
                <wp:posOffset>0</wp:posOffset>
              </wp:positionV>
              <wp:extent cx="285750" cy="147955"/>
              <wp:effectExtent l="0" t="0" r="0" b="0"/>
              <wp:wrapNone/>
              <wp:docPr id="1" name="文本框"/>
              <wp:cNvGraphicFramePr/>
              <a:graphic xmlns:a="http://schemas.openxmlformats.org/drawingml/2006/main">
                <a:graphicData uri="http://schemas.microsoft.com/office/word/2010/wordprocessingShape">
                  <wps:wsp>
                    <wps:cNvSpPr/>
                    <wps:spPr>
                      <a:xfrm>
                        <a:off x="0" y="0"/>
                        <a:ext cx="285749" cy="148018"/>
                      </a:xfrm>
                      <a:prstGeom prst="rect">
                        <a:avLst/>
                      </a:prstGeom>
                      <a:noFill/>
                      <a:ln w="9525" cap="flat" cmpd="sng">
                        <a:noFill/>
                        <a:prstDash val="solid"/>
                        <a:miter/>
                      </a:ln>
                    </wps:spPr>
                    <wps:txbx>
                      <w:txbxContent>
                        <w:p>
                          <w:pPr>
                            <w:pStyle w:val="4"/>
                          </w:pPr>
                          <w:r>
                            <w:fldChar w:fldCharType="begin"/>
                          </w:r>
                          <w:r>
                            <w:instrText xml:space="preserve">PAGE   \* MERGEFORMAT</w:instrText>
                          </w:r>
                          <w:r>
                            <w:fldChar w:fldCharType="separate"/>
                          </w:r>
                          <w:r>
                            <w:rPr>
                              <w:lang w:val="zh-CN"/>
                            </w:rPr>
                            <w:t>-</w:t>
                          </w:r>
                          <w:r>
                            <w:t xml:space="preserve"> 26 -</w:t>
                          </w:r>
                          <w:r>
                            <w:fldChar w:fldCharType="end"/>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1.65pt;width:22.5pt;mso-position-horizontal:center;mso-position-horizontal-relative:margin;mso-wrap-style:none;z-index:1024;mso-width-relative:page;mso-height-relative:page;" filled="f" stroked="f" coordsize="21600,21600" o:allowoverlap="f" o:gfxdata="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b471NEAAAADAQAA&#10;DwAAAAAAAAABACAAAAAiAAAAZHJzL2Rvd25yZXYueG1sUEsBAhQAFAAAAAgAh07iQMKQ0+znAQAA&#10;pAMAAA4AAAAAAAAAAQAgAAAAIAEAAGRycy9lMm9Eb2MueG1sUEsFBgAAAAAGAAYAWQEAAHkFAAAA&#10;AA==&#10;">
              <v:fill on="f" focussize="0,0"/>
              <v:stroke on="f" joinstyle="miter"/>
              <v:imagedata o:title=""/>
              <o:lock v:ext="edit" aspectratio="f"/>
              <v:textbox inset="0mm,0mm,0mm,0mm" style="mso-fit-shape-to-text:t;">
                <w:txbxContent>
                  <w:p>
                    <w:pPr>
                      <w:pStyle w:val="4"/>
                    </w:pPr>
                    <w:r>
                      <w:fldChar w:fldCharType="begin"/>
                    </w:r>
                    <w:r>
                      <w:instrText xml:space="preserve">PAGE   \* MERGEFORMAT</w:instrText>
                    </w:r>
                    <w:r>
                      <w:fldChar w:fldCharType="separate"/>
                    </w:r>
                    <w:r>
                      <w:rPr>
                        <w:lang w:val="zh-CN"/>
                      </w:rPr>
                      <w:t>-</w:t>
                    </w:r>
                    <w:r>
                      <w:t xml:space="preserve"> 26 -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OTVkZTdlNWIxNDkxZmUyNjRiNWRkODQ0M2FiMWI0YjgifQ=="/>
  </w:docVars>
  <w:rsids>
    <w:rsidRoot w:val="00000000"/>
    <w:rsid w:val="64B928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宋体" w:hAnsi="Times New Roman" w:eastAsia="宋体" w:cs="Times New Roman"/>
      <w:sz w:val="24"/>
      <w:szCs w:val="24"/>
      <w:lang w:val="en-US" w:eastAsia="zh-CN" w:bidi="ar-SA"/>
    </w:rPr>
  </w:style>
  <w:style w:type="paragraph" w:styleId="2">
    <w:name w:val="heading 1"/>
    <w:basedOn w:val="1"/>
    <w:next w:val="1"/>
    <w:uiPriority w:val="0"/>
    <w:pPr>
      <w:spacing w:before="100" w:beforeAutospacing="1" w:after="100" w:afterAutospacing="1"/>
      <w:outlineLvl w:val="0"/>
    </w:pPr>
    <w:rPr>
      <w:b/>
      <w:bCs/>
      <w:kern w:val="44"/>
      <w:sz w:val="48"/>
      <w:szCs w:val="48"/>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0"/>
    <w:pPr>
      <w:ind w:firstLine="200" w:firstLineChars="200"/>
    </w:pPr>
  </w:style>
  <w:style w:type="paragraph" w:customStyle="1" w:styleId="12">
    <w:name w:val="普通(网站) Char"/>
    <w:qFormat/>
    <w:uiPriority w:val="0"/>
    <w:pPr>
      <w:spacing w:before="100" w:beforeAutospacing="1" w:after="100" w:afterAutospacing="1"/>
    </w:pPr>
    <w:rPr>
      <w:rFonts w:ascii="宋体" w:hAnsi="Times New Roman" w:eastAsia="宋体" w:cs="Times New Roman"/>
      <w:sz w:val="24"/>
      <w:szCs w:val="24"/>
      <w:lang w:val="en-US" w:eastAsia="zh-CN" w:bidi="ar-SA"/>
    </w:rPr>
  </w:style>
  <w:style w:type="character" w:customStyle="1" w:styleId="13">
    <w:name w:val="21"/>
    <w:qFormat/>
    <w:uiPriority w:val="0"/>
    <w:rPr>
      <w:rFonts w:ascii="Wingdings" w:hAnsi="Wingdings" w:cs="Wingdings"/>
      <w:b/>
      <w:bCs/>
    </w:rPr>
  </w:style>
  <w:style w:type="paragraph" w:customStyle="1" w:styleId="14">
    <w:name w:val="列出段落2"/>
    <w:qFormat/>
    <w:uiPriority w:val="0"/>
    <w:pPr>
      <w:ind w:firstLine="200" w:firstLineChars="200"/>
    </w:pPr>
    <w:rPr>
      <w:rFonts w:ascii="宋体" w:hAnsi="Times New Roman" w:eastAsia="宋体" w:cs="Times New Roman"/>
      <w:sz w:val="24"/>
      <w:szCs w:val="24"/>
      <w:lang w:val="en-US" w:eastAsia="zh-CN" w:bidi="ar-SA"/>
    </w:rPr>
  </w:style>
  <w:style w:type="character" w:customStyle="1" w:styleId="15">
    <w:name w:val="15"/>
    <w:basedOn w:val="9"/>
    <w:qFormat/>
    <w:uiPriority w:val="0"/>
    <w:rPr>
      <w:rFonts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7</Pages>
  <Words>6082</Words>
  <Characters>6682</Characters>
  <Lines>204</Lines>
  <Paragraphs>98</Paragraphs>
  <TotalTime>70</TotalTime>
  <ScaleCrop>false</ScaleCrop>
  <LinksUpToDate>false</LinksUpToDate>
  <CharactersWithSpaces>6708</CharactersWithSpaces>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2024-08-20T07:11:00Z</cp:lastPrinted>
  <dcterms:modified xsi:type="dcterms:W3CDTF">2025-12-15T02:59:21Z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2D3F8CA0A51B48D69B7EDE86801C242B_13</vt:lpwstr>
  </property>
</Properties>
</file>