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tbl>
      <w:tblPr>
        <w:tblStyle w:val="4"/>
        <w:tblW w:w="5000" w:type="pct"/>
        <w:tblInd w:w="0" w:type="dxa"/>
        <w:tblLayout w:type="fixed"/>
        <w:tblCellMar>
          <w:top w:w="0" w:type="dxa"/>
          <w:left w:w="0" w:type="dxa"/>
          <w:bottom w:w="0" w:type="dxa"/>
          <w:right w:w="0" w:type="dxa"/>
        </w:tblCellMar>
      </w:tblPr>
      <w:tblGrid>
        <w:gridCol w:w="360"/>
        <w:gridCol w:w="1194"/>
        <w:gridCol w:w="1117"/>
        <w:gridCol w:w="1460"/>
        <w:gridCol w:w="1058"/>
        <w:gridCol w:w="930"/>
        <w:gridCol w:w="1195"/>
        <w:gridCol w:w="1356"/>
      </w:tblGrid>
      <w:tr>
        <w:tblPrEx>
          <w:tblCellMar>
            <w:top w:w="0" w:type="dxa"/>
            <w:left w:w="0" w:type="dxa"/>
            <w:bottom w:w="0" w:type="dxa"/>
            <w:right w:w="0" w:type="dxa"/>
          </w:tblCellMar>
        </w:tblPrEx>
        <w:trPr>
          <w:trHeight w:val="459" w:hRule="atLeast"/>
        </w:trPr>
        <w:tc>
          <w:tcPr>
            <w:tcW w:w="5000" w:type="pct"/>
            <w:gridSpan w:val="8"/>
            <w:tcBorders>
              <w:top w:val="nil"/>
              <w:left w:val="nil"/>
              <w:bottom w:val="nil"/>
              <w:right w:val="nil"/>
            </w:tcBorders>
            <w:noWrap w:val="0"/>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kern w:val="0"/>
                <w:sz w:val="36"/>
                <w:szCs w:val="36"/>
              </w:rPr>
              <w:t>2020年度抗疫特别国债项目绩效目标申报表</w:t>
            </w:r>
          </w:p>
        </w:tc>
      </w:tr>
      <w:tr>
        <w:tblPrEx>
          <w:tblCellMar>
            <w:top w:w="0" w:type="dxa"/>
            <w:left w:w="0" w:type="dxa"/>
            <w:bottom w:w="0" w:type="dxa"/>
            <w:right w:w="0" w:type="dxa"/>
          </w:tblCellMar>
        </w:tblPrEx>
        <w:trPr>
          <w:trHeight w:val="179" w:hRule="atLeast"/>
        </w:trPr>
        <w:tc>
          <w:tcPr>
            <w:tcW w:w="3529" w:type="pct"/>
            <w:gridSpan w:val="6"/>
            <w:tcBorders>
              <w:top w:val="nil"/>
              <w:left w:val="nil"/>
              <w:bottom w:val="nil"/>
              <w:right w:val="nil"/>
            </w:tcBorders>
            <w:noWrap/>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p>
        </w:tc>
        <w:tc>
          <w:tcPr>
            <w:tcW w:w="1470" w:type="pct"/>
            <w:gridSpan w:val="2"/>
            <w:tcBorders>
              <w:top w:val="nil"/>
              <w:left w:val="nil"/>
              <w:bottom w:val="nil"/>
              <w:right w:val="nil"/>
            </w:tcBorders>
            <w:noWrap w:val="0"/>
            <w:tcMar>
              <w:top w:w="15" w:type="dxa"/>
              <w:left w:w="15" w:type="dxa"/>
              <w:right w:w="15" w:type="dxa"/>
            </w:tcMar>
            <w:vAlign w:val="center"/>
          </w:tcPr>
          <w:p>
            <w:pPr>
              <w:widowControl/>
              <w:spacing w:line="320" w:lineRule="exact"/>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单位：万元</w:t>
            </w:r>
          </w:p>
        </w:tc>
      </w:tr>
      <w:tr>
        <w:tblPrEx>
          <w:tblCellMar>
            <w:top w:w="0" w:type="dxa"/>
            <w:left w:w="0" w:type="dxa"/>
            <w:bottom w:w="0" w:type="dxa"/>
            <w:right w:w="0" w:type="dxa"/>
          </w:tblCellMar>
        </w:tblPrEx>
        <w:trPr>
          <w:trHeight w:val="645" w:hRule="atLeast"/>
        </w:trPr>
        <w:tc>
          <w:tcPr>
            <w:tcW w:w="20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一、项目基本情况</w:t>
            </w:r>
          </w:p>
        </w:tc>
        <w:tc>
          <w:tcPr>
            <w:tcW w:w="6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项目名称</w:t>
            </w:r>
          </w:p>
        </w:tc>
        <w:tc>
          <w:tcPr>
            <w:tcW w:w="1486"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支持百润科技渡难关</w:t>
            </w:r>
          </w:p>
        </w:tc>
        <w:tc>
          <w:tcPr>
            <w:tcW w:w="114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项目实施起止时间</w:t>
            </w:r>
          </w:p>
        </w:tc>
        <w:tc>
          <w:tcPr>
            <w:tcW w:w="147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2020.2-2020.12</w:t>
            </w:r>
          </w:p>
        </w:tc>
      </w:tr>
      <w:tr>
        <w:tblPrEx>
          <w:tblCellMar>
            <w:top w:w="0" w:type="dxa"/>
            <w:left w:w="0" w:type="dxa"/>
            <w:bottom w:w="0" w:type="dxa"/>
            <w:right w:w="0" w:type="dxa"/>
          </w:tblCellMar>
        </w:tblPrEx>
        <w:trPr>
          <w:trHeight w:val="645" w:hRule="atLeast"/>
        </w:trPr>
        <w:tc>
          <w:tcPr>
            <w:tcW w:w="2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6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项目实施单位</w:t>
            </w:r>
          </w:p>
        </w:tc>
        <w:tc>
          <w:tcPr>
            <w:tcW w:w="148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区大数据发展局</w:t>
            </w:r>
          </w:p>
        </w:tc>
        <w:tc>
          <w:tcPr>
            <w:tcW w:w="114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项目主管部门</w:t>
            </w:r>
          </w:p>
        </w:tc>
        <w:tc>
          <w:tcPr>
            <w:tcW w:w="1470"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区大数据发展局</w:t>
            </w:r>
          </w:p>
        </w:tc>
      </w:tr>
      <w:tr>
        <w:tblPrEx>
          <w:tblCellMar>
            <w:top w:w="0" w:type="dxa"/>
            <w:left w:w="0" w:type="dxa"/>
            <w:bottom w:w="0" w:type="dxa"/>
            <w:right w:w="0" w:type="dxa"/>
          </w:tblCellMar>
        </w:tblPrEx>
        <w:trPr>
          <w:trHeight w:val="645" w:hRule="atLeast"/>
        </w:trPr>
        <w:tc>
          <w:tcPr>
            <w:tcW w:w="2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6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绩效管理联系人</w:t>
            </w:r>
          </w:p>
        </w:tc>
        <w:tc>
          <w:tcPr>
            <w:tcW w:w="1486"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裴翼</w:t>
            </w:r>
          </w:p>
        </w:tc>
        <w:tc>
          <w:tcPr>
            <w:tcW w:w="114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联系电话</w:t>
            </w:r>
          </w:p>
        </w:tc>
        <w:tc>
          <w:tcPr>
            <w:tcW w:w="147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63768099</w:t>
            </w:r>
          </w:p>
        </w:tc>
      </w:tr>
      <w:tr>
        <w:tblPrEx>
          <w:tblCellMar>
            <w:top w:w="0" w:type="dxa"/>
            <w:left w:w="0" w:type="dxa"/>
            <w:bottom w:w="0" w:type="dxa"/>
            <w:right w:w="0" w:type="dxa"/>
          </w:tblCellMar>
        </w:tblPrEx>
        <w:trPr>
          <w:trHeight w:val="1170" w:hRule="atLeast"/>
        </w:trPr>
        <w:tc>
          <w:tcPr>
            <w:tcW w:w="2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6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项目概况</w:t>
            </w:r>
          </w:p>
        </w:tc>
        <w:tc>
          <w:tcPr>
            <w:tcW w:w="4101"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由于大数据互联网服务企业行业受疫情冲击对企业发展影响较大，为进一步贯彻落实中央精神和市区政策，实现保规模、稳增长的工作目标，支持帮助企业渡过疫情难关，尽快恢复经济，全面实现年度增长，结合《渝中区关于应对疫情支持大数据互联网服务企业发展的措施》，现将帮助重庆百润信息科技有限公司保就业稳增长渡难关，企业申请办公场地租金补贴50万。</w:t>
            </w:r>
          </w:p>
        </w:tc>
      </w:tr>
      <w:tr>
        <w:tblPrEx>
          <w:tblCellMar>
            <w:top w:w="0" w:type="dxa"/>
            <w:left w:w="0" w:type="dxa"/>
            <w:bottom w:w="0" w:type="dxa"/>
            <w:right w:w="0" w:type="dxa"/>
          </w:tblCellMar>
        </w:tblPrEx>
        <w:trPr>
          <w:trHeight w:val="960" w:hRule="atLeast"/>
        </w:trPr>
        <w:tc>
          <w:tcPr>
            <w:tcW w:w="2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6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立项依据</w:t>
            </w:r>
          </w:p>
        </w:tc>
        <w:tc>
          <w:tcPr>
            <w:tcW w:w="4101"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重庆市渝中区人民政府专题会议纪要（2020-82）及相关批示。</w:t>
            </w:r>
          </w:p>
        </w:tc>
      </w:tr>
      <w:tr>
        <w:tblPrEx>
          <w:tblCellMar>
            <w:top w:w="0" w:type="dxa"/>
            <w:left w:w="0" w:type="dxa"/>
            <w:bottom w:w="0" w:type="dxa"/>
            <w:right w:w="0" w:type="dxa"/>
          </w:tblCellMar>
        </w:tblPrEx>
        <w:trPr>
          <w:trHeight w:val="438" w:hRule="atLeast"/>
        </w:trPr>
        <w:tc>
          <w:tcPr>
            <w:tcW w:w="2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68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项目预算</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合计</w:t>
            </w:r>
          </w:p>
        </w:tc>
        <w:tc>
          <w:tcPr>
            <w:tcW w:w="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一般公共预算</w:t>
            </w:r>
          </w:p>
        </w:tc>
        <w:tc>
          <w:tcPr>
            <w:tcW w:w="114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政府性基金预算</w:t>
            </w:r>
          </w:p>
        </w:tc>
        <w:tc>
          <w:tcPr>
            <w:tcW w:w="6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国有资本经营预算</w:t>
            </w:r>
          </w:p>
        </w:tc>
        <w:tc>
          <w:tcPr>
            <w:tcW w:w="7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其他资金</w:t>
            </w:r>
          </w:p>
        </w:tc>
      </w:tr>
      <w:tr>
        <w:tblPrEx>
          <w:tblCellMar>
            <w:top w:w="0" w:type="dxa"/>
            <w:left w:w="0" w:type="dxa"/>
            <w:bottom w:w="0" w:type="dxa"/>
            <w:right w:w="0" w:type="dxa"/>
          </w:tblCellMar>
        </w:tblPrEx>
        <w:trPr>
          <w:trHeight w:val="515" w:hRule="atLeast"/>
        </w:trPr>
        <w:tc>
          <w:tcPr>
            <w:tcW w:w="2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68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rPr>
                <w:rFonts w:ascii="方正仿宋_GBK" w:hAnsi="方正仿宋_GBK" w:eastAsia="方正仿宋_GBK" w:cs="方正仿宋_GBK"/>
                <w:color w:val="000000"/>
                <w:sz w:val="24"/>
              </w:rPr>
            </w:pP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50</w:t>
            </w:r>
          </w:p>
        </w:tc>
        <w:tc>
          <w:tcPr>
            <w:tcW w:w="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rPr>
                <w:rFonts w:ascii="方正仿宋_GBK" w:hAnsi="方正仿宋_GBK" w:eastAsia="方正仿宋_GBK" w:cs="方正仿宋_GBK"/>
                <w:b/>
                <w:color w:val="000000"/>
                <w:sz w:val="24"/>
              </w:rPr>
            </w:pPr>
          </w:p>
        </w:tc>
        <w:tc>
          <w:tcPr>
            <w:tcW w:w="114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Cs/>
                <w:color w:val="000000"/>
                <w:kern w:val="0"/>
                <w:sz w:val="24"/>
              </w:rPr>
              <w:t>50</w:t>
            </w:r>
          </w:p>
        </w:tc>
        <w:tc>
          <w:tcPr>
            <w:tcW w:w="6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rPr>
                <w:rFonts w:ascii="方正仿宋_GBK" w:hAnsi="方正仿宋_GBK" w:eastAsia="方正仿宋_GBK" w:cs="方正仿宋_GBK"/>
                <w:b/>
                <w:color w:val="000000"/>
                <w:sz w:val="24"/>
              </w:rPr>
            </w:pPr>
          </w:p>
        </w:tc>
        <w:tc>
          <w:tcPr>
            <w:tcW w:w="7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rPr>
                <w:rFonts w:ascii="方正仿宋_GBK" w:hAnsi="方正仿宋_GBK" w:eastAsia="方正仿宋_GBK" w:cs="方正仿宋_GBK"/>
                <w:b/>
                <w:color w:val="000000"/>
                <w:sz w:val="24"/>
              </w:rPr>
            </w:pPr>
          </w:p>
        </w:tc>
      </w:tr>
      <w:tr>
        <w:tblPrEx>
          <w:tblCellMar>
            <w:top w:w="0" w:type="dxa"/>
            <w:left w:w="0" w:type="dxa"/>
            <w:bottom w:w="0" w:type="dxa"/>
            <w:right w:w="0" w:type="dxa"/>
          </w:tblCellMar>
        </w:tblPrEx>
        <w:trPr>
          <w:trHeight w:val="942" w:hRule="atLeast"/>
        </w:trPr>
        <w:tc>
          <w:tcPr>
            <w:tcW w:w="20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二、绩效目标编制</w:t>
            </w:r>
          </w:p>
        </w:tc>
        <w:tc>
          <w:tcPr>
            <w:tcW w:w="6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项目当年绩效目标</w:t>
            </w:r>
          </w:p>
        </w:tc>
        <w:tc>
          <w:tcPr>
            <w:tcW w:w="4101" w:type="pct"/>
            <w:gridSpan w:val="6"/>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百润科技目前正在积极拓展百度阿波罗自动驾驶项目商业运营新模式和百家号项目的落地实施。随着新业务的开拓，争取今年年底实现营收同比增长15%。</w:t>
            </w:r>
          </w:p>
        </w:tc>
      </w:tr>
      <w:tr>
        <w:tblPrEx>
          <w:tblCellMar>
            <w:top w:w="0" w:type="dxa"/>
            <w:left w:w="0" w:type="dxa"/>
            <w:bottom w:w="0" w:type="dxa"/>
            <w:right w:w="0" w:type="dxa"/>
          </w:tblCellMar>
        </w:tblPrEx>
        <w:trPr>
          <w:trHeight w:val="378" w:hRule="atLeast"/>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1333"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指标类型</w:t>
            </w:r>
          </w:p>
        </w:tc>
        <w:tc>
          <w:tcPr>
            <w:tcW w:w="842"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指标名称</w:t>
            </w:r>
          </w:p>
        </w:tc>
        <w:tc>
          <w:tcPr>
            <w:tcW w:w="61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指标性质</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指标值</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计量单位</w:t>
            </w:r>
          </w:p>
        </w:tc>
        <w:tc>
          <w:tcPr>
            <w:tcW w:w="781"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指标说明</w:t>
            </w:r>
          </w:p>
        </w:tc>
      </w:tr>
      <w:tr>
        <w:tblPrEx>
          <w:tblCellMar>
            <w:top w:w="0" w:type="dxa"/>
            <w:left w:w="0" w:type="dxa"/>
            <w:bottom w:w="0" w:type="dxa"/>
            <w:right w:w="0" w:type="dxa"/>
          </w:tblCellMar>
        </w:tblPrEx>
        <w:trPr>
          <w:trHeight w:val="462" w:hRule="atLeast"/>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1333"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center"/>
              <w:rPr>
                <w:rFonts w:ascii="方正仿宋_GBK" w:hAnsi="方正仿宋_GBK" w:eastAsia="方正仿宋_GBK" w:cs="方正仿宋_GBK"/>
                <w:color w:val="000000"/>
                <w:sz w:val="24"/>
              </w:rPr>
            </w:pPr>
          </w:p>
        </w:tc>
        <w:tc>
          <w:tcPr>
            <w:tcW w:w="842"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rPr>
                <w:rFonts w:ascii="方正仿宋_GBK" w:hAnsi="方正仿宋_GBK" w:eastAsia="方正仿宋_GBK" w:cs="方正仿宋_GBK"/>
                <w:color w:val="000000"/>
                <w:sz w:val="24"/>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rPr>
                <w:rFonts w:ascii="方正仿宋_GBK" w:hAnsi="方正仿宋_GBK" w:eastAsia="方正仿宋_GBK" w:cs="方正仿宋_GBK"/>
                <w:color w:val="000000"/>
                <w:sz w:val="24"/>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20" w:lineRule="exact"/>
              <w:jc w:val="center"/>
              <w:rPr>
                <w:rFonts w:ascii="方正仿宋_GBK" w:hAnsi="方正仿宋_GBK" w:eastAsia="方正仿宋_GBK" w:cs="方正仿宋_GBK"/>
                <w:color w:val="000000"/>
                <w:sz w:val="24"/>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rPr>
                <w:rFonts w:ascii="方正仿宋_GBK" w:hAnsi="方正仿宋_GBK" w:eastAsia="方正仿宋_GBK" w:cs="方正仿宋_GBK"/>
                <w:color w:val="000000"/>
                <w:sz w:val="24"/>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640" w:hRule="atLeast"/>
        </w:trPr>
        <w:tc>
          <w:tcPr>
            <w:tcW w:w="20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68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效益类</w:t>
            </w:r>
          </w:p>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w:t>
            </w:r>
          </w:p>
        </w:tc>
        <w:tc>
          <w:tcPr>
            <w:tcW w:w="6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经济效益指标</w:t>
            </w:r>
          </w:p>
        </w:tc>
        <w:tc>
          <w:tcPr>
            <w:tcW w:w="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全年营业收入同比上升</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华文仿宋" w:hAnsi="华文仿宋" w:eastAsia="华文仿宋" w:cs="华文仿宋"/>
                <w:color w:val="000000"/>
                <w:kern w:val="0"/>
                <w:sz w:val="24"/>
              </w:rPr>
              <w:t>≥</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15</w:t>
            </w:r>
          </w:p>
        </w:tc>
        <w:tc>
          <w:tcPr>
            <w:tcW w:w="6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w:t>
            </w:r>
          </w:p>
        </w:tc>
        <w:tc>
          <w:tcPr>
            <w:tcW w:w="7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720" w:hRule="atLeast"/>
        </w:trPr>
        <w:tc>
          <w:tcPr>
            <w:tcW w:w="20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68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rPr>
                <w:rFonts w:ascii="方正仿宋_GBK" w:hAnsi="方正仿宋_GBK" w:eastAsia="方正仿宋_GBK" w:cs="方正仿宋_GBK"/>
                <w:color w:val="000000"/>
                <w:sz w:val="24"/>
              </w:rPr>
            </w:pPr>
          </w:p>
        </w:tc>
        <w:tc>
          <w:tcPr>
            <w:tcW w:w="6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社会效益指标</w:t>
            </w:r>
          </w:p>
        </w:tc>
        <w:tc>
          <w:tcPr>
            <w:tcW w:w="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2020年全年不裁员</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无</w:t>
            </w:r>
          </w:p>
        </w:tc>
        <w:tc>
          <w:tcPr>
            <w:tcW w:w="5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完成</w:t>
            </w:r>
          </w:p>
        </w:tc>
        <w:tc>
          <w:tcPr>
            <w:tcW w:w="6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无</w:t>
            </w:r>
          </w:p>
        </w:tc>
        <w:tc>
          <w:tcPr>
            <w:tcW w:w="7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1740" w:hRule="atLeast"/>
        </w:trPr>
        <w:tc>
          <w:tcPr>
            <w:tcW w:w="20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68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rPr>
                <w:rFonts w:ascii="方正仿宋_GBK" w:hAnsi="方正仿宋_GBK" w:eastAsia="方正仿宋_GBK" w:cs="方正仿宋_GBK"/>
                <w:color w:val="000000"/>
                <w:sz w:val="24"/>
              </w:rPr>
            </w:pPr>
          </w:p>
        </w:tc>
        <w:tc>
          <w:tcPr>
            <w:tcW w:w="6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可持续影响指标</w:t>
            </w:r>
          </w:p>
        </w:tc>
        <w:tc>
          <w:tcPr>
            <w:tcW w:w="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引人新项目数量</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ind w:firstLine="480" w:firstLineChars="200"/>
              <w:jc w:val="left"/>
              <w:textAlignment w:val="center"/>
              <w:rPr>
                <w:rFonts w:ascii="方正仿宋_GBK" w:hAnsi="方正仿宋_GBK" w:eastAsia="方正仿宋_GBK" w:cs="方正仿宋_GBK"/>
                <w:color w:val="000000"/>
                <w:sz w:val="24"/>
              </w:rPr>
            </w:pPr>
            <w:r>
              <w:rPr>
                <w:rFonts w:hint="eastAsia" w:ascii="华文仿宋" w:hAnsi="华文仿宋" w:eastAsia="华文仿宋" w:cs="华文仿宋"/>
                <w:color w:val="000000"/>
                <w:kern w:val="0"/>
                <w:sz w:val="24"/>
              </w:rPr>
              <w:t>≥</w:t>
            </w:r>
          </w:p>
        </w:tc>
        <w:tc>
          <w:tcPr>
            <w:tcW w:w="5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w:t>
            </w:r>
          </w:p>
        </w:tc>
        <w:tc>
          <w:tcPr>
            <w:tcW w:w="6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个</w:t>
            </w:r>
          </w:p>
        </w:tc>
        <w:tc>
          <w:tcPr>
            <w:tcW w:w="7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喜马拉雅知名分享平台、运营百APOLLO无人驾驶汽车</w:t>
            </w:r>
          </w:p>
        </w:tc>
      </w:tr>
    </w:tbl>
    <w:p>
      <w:pPr>
        <w:pStyle w:val="2"/>
      </w:pPr>
    </w:p>
    <w:tbl>
      <w:tblPr>
        <w:tblStyle w:val="4"/>
        <w:tblW w:w="51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4"/>
        <w:gridCol w:w="1203"/>
        <w:gridCol w:w="757"/>
        <w:gridCol w:w="2021"/>
        <w:gridCol w:w="774"/>
        <w:gridCol w:w="915"/>
        <w:gridCol w:w="697"/>
        <w:gridCol w:w="790"/>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trPr>
        <w:tc>
          <w:tcPr>
            <w:tcW w:w="5000" w:type="pct"/>
            <w:gridSpan w:val="9"/>
            <w:tcBorders>
              <w:top w:val="nil"/>
              <w:left w:val="nil"/>
              <w:bottom w:val="nil"/>
              <w:right w:val="nil"/>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方正小标宋_GBK" w:hAnsi="方正小标宋_GBK" w:eastAsia="方正小标宋_GBK"/>
                <w:color w:val="000000"/>
                <w:sz w:val="44"/>
              </w:rPr>
            </w:pPr>
            <w:r>
              <w:rPr>
                <w:rFonts w:hint="eastAsia" w:ascii="方正小标宋_GBK" w:hAnsi="方正小标宋_GBK" w:eastAsia="方正小标宋_GBK"/>
                <w:color w:val="000000"/>
                <w:kern w:val="0"/>
                <w:sz w:val="36"/>
              </w:rPr>
              <w:t>2020年度抗疫特别国债项目绩效目标申报表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3359" w:type="pct"/>
            <w:gridSpan w:val="6"/>
            <w:tcBorders>
              <w:top w:val="nil"/>
              <w:left w:val="nil"/>
              <w:bottom w:val="nil"/>
              <w:right w:val="nil"/>
              <w:tl2br w:val="nil"/>
              <w:tr2bl w:val="nil"/>
            </w:tcBorders>
            <w:noWrap/>
            <w:tcMar>
              <w:top w:w="15" w:type="dxa"/>
              <w:left w:w="15" w:type="dxa"/>
              <w:right w:w="15" w:type="dxa"/>
            </w:tcMar>
            <w:vAlign w:val="center"/>
          </w:tcPr>
          <w:p>
            <w:pPr>
              <w:widowControl/>
              <w:spacing w:beforeLines="0" w:afterLines="0" w:line="320" w:lineRule="exact"/>
              <w:jc w:val="left"/>
              <w:textAlignment w:val="center"/>
              <w:rPr>
                <w:rFonts w:hint="eastAsia" w:ascii="方正仿宋_GBK" w:hAnsi="方正仿宋_GBK" w:eastAsia="方正仿宋_GBK"/>
                <w:color w:val="000000"/>
                <w:sz w:val="24"/>
              </w:rPr>
            </w:pPr>
          </w:p>
        </w:tc>
        <w:tc>
          <w:tcPr>
            <w:tcW w:w="1640" w:type="pct"/>
            <w:gridSpan w:val="3"/>
            <w:tcBorders>
              <w:top w:val="nil"/>
              <w:left w:val="nil"/>
              <w:bottom w:val="nil"/>
              <w:right w:val="nil"/>
              <w:tl2br w:val="nil"/>
              <w:tr2bl w:val="nil"/>
            </w:tcBorders>
            <w:noWrap w:val="0"/>
            <w:tcMar>
              <w:top w:w="15" w:type="dxa"/>
              <w:left w:w="15" w:type="dxa"/>
              <w:right w:w="15" w:type="dxa"/>
            </w:tcMar>
            <w:vAlign w:val="center"/>
          </w:tcPr>
          <w:p>
            <w:pPr>
              <w:widowControl/>
              <w:spacing w:beforeLines="0" w:afterLines="0" w:line="320" w:lineRule="exact"/>
              <w:jc w:val="right"/>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5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textDirection w:val="tbRlV"/>
            <w:vAlign w:val="center"/>
          </w:tcPr>
          <w:p>
            <w:pPr>
              <w:widowControl/>
              <w:spacing w:beforeLines="0" w:afterLines="0" w:line="320" w:lineRule="exact"/>
              <w:jc w:val="center"/>
              <w:textAlignment w:val="center"/>
              <w:rPr>
                <w:rFonts w:hint="eastAsia" w:ascii="方正仿宋_GBK" w:hAnsi="方正仿宋_GBK" w:eastAsia="方正仿宋_GBK"/>
                <w:b/>
                <w:color w:val="000000"/>
                <w:sz w:val="24"/>
              </w:rPr>
            </w:pPr>
            <w:r>
              <w:rPr>
                <w:rFonts w:hint="eastAsia" w:ascii="方正仿宋_GBK" w:hAnsi="方正仿宋_GBK" w:eastAsia="方正仿宋_GBK"/>
                <w:b/>
                <w:color w:val="000000"/>
                <w:kern w:val="0"/>
                <w:sz w:val="24"/>
              </w:rPr>
              <w:t>一、项目基本情况</w:t>
            </w:r>
          </w:p>
        </w:tc>
        <w:tc>
          <w:tcPr>
            <w:tcW w:w="680"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项目名称</w:t>
            </w:r>
          </w:p>
        </w:tc>
        <w:tc>
          <w:tcPr>
            <w:tcW w:w="1570" w:type="pct"/>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渝中区新型智慧城市智能中枢（第一期）</w:t>
            </w:r>
          </w:p>
        </w:tc>
        <w:tc>
          <w:tcPr>
            <w:tcW w:w="952"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项目实施起止时间</w:t>
            </w:r>
          </w:p>
        </w:tc>
        <w:tc>
          <w:tcPr>
            <w:tcW w:w="1640" w:type="pct"/>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2020.7-2021.12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55"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textDirection w:val="tbRlV"/>
            <w:vAlign w:val="center"/>
          </w:tcPr>
          <w:p>
            <w:pPr>
              <w:spacing w:beforeLines="0" w:afterLines="0" w:line="320" w:lineRule="exact"/>
              <w:jc w:val="center"/>
              <w:rPr>
                <w:rFonts w:hint="eastAsia" w:ascii="方正仿宋_GBK" w:hAnsi="方正仿宋_GBK" w:eastAsia="方正仿宋_GBK"/>
                <w:b/>
                <w:color w:val="000000"/>
                <w:sz w:val="24"/>
              </w:rPr>
            </w:pPr>
          </w:p>
        </w:tc>
        <w:tc>
          <w:tcPr>
            <w:tcW w:w="680"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项目实施单位</w:t>
            </w:r>
          </w:p>
        </w:tc>
        <w:tc>
          <w:tcPr>
            <w:tcW w:w="1570" w:type="pct"/>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渝中区大数据应用发展管理局</w:t>
            </w:r>
          </w:p>
        </w:tc>
        <w:tc>
          <w:tcPr>
            <w:tcW w:w="952"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项目主管部门</w:t>
            </w:r>
          </w:p>
        </w:tc>
        <w:tc>
          <w:tcPr>
            <w:tcW w:w="1640" w:type="pct"/>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渝中区大数据应用发展管理局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55"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textDirection w:val="tbRlV"/>
            <w:vAlign w:val="center"/>
          </w:tcPr>
          <w:p>
            <w:pPr>
              <w:spacing w:beforeLines="0" w:afterLines="0" w:line="320" w:lineRule="exact"/>
              <w:jc w:val="center"/>
              <w:rPr>
                <w:rFonts w:hint="eastAsia" w:ascii="方正仿宋_GBK" w:hAnsi="方正仿宋_GBK" w:eastAsia="方正仿宋_GBK"/>
                <w:b/>
                <w:color w:val="000000"/>
                <w:sz w:val="24"/>
              </w:rPr>
            </w:pPr>
          </w:p>
        </w:tc>
        <w:tc>
          <w:tcPr>
            <w:tcW w:w="680"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绩效管理联系人</w:t>
            </w:r>
          </w:p>
        </w:tc>
        <w:tc>
          <w:tcPr>
            <w:tcW w:w="1570"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经维川</w:t>
            </w:r>
          </w:p>
        </w:tc>
        <w:tc>
          <w:tcPr>
            <w:tcW w:w="952" w:type="pct"/>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联系电话</w:t>
            </w:r>
          </w:p>
        </w:tc>
        <w:tc>
          <w:tcPr>
            <w:tcW w:w="1640" w:type="pct"/>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023-63768799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155"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textDirection w:val="tbRlV"/>
            <w:vAlign w:val="center"/>
          </w:tcPr>
          <w:p>
            <w:pPr>
              <w:spacing w:beforeLines="0" w:afterLines="0" w:line="320" w:lineRule="exact"/>
              <w:jc w:val="center"/>
              <w:rPr>
                <w:rFonts w:hint="eastAsia" w:ascii="方正仿宋_GBK" w:hAnsi="方正仿宋_GBK" w:eastAsia="方正仿宋_GBK"/>
                <w:b/>
                <w:color w:val="000000"/>
                <w:sz w:val="24"/>
              </w:rPr>
            </w:pPr>
          </w:p>
        </w:tc>
        <w:tc>
          <w:tcPr>
            <w:tcW w:w="680"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项目概况</w:t>
            </w:r>
          </w:p>
        </w:tc>
        <w:tc>
          <w:tcPr>
            <w:tcW w:w="4163" w:type="pct"/>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left"/>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通过共性技术服务和能力开放给各智慧应用提供综合支撑，为新冠肺炎疫情等城市突发公共事件提供应急指挥协同决策支撑，持续增强公共卫生安全及应急联动能力。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155"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textDirection w:val="tbRlV"/>
            <w:vAlign w:val="center"/>
          </w:tcPr>
          <w:p>
            <w:pPr>
              <w:spacing w:beforeLines="0" w:afterLines="0" w:line="320" w:lineRule="exact"/>
              <w:jc w:val="center"/>
              <w:rPr>
                <w:rFonts w:hint="eastAsia" w:ascii="方正仿宋_GBK" w:hAnsi="方正仿宋_GBK" w:eastAsia="方正仿宋_GBK"/>
                <w:b/>
                <w:color w:val="000000"/>
                <w:sz w:val="24"/>
              </w:rPr>
            </w:pPr>
          </w:p>
        </w:tc>
        <w:tc>
          <w:tcPr>
            <w:tcW w:w="680"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立项依据</w:t>
            </w:r>
          </w:p>
        </w:tc>
        <w:tc>
          <w:tcPr>
            <w:tcW w:w="4163" w:type="pct"/>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left"/>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区委区政府《关于加快推进2020年重点项目及区级投资项目建设的通知》。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155"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textDirection w:val="tbRlV"/>
            <w:vAlign w:val="center"/>
          </w:tcPr>
          <w:p>
            <w:pPr>
              <w:spacing w:beforeLines="0" w:afterLines="0" w:line="320" w:lineRule="exact"/>
              <w:jc w:val="center"/>
              <w:rPr>
                <w:rFonts w:hint="eastAsia" w:ascii="方正仿宋_GBK" w:hAnsi="方正仿宋_GBK" w:eastAsia="方正仿宋_GBK"/>
                <w:b/>
                <w:color w:val="000000"/>
                <w:sz w:val="24"/>
              </w:rPr>
            </w:pPr>
          </w:p>
        </w:tc>
        <w:tc>
          <w:tcPr>
            <w:tcW w:w="680"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项目预算</w:t>
            </w: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b/>
                <w:color w:val="000000"/>
                <w:sz w:val="24"/>
              </w:rPr>
            </w:pPr>
            <w:r>
              <w:rPr>
                <w:rFonts w:hint="eastAsia" w:ascii="方正仿宋_GBK" w:hAnsi="方正仿宋_GBK" w:eastAsia="方正仿宋_GBK"/>
                <w:b/>
                <w:color w:val="000000"/>
                <w:kern w:val="0"/>
                <w:sz w:val="24"/>
              </w:rPr>
              <w:t>合计</w:t>
            </w:r>
          </w:p>
        </w:tc>
        <w:tc>
          <w:tcPr>
            <w:tcW w:w="1142"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b/>
                <w:color w:val="000000"/>
                <w:sz w:val="24"/>
              </w:rPr>
            </w:pPr>
            <w:r>
              <w:rPr>
                <w:rFonts w:hint="eastAsia" w:ascii="方正仿宋_GBK" w:hAnsi="方正仿宋_GBK" w:eastAsia="方正仿宋_GBK"/>
                <w:b/>
                <w:color w:val="000000"/>
                <w:kern w:val="0"/>
                <w:sz w:val="24"/>
              </w:rPr>
              <w:t>一般公共预算</w:t>
            </w:r>
          </w:p>
        </w:tc>
        <w:tc>
          <w:tcPr>
            <w:tcW w:w="952"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b/>
                <w:color w:val="000000"/>
                <w:sz w:val="24"/>
              </w:rPr>
            </w:pPr>
            <w:r>
              <w:rPr>
                <w:rFonts w:hint="eastAsia" w:ascii="方正仿宋_GBK" w:hAnsi="方正仿宋_GBK" w:eastAsia="方正仿宋_GBK"/>
                <w:b/>
                <w:color w:val="000000"/>
                <w:kern w:val="0"/>
                <w:sz w:val="24"/>
              </w:rPr>
              <w:t>政府性基金预算</w:t>
            </w:r>
          </w:p>
        </w:tc>
        <w:tc>
          <w:tcPr>
            <w:tcW w:w="840"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b/>
                <w:color w:val="000000"/>
                <w:sz w:val="24"/>
              </w:rPr>
            </w:pPr>
            <w:r>
              <w:rPr>
                <w:rFonts w:hint="eastAsia" w:ascii="方正仿宋_GBK" w:hAnsi="方正仿宋_GBK" w:eastAsia="方正仿宋_GBK"/>
                <w:b/>
                <w:color w:val="000000"/>
                <w:kern w:val="0"/>
                <w:sz w:val="24"/>
              </w:rPr>
              <w:t>国有资本经营预算</w:t>
            </w:r>
          </w:p>
        </w:tc>
        <w:tc>
          <w:tcPr>
            <w:tcW w:w="799"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b/>
                <w:color w:val="000000"/>
                <w:sz w:val="24"/>
              </w:rPr>
            </w:pPr>
            <w:r>
              <w:rPr>
                <w:rFonts w:hint="eastAsia" w:ascii="方正仿宋_GBK" w:hAnsi="方正仿宋_GBK" w:eastAsia="方正仿宋_GBK"/>
                <w:b/>
                <w:color w:val="000000"/>
                <w:kern w:val="0"/>
                <w:sz w:val="24"/>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155"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textDirection w:val="tbRlV"/>
            <w:vAlign w:val="center"/>
          </w:tcPr>
          <w:p>
            <w:pPr>
              <w:spacing w:beforeLines="0" w:afterLines="0" w:line="320" w:lineRule="exact"/>
              <w:jc w:val="center"/>
              <w:rPr>
                <w:rFonts w:hint="eastAsia" w:ascii="方正仿宋_GBK" w:hAnsi="方正仿宋_GBK" w:eastAsia="方正仿宋_GBK"/>
                <w:b/>
                <w:color w:val="000000"/>
                <w:sz w:val="24"/>
              </w:rPr>
            </w:pPr>
          </w:p>
        </w:tc>
        <w:tc>
          <w:tcPr>
            <w:tcW w:w="680"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line="320" w:lineRule="exact"/>
              <w:jc w:val="center"/>
              <w:rPr>
                <w:rFonts w:hint="eastAsia" w:ascii="方正仿宋_GBK" w:hAnsi="方正仿宋_GBK" w:eastAsia="方正仿宋_GBK"/>
                <w:color w:val="000000"/>
                <w:sz w:val="24"/>
              </w:rPr>
            </w:pP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b/>
                <w:color w:val="000000"/>
                <w:sz w:val="24"/>
              </w:rPr>
            </w:pPr>
            <w:r>
              <w:rPr>
                <w:rFonts w:hint="eastAsia" w:ascii="方正仿宋_GBK" w:hAnsi="方正仿宋_GBK" w:eastAsia="方正仿宋_GBK"/>
                <w:b/>
                <w:color w:val="000000"/>
                <w:kern w:val="0"/>
                <w:sz w:val="24"/>
              </w:rPr>
              <w:t>5000</w:t>
            </w:r>
          </w:p>
        </w:tc>
        <w:tc>
          <w:tcPr>
            <w:tcW w:w="1142"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line="320" w:lineRule="exact"/>
              <w:jc w:val="center"/>
              <w:rPr>
                <w:rFonts w:hint="eastAsia" w:ascii="方正仿宋_GBK" w:hAnsi="方正仿宋_GBK" w:eastAsia="方正仿宋_GBK"/>
                <w:b/>
                <w:color w:val="000000"/>
                <w:sz w:val="24"/>
              </w:rPr>
            </w:pPr>
          </w:p>
        </w:tc>
        <w:tc>
          <w:tcPr>
            <w:tcW w:w="952"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b/>
                <w:color w:val="000000"/>
                <w:sz w:val="24"/>
              </w:rPr>
            </w:pPr>
            <w:r>
              <w:rPr>
                <w:rFonts w:hint="eastAsia" w:ascii="方正仿宋_GBK" w:hAnsi="方正仿宋_GBK" w:eastAsia="方正仿宋_GBK"/>
                <w:color w:val="000000"/>
                <w:kern w:val="0"/>
                <w:sz w:val="24"/>
              </w:rPr>
              <w:t>5000</w:t>
            </w:r>
          </w:p>
        </w:tc>
        <w:tc>
          <w:tcPr>
            <w:tcW w:w="840"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line="320" w:lineRule="exact"/>
              <w:jc w:val="center"/>
              <w:rPr>
                <w:rFonts w:hint="eastAsia" w:ascii="方正仿宋_GBK" w:hAnsi="方正仿宋_GBK" w:eastAsia="方正仿宋_GBK"/>
                <w:color w:val="000000"/>
                <w:sz w:val="24"/>
              </w:rPr>
            </w:pPr>
          </w:p>
        </w:tc>
        <w:tc>
          <w:tcPr>
            <w:tcW w:w="799"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line="320" w:lineRule="exact"/>
              <w:jc w:val="center"/>
              <w:rPr>
                <w:rFonts w:hint="eastAsia" w:ascii="方正仿宋_GBK" w:hAnsi="方正仿宋_GBK" w:eastAsia="方正仿宋_GBK"/>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55" w:type="pct"/>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textDirection w:val="tbRlV"/>
            <w:vAlign w:val="center"/>
          </w:tcPr>
          <w:p>
            <w:pPr>
              <w:widowControl/>
              <w:spacing w:beforeLines="0" w:afterLines="0" w:line="320" w:lineRule="exact"/>
              <w:jc w:val="center"/>
              <w:textAlignment w:val="center"/>
              <w:rPr>
                <w:rFonts w:hint="eastAsia" w:ascii="方正仿宋_GBK" w:hAnsi="方正仿宋_GBK" w:eastAsia="方正仿宋_GBK"/>
                <w:b/>
                <w:color w:val="000000"/>
                <w:sz w:val="24"/>
              </w:rPr>
            </w:pPr>
            <w:r>
              <w:rPr>
                <w:rFonts w:hint="eastAsia" w:ascii="方正仿宋_GBK" w:hAnsi="方正仿宋_GBK" w:eastAsia="方正仿宋_GBK"/>
                <w:b/>
                <w:color w:val="000000"/>
                <w:kern w:val="0"/>
                <w:sz w:val="24"/>
              </w:rPr>
              <w:t>二、绩效目标编制</w:t>
            </w:r>
          </w:p>
        </w:tc>
        <w:tc>
          <w:tcPr>
            <w:tcW w:w="680"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项目当年绩效目标</w:t>
            </w:r>
          </w:p>
        </w:tc>
        <w:tc>
          <w:tcPr>
            <w:tcW w:w="4163" w:type="pct"/>
            <w:gridSpan w:val="7"/>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left"/>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建成渝中区新型智慧城市智能中枢（第一期）平台，梳理全区10家以上部门信息资源目录，连接渝中区各类物联感知设备1000个以上，支撑疫情常态化管理下的5个以上典型业务场景的“可看、可查”，在基于“渝康码”实现对渝中区全域人员的疫情常态化跟踪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155"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tcMar>
              <w:top w:w="15" w:type="dxa"/>
              <w:left w:w="15" w:type="dxa"/>
              <w:right w:w="15" w:type="dxa"/>
            </w:tcMar>
            <w:textDirection w:val="tbRlV"/>
            <w:vAlign w:val="center"/>
          </w:tcPr>
          <w:p>
            <w:pPr>
              <w:spacing w:beforeLines="0" w:afterLines="0" w:line="320" w:lineRule="exact"/>
              <w:jc w:val="center"/>
              <w:rPr>
                <w:rFonts w:hint="eastAsia" w:ascii="方正仿宋_GBK" w:hAnsi="方正仿宋_GBK" w:eastAsia="方正仿宋_GBK"/>
                <w:b/>
                <w:color w:val="000000"/>
                <w:sz w:val="24"/>
              </w:rPr>
            </w:pPr>
          </w:p>
        </w:tc>
        <w:tc>
          <w:tcPr>
            <w:tcW w:w="1108" w:type="pct"/>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指标类型</w:t>
            </w:r>
          </w:p>
        </w:tc>
        <w:tc>
          <w:tcPr>
            <w:tcW w:w="1142"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指标名称</w:t>
            </w:r>
          </w:p>
        </w:tc>
        <w:tc>
          <w:tcPr>
            <w:tcW w:w="437"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kern w:val="0"/>
                <w:sz w:val="24"/>
              </w:rPr>
            </w:pPr>
            <w:r>
              <w:rPr>
                <w:rFonts w:hint="eastAsia" w:ascii="方正仿宋_GBK" w:hAnsi="方正仿宋_GBK" w:eastAsia="方正仿宋_GBK"/>
                <w:color w:val="000000"/>
                <w:kern w:val="0"/>
                <w:sz w:val="24"/>
              </w:rPr>
              <w:t>指标</w:t>
            </w:r>
          </w:p>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性质</w:t>
            </w:r>
          </w:p>
        </w:tc>
        <w:tc>
          <w:tcPr>
            <w:tcW w:w="514"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指标值</w:t>
            </w:r>
          </w:p>
        </w:tc>
        <w:tc>
          <w:tcPr>
            <w:tcW w:w="394"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kern w:val="0"/>
                <w:sz w:val="24"/>
              </w:rPr>
            </w:pPr>
            <w:r>
              <w:rPr>
                <w:rFonts w:hint="eastAsia" w:ascii="方正仿宋_GBK" w:hAnsi="方正仿宋_GBK" w:eastAsia="方正仿宋_GBK"/>
                <w:color w:val="000000"/>
                <w:kern w:val="0"/>
                <w:sz w:val="24"/>
              </w:rPr>
              <w:t>计量</w:t>
            </w:r>
          </w:p>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单位</w:t>
            </w:r>
          </w:p>
        </w:tc>
        <w:tc>
          <w:tcPr>
            <w:tcW w:w="1245" w:type="pct"/>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指标说明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155"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tcMar>
              <w:top w:w="15" w:type="dxa"/>
              <w:left w:w="15" w:type="dxa"/>
              <w:right w:w="15" w:type="dxa"/>
            </w:tcMar>
            <w:textDirection w:val="tbRlV"/>
            <w:vAlign w:val="center"/>
          </w:tcPr>
          <w:p>
            <w:pPr>
              <w:spacing w:beforeLines="0" w:afterLines="0" w:line="320" w:lineRule="exact"/>
              <w:jc w:val="center"/>
              <w:rPr>
                <w:rFonts w:hint="eastAsia" w:ascii="方正仿宋_GBK" w:hAnsi="方正仿宋_GBK" w:eastAsia="方正仿宋_GBK"/>
                <w:b/>
                <w:color w:val="000000"/>
                <w:sz w:val="24"/>
              </w:rPr>
            </w:pPr>
          </w:p>
        </w:tc>
        <w:tc>
          <w:tcPr>
            <w:tcW w:w="1108" w:type="pct"/>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spacing w:beforeLines="0" w:afterLines="0" w:line="320" w:lineRule="exact"/>
              <w:jc w:val="center"/>
              <w:rPr>
                <w:rFonts w:hint="eastAsia" w:ascii="方正仿宋_GBK" w:hAnsi="方正仿宋_GBK" w:eastAsia="方正仿宋_GBK"/>
                <w:color w:val="000000"/>
                <w:sz w:val="24"/>
              </w:rPr>
            </w:pPr>
          </w:p>
        </w:tc>
        <w:tc>
          <w:tcPr>
            <w:tcW w:w="114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line="320" w:lineRule="exact"/>
              <w:jc w:val="center"/>
              <w:rPr>
                <w:rFonts w:hint="eastAsia" w:ascii="方正仿宋_GBK" w:hAnsi="方正仿宋_GBK" w:eastAsia="方正仿宋_GBK"/>
                <w:color w:val="000000"/>
                <w:sz w:val="24"/>
              </w:rPr>
            </w:pPr>
          </w:p>
        </w:tc>
        <w:tc>
          <w:tcPr>
            <w:tcW w:w="437"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line="320" w:lineRule="exact"/>
              <w:jc w:val="center"/>
              <w:rPr>
                <w:rFonts w:hint="eastAsia" w:ascii="方正仿宋_GBK" w:hAnsi="方正仿宋_GBK" w:eastAsia="方正仿宋_GBK"/>
                <w:color w:val="000000"/>
                <w:sz w:val="24"/>
              </w:rPr>
            </w:pPr>
          </w:p>
        </w:tc>
        <w:tc>
          <w:tcPr>
            <w:tcW w:w="514"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right w:w="15" w:type="dxa"/>
            </w:tcMar>
            <w:vAlign w:val="center"/>
          </w:tcPr>
          <w:p>
            <w:pPr>
              <w:spacing w:beforeLines="0" w:afterLines="0" w:line="320" w:lineRule="exact"/>
              <w:jc w:val="center"/>
              <w:rPr>
                <w:rFonts w:hint="eastAsia" w:ascii="方正仿宋_GBK" w:hAnsi="方正仿宋_GBK" w:eastAsia="方正仿宋_GBK"/>
                <w:color w:val="000000"/>
                <w:sz w:val="24"/>
              </w:rPr>
            </w:pPr>
          </w:p>
        </w:tc>
        <w:tc>
          <w:tcPr>
            <w:tcW w:w="394"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line="320" w:lineRule="exact"/>
              <w:jc w:val="center"/>
              <w:rPr>
                <w:rFonts w:hint="eastAsia" w:ascii="方正仿宋_GBK" w:hAnsi="方正仿宋_GBK" w:eastAsia="方正仿宋_GBK"/>
                <w:color w:val="000000"/>
                <w:sz w:val="24"/>
              </w:rPr>
            </w:pPr>
          </w:p>
        </w:tc>
        <w:tc>
          <w:tcPr>
            <w:tcW w:w="1245" w:type="pct"/>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Lines="0" w:afterLines="0" w:line="320" w:lineRule="exact"/>
              <w:jc w:val="center"/>
              <w:rPr>
                <w:rFonts w:hint="eastAsia" w:ascii="方正仿宋_GBK" w:hAnsi="方正仿宋_GBK" w:eastAsia="方正仿宋_GBK"/>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155" w:type="pct"/>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textDirection w:val="tbRlV"/>
            <w:vAlign w:val="center"/>
          </w:tcPr>
          <w:p>
            <w:pPr>
              <w:spacing w:beforeLines="0" w:afterLines="0" w:line="320" w:lineRule="exact"/>
              <w:jc w:val="center"/>
              <w:rPr>
                <w:rFonts w:hint="eastAsia" w:ascii="方正仿宋_GBK" w:hAnsi="方正仿宋_GBK" w:eastAsia="方正仿宋_GBK"/>
                <w:b/>
                <w:color w:val="000000"/>
                <w:sz w:val="24"/>
              </w:rPr>
            </w:pPr>
          </w:p>
        </w:tc>
        <w:tc>
          <w:tcPr>
            <w:tcW w:w="680"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kern w:val="0"/>
                <w:sz w:val="24"/>
              </w:rPr>
            </w:pPr>
            <w:r>
              <w:rPr>
                <w:rFonts w:hint="eastAsia" w:ascii="方正仿宋_GBK" w:hAnsi="方正仿宋_GBK" w:eastAsia="方正仿宋_GBK"/>
                <w:color w:val="000000"/>
                <w:kern w:val="0"/>
                <w:sz w:val="24"/>
              </w:rPr>
              <w:t>产出类</w:t>
            </w:r>
          </w:p>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指标</w:t>
            </w:r>
          </w:p>
        </w:tc>
        <w:tc>
          <w:tcPr>
            <w:tcW w:w="428" w:type="pct"/>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数量指标</w:t>
            </w:r>
          </w:p>
        </w:tc>
        <w:tc>
          <w:tcPr>
            <w:tcW w:w="114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区级部门连通数</w:t>
            </w:r>
          </w:p>
        </w:tc>
        <w:tc>
          <w:tcPr>
            <w:tcW w:w="43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w:t>
            </w:r>
          </w:p>
        </w:tc>
        <w:tc>
          <w:tcPr>
            <w:tcW w:w="51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30</w:t>
            </w:r>
          </w:p>
        </w:tc>
        <w:tc>
          <w:tcPr>
            <w:tcW w:w="39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个</w:t>
            </w:r>
          </w:p>
        </w:tc>
        <w:tc>
          <w:tcPr>
            <w:tcW w:w="1245"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left"/>
              <w:textAlignment w:val="center"/>
              <w:rPr>
                <w:rFonts w:hint="eastAsia" w:ascii="方正仿宋_GBK" w:hAnsi="方正仿宋_GBK" w:eastAsia="方正仿宋_GBK"/>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trPr>
        <w:tc>
          <w:tcPr>
            <w:tcW w:w="155" w:type="pct"/>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textDirection w:val="tbRlV"/>
            <w:vAlign w:val="center"/>
          </w:tcPr>
          <w:p>
            <w:pPr>
              <w:spacing w:beforeLines="0" w:afterLines="0" w:line="320" w:lineRule="exact"/>
              <w:jc w:val="center"/>
              <w:rPr>
                <w:rFonts w:hint="eastAsia" w:ascii="方正仿宋_GBK" w:hAnsi="方正仿宋_GBK" w:eastAsia="方正仿宋_GBK"/>
                <w:b/>
                <w:color w:val="000000"/>
                <w:sz w:val="24"/>
              </w:rPr>
            </w:pPr>
          </w:p>
        </w:tc>
        <w:tc>
          <w:tcPr>
            <w:tcW w:w="680"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line="320" w:lineRule="exact"/>
              <w:jc w:val="center"/>
              <w:rPr>
                <w:rFonts w:hint="eastAsia" w:ascii="方正仿宋_GBK" w:hAnsi="方正仿宋_GBK" w:eastAsia="方正仿宋_GBK"/>
                <w:color w:val="000000"/>
                <w:sz w:val="24"/>
              </w:rPr>
            </w:pPr>
          </w:p>
        </w:tc>
        <w:tc>
          <w:tcPr>
            <w:tcW w:w="428" w:type="pct"/>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20" w:lineRule="exact"/>
              <w:jc w:val="center"/>
              <w:rPr>
                <w:rFonts w:hint="eastAsia" w:ascii="方正仿宋_GBK" w:hAnsi="方正仿宋_GBK" w:eastAsia="方正仿宋_GBK"/>
                <w:color w:val="000000"/>
                <w:sz w:val="24"/>
              </w:rPr>
            </w:pPr>
          </w:p>
        </w:tc>
        <w:tc>
          <w:tcPr>
            <w:tcW w:w="114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疫情防控典型场景协同数</w:t>
            </w:r>
          </w:p>
        </w:tc>
        <w:tc>
          <w:tcPr>
            <w:tcW w:w="43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w:t>
            </w:r>
          </w:p>
        </w:tc>
        <w:tc>
          <w:tcPr>
            <w:tcW w:w="51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5</w:t>
            </w:r>
          </w:p>
        </w:tc>
        <w:tc>
          <w:tcPr>
            <w:tcW w:w="39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个</w:t>
            </w:r>
          </w:p>
        </w:tc>
        <w:tc>
          <w:tcPr>
            <w:tcW w:w="1245"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left"/>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支撑典型业务场景的“可看、可查”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1" w:hRule="atLeast"/>
        </w:trPr>
        <w:tc>
          <w:tcPr>
            <w:tcW w:w="155" w:type="pct"/>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textDirection w:val="tbRlV"/>
            <w:vAlign w:val="center"/>
          </w:tcPr>
          <w:p>
            <w:pPr>
              <w:spacing w:beforeLines="0" w:afterLines="0" w:line="320" w:lineRule="exact"/>
              <w:jc w:val="center"/>
              <w:rPr>
                <w:rFonts w:hint="eastAsia" w:ascii="方正仿宋_GBK" w:hAnsi="方正仿宋_GBK" w:eastAsia="方正仿宋_GBK"/>
                <w:b/>
                <w:color w:val="000000"/>
                <w:sz w:val="24"/>
              </w:rPr>
            </w:pPr>
          </w:p>
        </w:tc>
        <w:tc>
          <w:tcPr>
            <w:tcW w:w="680"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line="320" w:lineRule="exact"/>
              <w:jc w:val="center"/>
              <w:rPr>
                <w:rFonts w:hint="eastAsia" w:ascii="方正仿宋_GBK" w:hAnsi="方正仿宋_GBK" w:eastAsia="方正仿宋_GBK"/>
                <w:color w:val="000000"/>
                <w:sz w:val="24"/>
              </w:rPr>
            </w:pPr>
          </w:p>
        </w:tc>
        <w:tc>
          <w:tcPr>
            <w:tcW w:w="428" w:type="pct"/>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20" w:lineRule="exact"/>
              <w:jc w:val="center"/>
              <w:rPr>
                <w:rFonts w:hint="eastAsia" w:ascii="方正仿宋_GBK" w:hAnsi="方正仿宋_GBK" w:eastAsia="方正仿宋_GBK"/>
                <w:color w:val="000000"/>
                <w:sz w:val="24"/>
              </w:rPr>
            </w:pPr>
          </w:p>
        </w:tc>
        <w:tc>
          <w:tcPr>
            <w:tcW w:w="114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物联感知设备连接数</w:t>
            </w:r>
          </w:p>
        </w:tc>
        <w:tc>
          <w:tcPr>
            <w:tcW w:w="43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w:t>
            </w:r>
          </w:p>
        </w:tc>
        <w:tc>
          <w:tcPr>
            <w:tcW w:w="51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1000</w:t>
            </w:r>
          </w:p>
        </w:tc>
        <w:tc>
          <w:tcPr>
            <w:tcW w:w="39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个</w:t>
            </w:r>
          </w:p>
        </w:tc>
        <w:tc>
          <w:tcPr>
            <w:tcW w:w="1245"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left"/>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连接全区摄像头、感知终端等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55" w:type="pct"/>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textDirection w:val="tbRlV"/>
            <w:vAlign w:val="center"/>
          </w:tcPr>
          <w:p>
            <w:pPr>
              <w:spacing w:beforeLines="0" w:afterLines="0" w:line="320" w:lineRule="exact"/>
              <w:jc w:val="center"/>
              <w:rPr>
                <w:rFonts w:hint="eastAsia" w:ascii="方正仿宋_GBK" w:hAnsi="方正仿宋_GBK" w:eastAsia="方正仿宋_GBK"/>
                <w:b/>
                <w:color w:val="000000"/>
                <w:sz w:val="24"/>
              </w:rPr>
            </w:pPr>
          </w:p>
        </w:tc>
        <w:tc>
          <w:tcPr>
            <w:tcW w:w="680"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line="320" w:lineRule="exact"/>
              <w:jc w:val="center"/>
              <w:rPr>
                <w:rFonts w:hint="eastAsia" w:ascii="方正仿宋_GBK" w:hAnsi="方正仿宋_GBK" w:eastAsia="方正仿宋_GBK"/>
                <w:color w:val="000000"/>
                <w:sz w:val="24"/>
              </w:rPr>
            </w:pPr>
          </w:p>
        </w:tc>
        <w:tc>
          <w:tcPr>
            <w:tcW w:w="428" w:type="pct"/>
            <w:vMerge w:val="restart"/>
            <w:tcBorders>
              <w:top w:val="nil"/>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质量指标</w:t>
            </w:r>
          </w:p>
        </w:tc>
        <w:tc>
          <w:tcPr>
            <w:tcW w:w="114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平均年故障时间</w:t>
            </w:r>
          </w:p>
        </w:tc>
        <w:tc>
          <w:tcPr>
            <w:tcW w:w="43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w:t>
            </w:r>
          </w:p>
        </w:tc>
        <w:tc>
          <w:tcPr>
            <w:tcW w:w="51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1</w:t>
            </w:r>
          </w:p>
        </w:tc>
        <w:tc>
          <w:tcPr>
            <w:tcW w:w="39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天</w:t>
            </w:r>
          </w:p>
        </w:tc>
        <w:tc>
          <w:tcPr>
            <w:tcW w:w="1245"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line="320" w:lineRule="exact"/>
              <w:rPr>
                <w:rFonts w:hint="eastAsia" w:ascii="方正仿宋_GBK" w:hAnsi="方正仿宋_GBK" w:eastAsia="方正仿宋_GBK"/>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4" w:hRule="atLeast"/>
        </w:trPr>
        <w:tc>
          <w:tcPr>
            <w:tcW w:w="155" w:type="pct"/>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textDirection w:val="tbRlV"/>
            <w:vAlign w:val="center"/>
          </w:tcPr>
          <w:p>
            <w:pPr>
              <w:spacing w:beforeLines="0" w:afterLines="0" w:line="320" w:lineRule="exact"/>
              <w:jc w:val="center"/>
              <w:rPr>
                <w:rFonts w:hint="eastAsia" w:ascii="方正仿宋_GBK" w:hAnsi="方正仿宋_GBK" w:eastAsia="方正仿宋_GBK"/>
                <w:b/>
                <w:color w:val="000000"/>
                <w:sz w:val="24"/>
              </w:rPr>
            </w:pPr>
          </w:p>
        </w:tc>
        <w:tc>
          <w:tcPr>
            <w:tcW w:w="680"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line="320" w:lineRule="exact"/>
              <w:jc w:val="center"/>
              <w:rPr>
                <w:rFonts w:hint="eastAsia" w:ascii="方正仿宋_GBK" w:hAnsi="方正仿宋_GBK" w:eastAsia="方正仿宋_GBK"/>
                <w:color w:val="000000"/>
                <w:sz w:val="24"/>
              </w:rPr>
            </w:pPr>
          </w:p>
        </w:tc>
        <w:tc>
          <w:tcPr>
            <w:tcW w:w="428" w:type="pct"/>
            <w:vMerge w:val="continue"/>
            <w:tcBorders>
              <w:top w:val="nil"/>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20" w:lineRule="exact"/>
              <w:jc w:val="center"/>
              <w:rPr>
                <w:rFonts w:hint="eastAsia" w:ascii="方正仿宋_GBK" w:hAnsi="方正仿宋_GBK" w:eastAsia="方正仿宋_GBK"/>
                <w:color w:val="000000"/>
                <w:sz w:val="24"/>
              </w:rPr>
            </w:pPr>
          </w:p>
        </w:tc>
        <w:tc>
          <w:tcPr>
            <w:tcW w:w="114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平均故障修复时间</w:t>
            </w:r>
          </w:p>
        </w:tc>
        <w:tc>
          <w:tcPr>
            <w:tcW w:w="43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w:t>
            </w:r>
          </w:p>
        </w:tc>
        <w:tc>
          <w:tcPr>
            <w:tcW w:w="51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180</w:t>
            </w:r>
          </w:p>
        </w:tc>
        <w:tc>
          <w:tcPr>
            <w:tcW w:w="39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分钟</w:t>
            </w:r>
          </w:p>
        </w:tc>
        <w:tc>
          <w:tcPr>
            <w:tcW w:w="1245"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line="320" w:lineRule="exact"/>
              <w:rPr>
                <w:rFonts w:hint="eastAsia" w:ascii="方正仿宋_GBK" w:hAnsi="方正仿宋_GBK" w:eastAsia="方正仿宋_GBK"/>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55" w:type="pct"/>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textDirection w:val="tbRlV"/>
            <w:vAlign w:val="center"/>
          </w:tcPr>
          <w:p>
            <w:pPr>
              <w:spacing w:beforeLines="0" w:afterLines="0" w:line="320" w:lineRule="exact"/>
              <w:jc w:val="center"/>
              <w:rPr>
                <w:rFonts w:hint="eastAsia" w:ascii="方正仿宋_GBK" w:hAnsi="方正仿宋_GBK" w:eastAsia="方正仿宋_GBK"/>
                <w:b/>
                <w:color w:val="000000"/>
                <w:sz w:val="24"/>
              </w:rPr>
            </w:pPr>
          </w:p>
        </w:tc>
        <w:tc>
          <w:tcPr>
            <w:tcW w:w="680"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line="320" w:lineRule="exact"/>
              <w:jc w:val="center"/>
              <w:rPr>
                <w:rFonts w:hint="eastAsia" w:ascii="方正仿宋_GBK" w:hAnsi="方正仿宋_GBK" w:eastAsia="方正仿宋_GBK"/>
                <w:color w:val="000000"/>
                <w:sz w:val="24"/>
              </w:rPr>
            </w:pPr>
          </w:p>
        </w:tc>
        <w:tc>
          <w:tcPr>
            <w:tcW w:w="42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进度指标</w:t>
            </w:r>
          </w:p>
        </w:tc>
        <w:tc>
          <w:tcPr>
            <w:tcW w:w="114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年内项目进度</w:t>
            </w:r>
          </w:p>
        </w:tc>
        <w:tc>
          <w:tcPr>
            <w:tcW w:w="43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无</w:t>
            </w:r>
          </w:p>
        </w:tc>
        <w:tc>
          <w:tcPr>
            <w:tcW w:w="51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完成</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无</w:t>
            </w:r>
          </w:p>
        </w:tc>
        <w:tc>
          <w:tcPr>
            <w:tcW w:w="1245"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left"/>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2021年12月31日前完全建成并投入使用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5" w:type="pct"/>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textDirection w:val="tbRlV"/>
            <w:vAlign w:val="center"/>
          </w:tcPr>
          <w:p>
            <w:pPr>
              <w:spacing w:beforeLines="0" w:afterLines="0" w:line="320" w:lineRule="exact"/>
              <w:jc w:val="center"/>
              <w:rPr>
                <w:rFonts w:hint="eastAsia" w:ascii="方正仿宋_GBK" w:hAnsi="方正仿宋_GBK" w:eastAsia="方正仿宋_GBK"/>
                <w:b/>
                <w:color w:val="000000"/>
                <w:sz w:val="24"/>
              </w:rPr>
            </w:pPr>
          </w:p>
        </w:tc>
        <w:tc>
          <w:tcPr>
            <w:tcW w:w="680"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kern w:val="0"/>
                <w:sz w:val="24"/>
              </w:rPr>
            </w:pPr>
            <w:r>
              <w:rPr>
                <w:rFonts w:hint="eastAsia" w:ascii="方正仿宋_GBK" w:hAnsi="方正仿宋_GBK" w:eastAsia="方正仿宋_GBK"/>
                <w:color w:val="000000"/>
                <w:kern w:val="0"/>
                <w:sz w:val="24"/>
              </w:rPr>
              <w:t>效益类</w:t>
            </w:r>
          </w:p>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指标</w:t>
            </w:r>
          </w:p>
        </w:tc>
        <w:tc>
          <w:tcPr>
            <w:tcW w:w="428"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line="320" w:lineRule="exact"/>
              <w:jc w:val="center"/>
              <w:rPr>
                <w:rFonts w:hint="eastAsia" w:ascii="方正仿宋_GBK" w:hAnsi="方正仿宋_GBK" w:eastAsia="方正仿宋_GBK"/>
                <w:color w:val="000000"/>
                <w:sz w:val="24"/>
              </w:rPr>
            </w:pPr>
            <w:r>
              <w:rPr>
                <w:rFonts w:hint="eastAsia" w:ascii="方正仿宋_GBK" w:hAnsi="方正仿宋_GBK" w:eastAsia="方正仿宋_GBK"/>
                <w:color w:val="000000"/>
                <w:sz w:val="24"/>
              </w:rPr>
              <w:t>社会效益指标</w:t>
            </w:r>
          </w:p>
        </w:tc>
        <w:tc>
          <w:tcPr>
            <w:tcW w:w="114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疫情防控数据共享率</w:t>
            </w:r>
          </w:p>
        </w:tc>
        <w:tc>
          <w:tcPr>
            <w:tcW w:w="437"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w:t>
            </w:r>
          </w:p>
        </w:tc>
        <w:tc>
          <w:tcPr>
            <w:tcW w:w="51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99%</w:t>
            </w:r>
          </w:p>
        </w:tc>
        <w:tc>
          <w:tcPr>
            <w:tcW w:w="394"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line="320" w:lineRule="exact"/>
              <w:jc w:val="center"/>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w:t>
            </w:r>
          </w:p>
        </w:tc>
        <w:tc>
          <w:tcPr>
            <w:tcW w:w="1245"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line="320" w:lineRule="exact"/>
              <w:jc w:val="left"/>
              <w:textAlignment w:val="center"/>
              <w:rPr>
                <w:rFonts w:hint="eastAsia" w:ascii="方正仿宋_GBK" w:hAnsi="方正仿宋_GBK" w:eastAsia="方正仿宋_GBK"/>
                <w:color w:val="000000"/>
                <w:sz w:val="24"/>
              </w:rPr>
            </w:pPr>
            <w:r>
              <w:rPr>
                <w:rFonts w:hint="eastAsia" w:ascii="方正仿宋_GBK" w:hAnsi="方正仿宋_GBK" w:eastAsia="方正仿宋_GBK"/>
                <w:color w:val="000000"/>
                <w:kern w:val="0"/>
                <w:sz w:val="24"/>
              </w:rPr>
              <w:t>实现各委办、街道办相关权限人员对全区疫情防控数据的可看、可查</w:t>
            </w:r>
          </w:p>
        </w:tc>
      </w:tr>
    </w:tbl>
    <w:p>
      <w:pPr>
        <w:pStyle w:val="2"/>
      </w:pPr>
    </w:p>
    <w:sectPr>
      <w:pgSz w:w="12240" w:h="15840"/>
      <w:pgMar w:top="1417" w:right="1800" w:bottom="1417"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6364CB"/>
    <w:rsid w:val="34B93B68"/>
    <w:rsid w:val="3C067B1A"/>
    <w:rsid w:val="3F7A5172"/>
    <w:rsid w:val="4A27164B"/>
    <w:rsid w:val="57636C4C"/>
    <w:rsid w:val="6555494D"/>
    <w:rsid w:val="7C633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_GBK"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等线" w:hAnsi="等线" w:eastAsia="等线" w:cstheme="minorBidi"/>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unhideWhenUsed/>
    <w:qFormat/>
    <w:uiPriority w:val="10"/>
    <w:pPr>
      <w:spacing w:before="240" w:beforeLines="0" w:after="60" w:afterLines="0"/>
      <w:jc w:val="center"/>
      <w:outlineLvl w:val="0"/>
    </w:pPr>
    <w:rPr>
      <w:rFonts w:hint="default" w:ascii="Cambria" w:hAnsi="Cambria"/>
      <w:b/>
      <w:sz w:val="21"/>
    </w:rPr>
  </w:style>
  <w:style w:type="paragraph" w:styleId="3">
    <w:name w:val="footer"/>
    <w:basedOn w:val="1"/>
    <w:unhideWhenUsed/>
    <w:qFormat/>
    <w:uiPriority w:val="99"/>
    <w:pPr>
      <w:tabs>
        <w:tab w:val="center" w:pos="4153"/>
        <w:tab w:val="right" w:pos="8306"/>
      </w:tabs>
      <w:snapToGrid w:val="0"/>
      <w:spacing w:beforeLines="0" w:afterLines="0"/>
      <w:jc w:val="left"/>
    </w:pPr>
    <w:rPr>
      <w:rFonts w:hint="default" w:ascii="Times New Roman" w:hAnsi="Times New Roman" w:eastAsia="宋体"/>
      <w:kern w:val="0"/>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2020-08-03T01:48:00Z</dcterms:created>
  <dc:creator>Administrator</dc:creator>
  <cp:lastModifiedBy>ASUS</cp:lastModifiedBy>
  <dcterms:modified xsi:type="dcterms:W3CDTF">2020-08-06T08:20:11Z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