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F4" w:rsidRDefault="00372A20">
      <w:pPr>
        <w:autoSpaceDE w:val="0"/>
        <w:autoSpaceDN w:val="0"/>
        <w:ind w:right="40"/>
        <w:rPr>
          <w:rFonts w:ascii="方正黑体_GBK" w:eastAsia="方正黑体_GBK" w:hAnsi="仿宋" w:cs="仿宋_GB2312"/>
        </w:rPr>
      </w:pPr>
      <w:r>
        <w:rPr>
          <w:rFonts w:ascii="方正黑体_GBK" w:eastAsia="方正黑体_GBK" w:hAnsi="仿宋" w:cs="仿宋_GB2312" w:hint="eastAsia"/>
        </w:rPr>
        <w:t>附件</w:t>
      </w:r>
      <w:r>
        <w:rPr>
          <w:rFonts w:ascii="方正黑体_GBK" w:eastAsia="方正黑体_GBK" w:hAnsi="仿宋" w:cs="仿宋_GB2312" w:hint="eastAsia"/>
        </w:rPr>
        <w:t>3</w:t>
      </w:r>
    </w:p>
    <w:p w:rsidR="00DB20F4" w:rsidRDefault="00372A20">
      <w:pPr>
        <w:autoSpaceDE w:val="0"/>
        <w:autoSpaceDN w:val="0"/>
        <w:spacing w:line="0" w:lineRule="atLeast"/>
        <w:ind w:right="40"/>
        <w:jc w:val="center"/>
        <w:rPr>
          <w:rFonts w:ascii="方正小标宋_GBK" w:eastAsia="方正小标宋_GBK"/>
          <w:sz w:val="44"/>
          <w:szCs w:val="44"/>
        </w:rPr>
      </w:pPr>
      <w:r>
        <w:rPr>
          <w:rFonts w:ascii="方正小标宋_GBK" w:eastAsia="方正小标宋_GBK" w:hint="eastAsia"/>
          <w:sz w:val="44"/>
          <w:szCs w:val="44"/>
        </w:rPr>
        <w:t>2017</w:t>
      </w:r>
      <w:r>
        <w:rPr>
          <w:rFonts w:ascii="方正小标宋_GBK" w:eastAsia="方正小标宋_GBK" w:hint="eastAsia"/>
          <w:sz w:val="44"/>
          <w:szCs w:val="44"/>
        </w:rPr>
        <w:t>—</w:t>
      </w:r>
      <w:r>
        <w:rPr>
          <w:rFonts w:ascii="方正小标宋_GBK" w:eastAsia="方正小标宋_GBK" w:hint="eastAsia"/>
          <w:sz w:val="44"/>
          <w:szCs w:val="44"/>
        </w:rPr>
        <w:t>2019</w:t>
      </w:r>
      <w:r>
        <w:rPr>
          <w:rFonts w:ascii="方正小标宋_GBK" w:eastAsia="方正小标宋_GBK" w:hint="eastAsia"/>
          <w:sz w:val="44"/>
          <w:szCs w:val="44"/>
        </w:rPr>
        <w:t>年重庆市电网输配电价表</w:t>
      </w:r>
    </w:p>
    <w:p w:rsidR="00DB20F4" w:rsidRDefault="00372A20">
      <w:pPr>
        <w:autoSpaceDE w:val="0"/>
        <w:autoSpaceDN w:val="0"/>
        <w:spacing w:line="0" w:lineRule="atLeast"/>
        <w:ind w:right="40"/>
        <w:jc w:val="center"/>
        <w:rPr>
          <w:rFonts w:ascii="方正仿宋_GBK" w:eastAsia="方正仿宋_GBK" w:hAnsi="黑体"/>
          <w:sz w:val="44"/>
          <w:szCs w:val="44"/>
        </w:rPr>
      </w:pPr>
      <w:r>
        <w:rPr>
          <w:rFonts w:ascii="方正仿宋_GBK" w:eastAsia="方正仿宋_GBK" w:hAnsi="黑体" w:hint="eastAsia"/>
          <w:sz w:val="28"/>
          <w:szCs w:val="28"/>
        </w:rPr>
        <w:t>（自</w:t>
      </w:r>
      <w:r>
        <w:rPr>
          <w:rFonts w:ascii="方正仿宋_GBK" w:eastAsia="方正仿宋_GBK" w:hAnsi="黑体" w:hint="eastAsia"/>
          <w:sz w:val="28"/>
          <w:szCs w:val="28"/>
        </w:rPr>
        <w:t>2018</w:t>
      </w:r>
      <w:r>
        <w:rPr>
          <w:rFonts w:ascii="方正仿宋_GBK" w:eastAsia="方正仿宋_GBK" w:hAnsi="黑体" w:hint="eastAsia"/>
          <w:sz w:val="28"/>
          <w:szCs w:val="28"/>
        </w:rPr>
        <w:t>年</w:t>
      </w:r>
      <w:r>
        <w:rPr>
          <w:rFonts w:ascii="方正仿宋_GBK" w:eastAsia="方正仿宋_GBK" w:hAnsi="黑体" w:hint="eastAsia"/>
          <w:sz w:val="28"/>
          <w:szCs w:val="28"/>
        </w:rPr>
        <w:t>7</w:t>
      </w:r>
      <w:r>
        <w:rPr>
          <w:rFonts w:ascii="方正仿宋_GBK" w:eastAsia="方正仿宋_GBK" w:hAnsi="黑体" w:hint="eastAsia"/>
          <w:sz w:val="28"/>
          <w:szCs w:val="28"/>
        </w:rPr>
        <w:t>月</w:t>
      </w:r>
      <w:r>
        <w:rPr>
          <w:rFonts w:ascii="方正仿宋_GBK" w:eastAsia="方正仿宋_GBK" w:hAnsi="黑体" w:hint="eastAsia"/>
          <w:sz w:val="28"/>
          <w:szCs w:val="28"/>
        </w:rPr>
        <w:t>1</w:t>
      </w:r>
      <w:r>
        <w:rPr>
          <w:rFonts w:ascii="方正仿宋_GBK" w:eastAsia="方正仿宋_GBK" w:hAnsi="黑体" w:hint="eastAsia"/>
          <w:sz w:val="28"/>
          <w:szCs w:val="28"/>
        </w:rPr>
        <w:t>日起执行）</w:t>
      </w:r>
    </w:p>
    <w:p w:rsidR="00DB20F4" w:rsidRDefault="00DB20F4">
      <w:pPr>
        <w:autoSpaceDE w:val="0"/>
        <w:autoSpaceDN w:val="0"/>
        <w:spacing w:line="0" w:lineRule="atLeast"/>
        <w:ind w:right="40"/>
        <w:jc w:val="right"/>
        <w:rPr>
          <w:rFonts w:ascii="华文仿宋" w:eastAsia="华文仿宋" w:hAnsi="华文仿宋"/>
          <w:sz w:val="28"/>
          <w:szCs w:val="28"/>
        </w:rPr>
      </w:pPr>
    </w:p>
    <w:p w:rsidR="00DB20F4" w:rsidRDefault="00372A20">
      <w:pPr>
        <w:widowControl/>
        <w:wordWrap w:val="0"/>
        <w:spacing w:line="0" w:lineRule="atLeast"/>
        <w:ind w:right="210" w:firstLineChars="200" w:firstLine="480"/>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单位：元</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千瓦时</w:t>
      </w:r>
    </w:p>
    <w:tbl>
      <w:tblPr>
        <w:tblpPr w:leftFromText="180" w:rightFromText="180" w:vertAnchor="page" w:horzAnchor="margin" w:tblpXSpec="center" w:tblpY="4261"/>
        <w:tblW w:w="13868" w:type="dxa"/>
        <w:tblLayout w:type="fixed"/>
        <w:tblLook w:val="04A0"/>
      </w:tblPr>
      <w:tblGrid>
        <w:gridCol w:w="2284"/>
        <w:gridCol w:w="1035"/>
        <w:gridCol w:w="1470"/>
        <w:gridCol w:w="1470"/>
        <w:gridCol w:w="1380"/>
        <w:gridCol w:w="1395"/>
        <w:gridCol w:w="1291"/>
        <w:gridCol w:w="1701"/>
        <w:gridCol w:w="1842"/>
      </w:tblGrid>
      <w:tr w:rsidR="00DB20F4">
        <w:trPr>
          <w:trHeight w:val="405"/>
        </w:trPr>
        <w:tc>
          <w:tcPr>
            <w:tcW w:w="3319"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b/>
                <w:kern w:val="0"/>
                <w:sz w:val="28"/>
                <w:szCs w:val="28"/>
              </w:rPr>
            </w:pPr>
            <w:r>
              <w:rPr>
                <w:rFonts w:ascii="方正仿宋_GBK" w:eastAsia="方正仿宋_GBK" w:hAnsi="宋体" w:cs="宋体" w:hint="eastAsia"/>
                <w:b/>
                <w:kern w:val="0"/>
                <w:sz w:val="28"/>
                <w:szCs w:val="28"/>
              </w:rPr>
              <w:t>用电分类</w:t>
            </w:r>
          </w:p>
        </w:tc>
        <w:tc>
          <w:tcPr>
            <w:tcW w:w="7006" w:type="dxa"/>
            <w:gridSpan w:val="5"/>
            <w:tcBorders>
              <w:top w:val="single" w:sz="8" w:space="0" w:color="auto"/>
              <w:left w:val="nil"/>
              <w:bottom w:val="single" w:sz="4"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b/>
                <w:kern w:val="0"/>
                <w:sz w:val="28"/>
                <w:szCs w:val="28"/>
              </w:rPr>
            </w:pPr>
            <w:r>
              <w:rPr>
                <w:rFonts w:ascii="方正仿宋_GBK" w:eastAsia="方正仿宋_GBK" w:hAnsi="宋体" w:cs="宋体" w:hint="eastAsia"/>
                <w:b/>
                <w:kern w:val="0"/>
                <w:sz w:val="28"/>
                <w:szCs w:val="28"/>
              </w:rPr>
              <w:t>电度电价</w:t>
            </w:r>
          </w:p>
        </w:tc>
        <w:tc>
          <w:tcPr>
            <w:tcW w:w="3543" w:type="dxa"/>
            <w:gridSpan w:val="2"/>
            <w:tcBorders>
              <w:top w:val="single" w:sz="8" w:space="0" w:color="auto"/>
              <w:left w:val="nil"/>
              <w:bottom w:val="single" w:sz="4" w:space="0" w:color="auto"/>
              <w:right w:val="single" w:sz="8" w:space="0" w:color="000000"/>
            </w:tcBorders>
            <w:shd w:val="clear" w:color="auto" w:fill="auto"/>
            <w:vAlign w:val="center"/>
          </w:tcPr>
          <w:p w:rsidR="00DB20F4" w:rsidRDefault="00372A20">
            <w:pPr>
              <w:widowControl/>
              <w:jc w:val="center"/>
              <w:rPr>
                <w:rFonts w:ascii="方正仿宋_GBK" w:eastAsia="方正仿宋_GBK" w:hAnsi="宋体" w:cs="宋体"/>
                <w:b/>
                <w:kern w:val="0"/>
                <w:sz w:val="28"/>
                <w:szCs w:val="28"/>
              </w:rPr>
            </w:pPr>
            <w:r>
              <w:rPr>
                <w:rFonts w:ascii="方正仿宋_GBK" w:eastAsia="方正仿宋_GBK" w:hAnsi="宋体" w:cs="宋体" w:hint="eastAsia"/>
                <w:b/>
                <w:kern w:val="0"/>
                <w:sz w:val="28"/>
                <w:szCs w:val="28"/>
              </w:rPr>
              <w:t>基本电价</w:t>
            </w:r>
          </w:p>
        </w:tc>
      </w:tr>
      <w:tr w:rsidR="00DB20F4">
        <w:trPr>
          <w:trHeight w:val="1034"/>
        </w:trPr>
        <w:tc>
          <w:tcPr>
            <w:tcW w:w="3319"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DB20F4" w:rsidRDefault="00DB20F4">
            <w:pPr>
              <w:widowControl/>
              <w:jc w:val="left"/>
              <w:rPr>
                <w:rFonts w:ascii="方正仿宋_GBK" w:eastAsia="方正仿宋_GBK" w:hAnsi="宋体" w:cs="宋体"/>
                <w:b/>
                <w:kern w:val="0"/>
                <w:sz w:val="24"/>
                <w:szCs w:val="24"/>
              </w:rPr>
            </w:pPr>
          </w:p>
        </w:tc>
        <w:tc>
          <w:tcPr>
            <w:tcW w:w="1470" w:type="dxa"/>
            <w:tcBorders>
              <w:top w:val="nil"/>
              <w:left w:val="nil"/>
              <w:bottom w:val="single" w:sz="4"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不满</w:t>
            </w:r>
            <w:r>
              <w:rPr>
                <w:rFonts w:ascii="方正仿宋_GBK" w:eastAsia="方正仿宋_GBK" w:hAnsi="宋体" w:cs="宋体" w:hint="eastAsia"/>
                <w:b/>
                <w:kern w:val="0"/>
                <w:sz w:val="24"/>
                <w:szCs w:val="24"/>
              </w:rPr>
              <w:t>1</w:t>
            </w:r>
            <w:r>
              <w:rPr>
                <w:rFonts w:ascii="方正仿宋_GBK" w:eastAsia="方正仿宋_GBK" w:hAnsi="宋体" w:cs="宋体" w:hint="eastAsia"/>
                <w:b/>
                <w:kern w:val="0"/>
                <w:sz w:val="24"/>
                <w:szCs w:val="24"/>
              </w:rPr>
              <w:t>千伏</w:t>
            </w:r>
          </w:p>
        </w:tc>
        <w:tc>
          <w:tcPr>
            <w:tcW w:w="1470" w:type="dxa"/>
            <w:tcBorders>
              <w:top w:val="nil"/>
              <w:left w:val="nil"/>
              <w:bottom w:val="single" w:sz="4"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1-10</w:t>
            </w:r>
            <w:r>
              <w:rPr>
                <w:rFonts w:ascii="方正仿宋_GBK" w:eastAsia="方正仿宋_GBK" w:hAnsi="宋体" w:cs="宋体" w:hint="eastAsia"/>
                <w:b/>
                <w:kern w:val="0"/>
                <w:sz w:val="24"/>
                <w:szCs w:val="24"/>
              </w:rPr>
              <w:t>千伏</w:t>
            </w:r>
          </w:p>
        </w:tc>
        <w:tc>
          <w:tcPr>
            <w:tcW w:w="1380" w:type="dxa"/>
            <w:tcBorders>
              <w:top w:val="nil"/>
              <w:left w:val="nil"/>
              <w:bottom w:val="single" w:sz="4"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35</w:t>
            </w:r>
            <w:r>
              <w:rPr>
                <w:rFonts w:ascii="方正仿宋_GBK" w:eastAsia="方正仿宋_GBK" w:hAnsi="宋体" w:cs="宋体" w:hint="eastAsia"/>
                <w:b/>
                <w:kern w:val="0"/>
                <w:sz w:val="24"/>
                <w:szCs w:val="24"/>
              </w:rPr>
              <w:t>千伏</w:t>
            </w:r>
          </w:p>
        </w:tc>
        <w:tc>
          <w:tcPr>
            <w:tcW w:w="1395" w:type="dxa"/>
            <w:tcBorders>
              <w:top w:val="nil"/>
              <w:left w:val="nil"/>
              <w:bottom w:val="single" w:sz="4"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110</w:t>
            </w:r>
            <w:r>
              <w:rPr>
                <w:rFonts w:ascii="方正仿宋_GBK" w:eastAsia="方正仿宋_GBK" w:hAnsi="宋体" w:cs="宋体" w:hint="eastAsia"/>
                <w:b/>
                <w:kern w:val="0"/>
                <w:sz w:val="24"/>
                <w:szCs w:val="24"/>
              </w:rPr>
              <w:t>千伏</w:t>
            </w:r>
          </w:p>
        </w:tc>
        <w:tc>
          <w:tcPr>
            <w:tcW w:w="1291" w:type="dxa"/>
            <w:tcBorders>
              <w:top w:val="nil"/>
              <w:left w:val="nil"/>
              <w:bottom w:val="single" w:sz="4"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220</w:t>
            </w:r>
            <w:r>
              <w:rPr>
                <w:rFonts w:ascii="方正仿宋_GBK" w:eastAsia="方正仿宋_GBK" w:hAnsi="宋体" w:cs="宋体" w:hint="eastAsia"/>
                <w:b/>
                <w:kern w:val="0"/>
                <w:sz w:val="24"/>
                <w:szCs w:val="24"/>
              </w:rPr>
              <w:t>千伏</w:t>
            </w:r>
          </w:p>
        </w:tc>
        <w:tc>
          <w:tcPr>
            <w:tcW w:w="1701" w:type="dxa"/>
            <w:tcBorders>
              <w:top w:val="nil"/>
              <w:left w:val="nil"/>
              <w:bottom w:val="single" w:sz="4" w:space="0" w:color="auto"/>
              <w:right w:val="single" w:sz="4" w:space="0" w:color="auto"/>
            </w:tcBorders>
            <w:shd w:val="clear" w:color="auto" w:fill="auto"/>
            <w:vAlign w:val="center"/>
          </w:tcPr>
          <w:p w:rsidR="00DB20F4" w:rsidRDefault="00372A20">
            <w:pPr>
              <w:widowControl/>
              <w:spacing w:line="440" w:lineRule="exact"/>
              <w:jc w:val="center"/>
              <w:rPr>
                <w:rFonts w:ascii="方正仿宋_GBK" w:eastAsia="方正仿宋_GBK" w:hAnsiTheme="minorEastAsia" w:cs="宋体"/>
                <w:b/>
                <w:kern w:val="0"/>
                <w:sz w:val="24"/>
                <w:szCs w:val="24"/>
              </w:rPr>
            </w:pPr>
            <w:r>
              <w:rPr>
                <w:rFonts w:ascii="方正仿宋_GBK" w:eastAsia="方正仿宋_GBK" w:hAnsiTheme="minorEastAsia" w:cs="宋体" w:hint="eastAsia"/>
                <w:b/>
                <w:kern w:val="0"/>
                <w:sz w:val="24"/>
                <w:szCs w:val="24"/>
              </w:rPr>
              <w:t>最大需量（元</w:t>
            </w:r>
            <w:r>
              <w:rPr>
                <w:rFonts w:ascii="方正仿宋_GBK" w:eastAsia="方正仿宋_GBK" w:hAnsiTheme="minorEastAsia" w:cs="宋体" w:hint="eastAsia"/>
                <w:b/>
                <w:kern w:val="0"/>
                <w:sz w:val="24"/>
                <w:szCs w:val="24"/>
              </w:rPr>
              <w:t>/</w:t>
            </w:r>
            <w:r>
              <w:rPr>
                <w:rFonts w:ascii="方正仿宋_GBK" w:eastAsia="方正仿宋_GBK" w:hAnsiTheme="minorEastAsia" w:cs="宋体" w:hint="eastAsia"/>
                <w:b/>
                <w:kern w:val="0"/>
                <w:sz w:val="24"/>
                <w:szCs w:val="24"/>
              </w:rPr>
              <w:t>千瓦·月）</w:t>
            </w:r>
          </w:p>
        </w:tc>
        <w:tc>
          <w:tcPr>
            <w:tcW w:w="1842" w:type="dxa"/>
            <w:tcBorders>
              <w:top w:val="nil"/>
              <w:left w:val="nil"/>
              <w:bottom w:val="single" w:sz="4" w:space="0" w:color="auto"/>
              <w:right w:val="single" w:sz="8" w:space="0" w:color="auto"/>
            </w:tcBorders>
            <w:shd w:val="clear" w:color="auto" w:fill="auto"/>
            <w:vAlign w:val="center"/>
          </w:tcPr>
          <w:p w:rsidR="00DB20F4" w:rsidRDefault="00372A20">
            <w:pPr>
              <w:widowControl/>
              <w:spacing w:line="440" w:lineRule="exact"/>
              <w:jc w:val="center"/>
              <w:rPr>
                <w:rFonts w:ascii="方正仿宋_GBK" w:eastAsia="方正仿宋_GBK" w:hAnsiTheme="minorEastAsia" w:cs="宋体"/>
                <w:b/>
                <w:kern w:val="0"/>
                <w:sz w:val="24"/>
                <w:szCs w:val="24"/>
              </w:rPr>
            </w:pPr>
            <w:r>
              <w:rPr>
                <w:rFonts w:ascii="方正仿宋_GBK" w:eastAsia="方正仿宋_GBK" w:hAnsiTheme="minorEastAsia" w:cs="宋体" w:hint="eastAsia"/>
                <w:b/>
                <w:kern w:val="0"/>
                <w:sz w:val="24"/>
                <w:szCs w:val="24"/>
              </w:rPr>
              <w:t>最大容量（元</w:t>
            </w:r>
            <w:r>
              <w:rPr>
                <w:rFonts w:ascii="方正仿宋_GBK" w:eastAsia="方正仿宋_GBK" w:hAnsiTheme="minorEastAsia" w:cs="宋体" w:hint="eastAsia"/>
                <w:b/>
                <w:kern w:val="0"/>
                <w:sz w:val="24"/>
                <w:szCs w:val="24"/>
              </w:rPr>
              <w:t>/</w:t>
            </w:r>
            <w:proofErr w:type="gramStart"/>
            <w:r>
              <w:rPr>
                <w:rFonts w:ascii="方正仿宋_GBK" w:eastAsia="方正仿宋_GBK" w:hAnsiTheme="minorEastAsia" w:cs="宋体" w:hint="eastAsia"/>
                <w:b/>
                <w:kern w:val="0"/>
                <w:sz w:val="24"/>
                <w:szCs w:val="24"/>
              </w:rPr>
              <w:t>千伏安</w:t>
            </w:r>
            <w:proofErr w:type="gramEnd"/>
            <w:r>
              <w:rPr>
                <w:rFonts w:ascii="方正仿宋_GBK" w:eastAsia="方正仿宋_GBK" w:hAnsiTheme="minorEastAsia" w:cs="宋体" w:hint="eastAsia"/>
                <w:b/>
                <w:kern w:val="0"/>
                <w:sz w:val="24"/>
                <w:szCs w:val="24"/>
              </w:rPr>
              <w:t>·月）</w:t>
            </w:r>
          </w:p>
        </w:tc>
      </w:tr>
      <w:tr w:rsidR="00DB20F4">
        <w:trPr>
          <w:trHeight w:val="990"/>
        </w:trPr>
        <w:tc>
          <w:tcPr>
            <w:tcW w:w="2284" w:type="dxa"/>
            <w:vMerge w:val="restart"/>
            <w:tcBorders>
              <w:top w:val="single" w:sz="4" w:space="0" w:color="auto"/>
              <w:left w:val="single" w:sz="8" w:space="0" w:color="auto"/>
              <w:right w:val="single" w:sz="4" w:space="0" w:color="auto"/>
            </w:tcBorders>
            <w:shd w:val="clear" w:color="auto" w:fill="auto"/>
            <w:vAlign w:val="center"/>
          </w:tcPr>
          <w:p w:rsidR="00DB20F4" w:rsidRDefault="00DB20F4">
            <w:pPr>
              <w:widowControl/>
              <w:jc w:val="center"/>
              <w:rPr>
                <w:rFonts w:ascii="方正仿宋_GBK" w:eastAsia="方正仿宋_GBK" w:hAnsi="宋体" w:cs="宋体"/>
                <w:kern w:val="0"/>
                <w:sz w:val="24"/>
                <w:szCs w:val="24"/>
              </w:rPr>
            </w:pPr>
          </w:p>
          <w:p w:rsidR="00DB20F4" w:rsidRDefault="00372A20">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工商业及其他用电</w:t>
            </w:r>
          </w:p>
          <w:p w:rsidR="00DB20F4" w:rsidRDefault="00DB20F4">
            <w:pPr>
              <w:widowControl/>
              <w:jc w:val="center"/>
              <w:rPr>
                <w:rFonts w:ascii="方正仿宋_GBK" w:eastAsia="方正仿宋_GBK" w:hAnsi="宋体" w:cs="宋体"/>
                <w:kern w:val="0"/>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单一制</w:t>
            </w:r>
          </w:p>
        </w:tc>
        <w:tc>
          <w:tcPr>
            <w:tcW w:w="1470" w:type="dxa"/>
            <w:tcBorders>
              <w:top w:val="nil"/>
              <w:left w:val="nil"/>
              <w:bottom w:val="single" w:sz="4"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0.3</w:t>
            </w:r>
            <w:r>
              <w:rPr>
                <w:rFonts w:ascii="方正仿宋_GBK" w:eastAsia="方正仿宋_GBK" w:hAnsi="宋体" w:cs="宋体" w:hint="eastAsia"/>
                <w:sz w:val="24"/>
                <w:szCs w:val="24"/>
              </w:rPr>
              <w:t>137</w:t>
            </w:r>
          </w:p>
        </w:tc>
        <w:tc>
          <w:tcPr>
            <w:tcW w:w="1470" w:type="dxa"/>
            <w:tcBorders>
              <w:top w:val="nil"/>
              <w:left w:val="nil"/>
              <w:bottom w:val="single" w:sz="4"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0.</w:t>
            </w:r>
            <w:r>
              <w:rPr>
                <w:rFonts w:ascii="方正仿宋_GBK" w:eastAsia="方正仿宋_GBK" w:hAnsi="宋体" w:cs="宋体" w:hint="eastAsia"/>
                <w:sz w:val="24"/>
                <w:szCs w:val="24"/>
              </w:rPr>
              <w:t>2937</w:t>
            </w:r>
          </w:p>
        </w:tc>
        <w:tc>
          <w:tcPr>
            <w:tcW w:w="1380" w:type="dxa"/>
            <w:tcBorders>
              <w:top w:val="nil"/>
              <w:left w:val="nil"/>
              <w:bottom w:val="single" w:sz="4"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0.</w:t>
            </w:r>
            <w:r>
              <w:rPr>
                <w:rFonts w:ascii="方正仿宋_GBK" w:eastAsia="方正仿宋_GBK" w:hAnsi="宋体" w:cs="宋体" w:hint="eastAsia"/>
                <w:sz w:val="24"/>
                <w:szCs w:val="24"/>
              </w:rPr>
              <w:t>2737</w:t>
            </w:r>
          </w:p>
        </w:tc>
        <w:tc>
          <w:tcPr>
            <w:tcW w:w="1395" w:type="dxa"/>
            <w:tcBorders>
              <w:top w:val="nil"/>
              <w:left w:val="nil"/>
              <w:bottom w:val="single" w:sz="4"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0.</w:t>
            </w:r>
            <w:r>
              <w:rPr>
                <w:rFonts w:ascii="方正仿宋_GBK" w:eastAsia="方正仿宋_GBK" w:hAnsi="宋体" w:cs="宋体" w:hint="eastAsia"/>
                <w:sz w:val="24"/>
                <w:szCs w:val="24"/>
              </w:rPr>
              <w:t>2587</w:t>
            </w:r>
          </w:p>
        </w:tc>
        <w:tc>
          <w:tcPr>
            <w:tcW w:w="1291" w:type="dxa"/>
            <w:tcBorders>
              <w:top w:val="nil"/>
              <w:left w:val="nil"/>
              <w:bottom w:val="single" w:sz="4"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sz w:val="24"/>
                <w:szCs w:val="24"/>
              </w:rPr>
            </w:pPr>
            <w:r>
              <w:rPr>
                <w:rFonts w:ascii="方正仿宋_GBK" w:eastAsia="方正仿宋_GBK" w:hAnsi="宋体" w:cs="宋体" w:hint="eastAsia"/>
                <w:sz w:val="24"/>
                <w:szCs w:val="24"/>
              </w:rPr>
              <w:t xml:space="preserve">　</w:t>
            </w:r>
          </w:p>
        </w:tc>
        <w:tc>
          <w:tcPr>
            <w:tcW w:w="1842" w:type="dxa"/>
            <w:tcBorders>
              <w:top w:val="nil"/>
              <w:left w:val="nil"/>
              <w:bottom w:val="single" w:sz="4" w:space="0" w:color="auto"/>
              <w:right w:val="single" w:sz="8" w:space="0" w:color="auto"/>
            </w:tcBorders>
            <w:shd w:val="clear" w:color="auto" w:fill="auto"/>
            <w:vAlign w:val="center"/>
          </w:tcPr>
          <w:p w:rsidR="00DB20F4" w:rsidRDefault="00372A20">
            <w:pPr>
              <w:widowControl/>
              <w:jc w:val="center"/>
              <w:rPr>
                <w:rFonts w:ascii="方正仿宋_GBK" w:eastAsia="方正仿宋_GBK" w:hAnsi="宋体" w:cs="宋体"/>
                <w:sz w:val="24"/>
                <w:szCs w:val="24"/>
              </w:rPr>
            </w:pPr>
            <w:r>
              <w:rPr>
                <w:rFonts w:ascii="方正仿宋_GBK" w:eastAsia="方正仿宋_GBK" w:hAnsi="宋体" w:cs="宋体" w:hint="eastAsia"/>
                <w:sz w:val="24"/>
                <w:szCs w:val="24"/>
              </w:rPr>
              <w:t xml:space="preserve">　</w:t>
            </w:r>
          </w:p>
        </w:tc>
      </w:tr>
      <w:tr w:rsidR="00DB20F4">
        <w:trPr>
          <w:trHeight w:val="705"/>
        </w:trPr>
        <w:tc>
          <w:tcPr>
            <w:tcW w:w="2284" w:type="dxa"/>
            <w:vMerge/>
            <w:tcBorders>
              <w:left w:val="single" w:sz="8" w:space="0" w:color="auto"/>
              <w:bottom w:val="single" w:sz="8" w:space="0" w:color="auto"/>
              <w:right w:val="single" w:sz="4" w:space="0" w:color="auto"/>
            </w:tcBorders>
            <w:shd w:val="clear" w:color="auto" w:fill="auto"/>
            <w:vAlign w:val="center"/>
          </w:tcPr>
          <w:p w:rsidR="00DB20F4" w:rsidRDefault="00DB20F4">
            <w:pPr>
              <w:widowControl/>
              <w:jc w:val="left"/>
              <w:rPr>
                <w:rFonts w:ascii="方正仿宋_GBK" w:eastAsia="方正仿宋_GBK" w:hAnsi="宋体" w:cs="宋体"/>
                <w:kern w:val="0"/>
                <w:sz w:val="24"/>
                <w:szCs w:val="24"/>
              </w:rPr>
            </w:pPr>
          </w:p>
        </w:tc>
        <w:tc>
          <w:tcPr>
            <w:tcW w:w="1035" w:type="dxa"/>
            <w:tcBorders>
              <w:top w:val="single" w:sz="4" w:space="0" w:color="auto"/>
              <w:left w:val="single" w:sz="4" w:space="0" w:color="auto"/>
              <w:bottom w:val="single" w:sz="8"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两部制</w:t>
            </w:r>
          </w:p>
        </w:tc>
        <w:tc>
          <w:tcPr>
            <w:tcW w:w="1470" w:type="dxa"/>
            <w:tcBorders>
              <w:top w:val="nil"/>
              <w:left w:val="nil"/>
              <w:bottom w:val="single" w:sz="8"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 xml:space="preserve">　</w:t>
            </w:r>
          </w:p>
        </w:tc>
        <w:tc>
          <w:tcPr>
            <w:tcW w:w="1470" w:type="dxa"/>
            <w:tcBorders>
              <w:top w:val="nil"/>
              <w:left w:val="nil"/>
              <w:bottom w:val="single" w:sz="8"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0.1859</w:t>
            </w:r>
          </w:p>
        </w:tc>
        <w:tc>
          <w:tcPr>
            <w:tcW w:w="1380" w:type="dxa"/>
            <w:tcBorders>
              <w:top w:val="nil"/>
              <w:left w:val="nil"/>
              <w:bottom w:val="single" w:sz="8"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0.1632</w:t>
            </w:r>
          </w:p>
        </w:tc>
        <w:tc>
          <w:tcPr>
            <w:tcW w:w="1395" w:type="dxa"/>
            <w:tcBorders>
              <w:top w:val="nil"/>
              <w:left w:val="nil"/>
              <w:bottom w:val="single" w:sz="8"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0.1459</w:t>
            </w:r>
          </w:p>
        </w:tc>
        <w:tc>
          <w:tcPr>
            <w:tcW w:w="1291" w:type="dxa"/>
            <w:tcBorders>
              <w:top w:val="nil"/>
              <w:left w:val="nil"/>
              <w:bottom w:val="single" w:sz="8" w:space="0" w:color="auto"/>
              <w:right w:val="single" w:sz="4" w:space="0" w:color="auto"/>
            </w:tcBorders>
            <w:shd w:val="clear" w:color="auto" w:fill="auto"/>
            <w:vAlign w:val="center"/>
          </w:tcPr>
          <w:p w:rsidR="00DB20F4" w:rsidRDefault="00372A20">
            <w:pPr>
              <w:jc w:val="center"/>
              <w:rPr>
                <w:rFonts w:ascii="方正仿宋_GBK" w:eastAsia="方正仿宋_GBK" w:hAnsi="宋体" w:cs="宋体"/>
                <w:sz w:val="24"/>
                <w:szCs w:val="24"/>
              </w:rPr>
            </w:pPr>
            <w:r>
              <w:rPr>
                <w:rFonts w:ascii="方正仿宋_GBK" w:eastAsia="方正仿宋_GBK" w:hAnsi="宋体" w:cs="宋体" w:hint="eastAsia"/>
                <w:sz w:val="24"/>
                <w:szCs w:val="24"/>
              </w:rPr>
              <w:t>0.1309</w:t>
            </w:r>
          </w:p>
        </w:tc>
        <w:tc>
          <w:tcPr>
            <w:tcW w:w="1701" w:type="dxa"/>
            <w:tcBorders>
              <w:top w:val="nil"/>
              <w:left w:val="nil"/>
              <w:bottom w:val="single" w:sz="8" w:space="0" w:color="auto"/>
              <w:right w:val="single" w:sz="4" w:space="0" w:color="auto"/>
            </w:tcBorders>
            <w:shd w:val="clear" w:color="auto" w:fill="auto"/>
            <w:vAlign w:val="center"/>
          </w:tcPr>
          <w:p w:rsidR="00DB20F4" w:rsidRDefault="00372A20">
            <w:pPr>
              <w:widowControl/>
              <w:jc w:val="center"/>
              <w:rPr>
                <w:rFonts w:ascii="方正仿宋_GBK" w:eastAsia="方正仿宋_GBK" w:hAnsi="宋体" w:cs="宋体"/>
                <w:sz w:val="24"/>
                <w:szCs w:val="24"/>
              </w:rPr>
            </w:pPr>
            <w:r>
              <w:rPr>
                <w:rFonts w:ascii="方正仿宋_GBK" w:eastAsia="方正仿宋_GBK" w:hAnsi="宋体" w:cs="宋体" w:hint="eastAsia"/>
                <w:sz w:val="24"/>
                <w:szCs w:val="24"/>
              </w:rPr>
              <w:t>36</w:t>
            </w:r>
          </w:p>
        </w:tc>
        <w:tc>
          <w:tcPr>
            <w:tcW w:w="1842" w:type="dxa"/>
            <w:tcBorders>
              <w:top w:val="nil"/>
              <w:left w:val="nil"/>
              <w:bottom w:val="single" w:sz="8" w:space="0" w:color="auto"/>
              <w:right w:val="single" w:sz="8" w:space="0" w:color="auto"/>
            </w:tcBorders>
            <w:shd w:val="clear" w:color="auto" w:fill="auto"/>
            <w:vAlign w:val="center"/>
          </w:tcPr>
          <w:p w:rsidR="00DB20F4" w:rsidRDefault="00372A20">
            <w:pPr>
              <w:widowControl/>
              <w:jc w:val="center"/>
              <w:rPr>
                <w:rFonts w:ascii="方正仿宋_GBK" w:eastAsia="方正仿宋_GBK" w:hAnsi="宋体" w:cs="宋体"/>
                <w:sz w:val="24"/>
                <w:szCs w:val="24"/>
              </w:rPr>
            </w:pPr>
            <w:r>
              <w:rPr>
                <w:rFonts w:ascii="方正仿宋_GBK" w:eastAsia="方正仿宋_GBK" w:hAnsi="宋体" w:cs="宋体" w:hint="eastAsia"/>
                <w:sz w:val="24"/>
                <w:szCs w:val="24"/>
              </w:rPr>
              <w:t>24</w:t>
            </w:r>
          </w:p>
        </w:tc>
      </w:tr>
    </w:tbl>
    <w:p w:rsidR="00DB20F4" w:rsidRDefault="00DB20F4">
      <w:pPr>
        <w:widowControl/>
        <w:spacing w:line="0" w:lineRule="atLeast"/>
        <w:ind w:firstLineChars="200" w:firstLine="420"/>
        <w:jc w:val="left"/>
        <w:rPr>
          <w:rFonts w:ascii="仿宋" w:eastAsia="仿宋" w:hAnsi="仿宋" w:cs="宋体"/>
          <w:color w:val="000000"/>
          <w:kern w:val="0"/>
          <w:sz w:val="21"/>
          <w:szCs w:val="21"/>
        </w:rPr>
      </w:pPr>
    </w:p>
    <w:p w:rsidR="00DB20F4" w:rsidRDefault="00372A20">
      <w:pPr>
        <w:widowControl/>
        <w:spacing w:line="0" w:lineRule="atLeast"/>
        <w:ind w:firstLineChars="200" w:firstLine="420"/>
        <w:jc w:val="left"/>
        <w:rPr>
          <w:rFonts w:ascii="仿宋" w:eastAsia="仿宋" w:hAnsi="仿宋" w:cs="宋体"/>
          <w:color w:val="000000"/>
          <w:kern w:val="0"/>
          <w:sz w:val="21"/>
          <w:szCs w:val="21"/>
        </w:rPr>
      </w:pPr>
      <w:r>
        <w:rPr>
          <w:rFonts w:ascii="仿宋" w:eastAsia="仿宋" w:hAnsi="仿宋" w:cs="宋体" w:hint="eastAsia"/>
          <w:color w:val="000000"/>
          <w:kern w:val="0"/>
          <w:sz w:val="21"/>
          <w:szCs w:val="21"/>
        </w:rPr>
        <w:t>注：</w:t>
      </w:r>
      <w:r>
        <w:rPr>
          <w:rFonts w:ascii="仿宋" w:eastAsia="仿宋" w:hAnsi="仿宋" w:cs="宋体" w:hint="eastAsia"/>
          <w:color w:val="000000"/>
          <w:kern w:val="0"/>
          <w:sz w:val="21"/>
          <w:szCs w:val="21"/>
        </w:rPr>
        <w:t>1.</w:t>
      </w:r>
      <w:r>
        <w:rPr>
          <w:rFonts w:ascii="仿宋" w:eastAsia="仿宋" w:hAnsi="仿宋" w:cs="宋体" w:hint="eastAsia"/>
          <w:color w:val="000000"/>
          <w:kern w:val="0"/>
          <w:sz w:val="21"/>
          <w:szCs w:val="21"/>
        </w:rPr>
        <w:t>表中电价含增值税、线损及交叉补贴。</w:t>
      </w:r>
    </w:p>
    <w:p w:rsidR="00DB20F4" w:rsidRDefault="00372A20">
      <w:pPr>
        <w:widowControl/>
        <w:spacing w:line="0" w:lineRule="atLeast"/>
        <w:ind w:leftChars="264" w:left="1055" w:hangingChars="100" w:hanging="210"/>
        <w:jc w:val="left"/>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r>
        <w:rPr>
          <w:rFonts w:ascii="仿宋" w:eastAsia="仿宋" w:hAnsi="仿宋" w:cs="宋体" w:hint="eastAsia"/>
          <w:color w:val="000000"/>
          <w:kern w:val="0"/>
          <w:sz w:val="21"/>
          <w:szCs w:val="21"/>
        </w:rPr>
        <w:t>参与电力市场化交易的电力用户输配电价水平按上表执行，并按规定征收政府性基金及附加，政府性基金及附加的具体征收标准以现行目录销售电价表中征收标准为准。其他电力用户继续执行现行目录销售电价政策。</w:t>
      </w:r>
      <w:r>
        <w:rPr>
          <w:rFonts w:ascii="仿宋" w:eastAsia="仿宋" w:hAnsi="仿宋" w:cs="宋体" w:hint="eastAsia"/>
          <w:color w:val="000000"/>
          <w:kern w:val="0"/>
          <w:sz w:val="21"/>
          <w:szCs w:val="21"/>
        </w:rPr>
        <w:t xml:space="preserve"> </w:t>
      </w:r>
    </w:p>
    <w:p w:rsidR="00DB20F4" w:rsidRDefault="00372A20">
      <w:pPr>
        <w:widowControl/>
        <w:spacing w:line="0" w:lineRule="atLeast"/>
        <w:ind w:leftChars="264" w:left="1055" w:hangingChars="100" w:hanging="210"/>
        <w:jc w:val="left"/>
        <w:rPr>
          <w:rFonts w:ascii="仿宋" w:eastAsia="仿宋" w:hAnsi="仿宋" w:cs="宋体"/>
          <w:color w:val="000000"/>
          <w:kern w:val="0"/>
          <w:szCs w:val="21"/>
        </w:rPr>
      </w:pPr>
      <w:r>
        <w:rPr>
          <w:rFonts w:ascii="仿宋" w:eastAsia="仿宋" w:hAnsi="仿宋" w:cs="宋体" w:hint="eastAsia"/>
          <w:color w:val="000000"/>
          <w:kern w:val="0"/>
          <w:sz w:val="21"/>
          <w:szCs w:val="21"/>
        </w:rPr>
        <w:t>3.2017</w:t>
      </w:r>
      <w:r>
        <w:rPr>
          <w:rFonts w:ascii="仿宋" w:eastAsia="仿宋" w:hAnsi="仿宋" w:cs="宋体" w:hint="eastAsia"/>
          <w:color w:val="000000"/>
          <w:kern w:val="0"/>
          <w:sz w:val="21"/>
          <w:szCs w:val="21"/>
        </w:rPr>
        <w:t>—</w:t>
      </w:r>
      <w:proofErr w:type="gramStart"/>
      <w:r>
        <w:rPr>
          <w:rFonts w:ascii="仿宋" w:eastAsia="仿宋" w:hAnsi="仿宋" w:cs="宋体" w:hint="eastAsia"/>
          <w:color w:val="000000"/>
          <w:kern w:val="0"/>
          <w:sz w:val="21"/>
          <w:szCs w:val="21"/>
        </w:rPr>
        <w:t>2019</w:t>
      </w:r>
      <w:r>
        <w:rPr>
          <w:rFonts w:ascii="仿宋" w:eastAsia="仿宋" w:hAnsi="仿宋" w:cs="宋体" w:hint="eastAsia"/>
          <w:color w:val="000000"/>
          <w:kern w:val="0"/>
          <w:sz w:val="21"/>
          <w:szCs w:val="21"/>
        </w:rPr>
        <w:t>年国网重庆市</w:t>
      </w:r>
      <w:proofErr w:type="gramEnd"/>
      <w:r>
        <w:rPr>
          <w:rFonts w:ascii="仿宋" w:eastAsia="仿宋" w:hAnsi="仿宋" w:cs="宋体" w:hint="eastAsia"/>
          <w:color w:val="000000"/>
          <w:kern w:val="0"/>
          <w:sz w:val="21"/>
          <w:szCs w:val="21"/>
        </w:rPr>
        <w:t>电力公司综合线损率按</w:t>
      </w:r>
      <w:r>
        <w:rPr>
          <w:rFonts w:ascii="仿宋" w:eastAsia="仿宋" w:hAnsi="仿宋" w:cs="宋体" w:hint="eastAsia"/>
          <w:color w:val="000000"/>
          <w:kern w:val="0"/>
          <w:sz w:val="21"/>
          <w:szCs w:val="21"/>
        </w:rPr>
        <w:t>6.94%</w:t>
      </w:r>
      <w:r>
        <w:rPr>
          <w:rFonts w:ascii="仿宋" w:eastAsia="仿宋" w:hAnsi="仿宋" w:cs="宋体" w:hint="eastAsia"/>
          <w:color w:val="000000"/>
          <w:kern w:val="0"/>
          <w:sz w:val="21"/>
          <w:szCs w:val="21"/>
        </w:rPr>
        <w:t>计算，实际运行中线损率超过</w:t>
      </w:r>
      <w:r>
        <w:rPr>
          <w:rFonts w:ascii="仿宋" w:eastAsia="仿宋" w:hAnsi="仿宋" w:cs="宋体" w:hint="eastAsia"/>
          <w:color w:val="000000"/>
          <w:kern w:val="0"/>
          <w:sz w:val="21"/>
          <w:szCs w:val="21"/>
        </w:rPr>
        <w:t>6.94%</w:t>
      </w:r>
      <w:r>
        <w:rPr>
          <w:rFonts w:ascii="仿宋" w:eastAsia="仿宋" w:hAnsi="仿宋" w:cs="宋体" w:hint="eastAsia"/>
          <w:color w:val="000000"/>
          <w:kern w:val="0"/>
          <w:sz w:val="21"/>
          <w:szCs w:val="21"/>
        </w:rPr>
        <w:t>带来的风险</w:t>
      </w:r>
      <w:proofErr w:type="gramStart"/>
      <w:r>
        <w:rPr>
          <w:rFonts w:ascii="仿宋" w:eastAsia="仿宋" w:hAnsi="仿宋" w:cs="宋体" w:hint="eastAsia"/>
          <w:color w:val="000000"/>
          <w:kern w:val="0"/>
          <w:sz w:val="21"/>
          <w:szCs w:val="21"/>
        </w:rPr>
        <w:t>由国网重庆市</w:t>
      </w:r>
      <w:proofErr w:type="gramEnd"/>
      <w:r>
        <w:rPr>
          <w:rFonts w:ascii="仿宋" w:eastAsia="仿宋" w:hAnsi="仿宋" w:cs="宋体" w:hint="eastAsia"/>
          <w:color w:val="000000"/>
          <w:kern w:val="0"/>
          <w:sz w:val="21"/>
          <w:szCs w:val="21"/>
        </w:rPr>
        <w:t>电力公司承担，低于</w:t>
      </w:r>
      <w:r>
        <w:rPr>
          <w:rFonts w:ascii="仿宋" w:eastAsia="仿宋" w:hAnsi="仿宋" w:cs="宋体" w:hint="eastAsia"/>
          <w:color w:val="000000"/>
          <w:kern w:val="0"/>
          <w:sz w:val="21"/>
          <w:szCs w:val="21"/>
        </w:rPr>
        <w:t>6.94%</w:t>
      </w:r>
      <w:r>
        <w:rPr>
          <w:rFonts w:ascii="仿宋" w:eastAsia="仿宋" w:hAnsi="仿宋" w:cs="宋体" w:hint="eastAsia"/>
          <w:color w:val="000000"/>
          <w:kern w:val="0"/>
          <w:sz w:val="21"/>
          <w:szCs w:val="21"/>
        </w:rPr>
        <w:t>的收益</w:t>
      </w:r>
      <w:proofErr w:type="gramStart"/>
      <w:r>
        <w:rPr>
          <w:rFonts w:ascii="仿宋" w:eastAsia="仿宋" w:hAnsi="仿宋" w:cs="宋体" w:hint="eastAsia"/>
          <w:color w:val="000000"/>
          <w:kern w:val="0"/>
          <w:sz w:val="21"/>
          <w:szCs w:val="21"/>
        </w:rPr>
        <w:t>由国网重庆市</w:t>
      </w:r>
      <w:proofErr w:type="gramEnd"/>
      <w:r>
        <w:rPr>
          <w:rFonts w:ascii="仿宋" w:eastAsia="仿宋" w:hAnsi="仿宋" w:cs="宋体" w:hint="eastAsia"/>
          <w:color w:val="000000"/>
          <w:kern w:val="0"/>
          <w:sz w:val="21"/>
          <w:szCs w:val="21"/>
        </w:rPr>
        <w:t>电力公司和用户各分享</w:t>
      </w:r>
      <w:r>
        <w:rPr>
          <w:rFonts w:ascii="仿宋" w:eastAsia="仿宋" w:hAnsi="仿宋" w:cs="宋体" w:hint="eastAsia"/>
          <w:color w:val="000000"/>
          <w:kern w:val="0"/>
          <w:sz w:val="21"/>
          <w:szCs w:val="21"/>
        </w:rPr>
        <w:t>50%</w:t>
      </w:r>
      <w:r>
        <w:rPr>
          <w:rFonts w:ascii="仿宋" w:eastAsia="仿宋" w:hAnsi="仿宋" w:cs="宋体" w:hint="eastAsia"/>
          <w:color w:val="000000"/>
          <w:kern w:val="0"/>
          <w:sz w:val="21"/>
          <w:szCs w:val="21"/>
        </w:rPr>
        <w:t>。</w:t>
      </w:r>
    </w:p>
    <w:sectPr w:rsidR="00DB20F4" w:rsidSect="00DB20F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C9105E7"/>
    <w:rsid w:val="00372A20"/>
    <w:rsid w:val="00B26765"/>
    <w:rsid w:val="00DB20F4"/>
    <w:rsid w:val="0C9105E7"/>
    <w:rsid w:val="0CBC09C8"/>
    <w:rsid w:val="39DE0366"/>
    <w:rsid w:val="6D535020"/>
    <w:rsid w:val="6F0252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0F4"/>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1</Pages>
  <Words>305</Words>
  <Characters>134</Characters>
  <Application>Microsoft Office Word</Application>
  <DocSecurity>0</DocSecurity>
  <Lines>1</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Hewlett_Packard</cp:lastModifiedBy>
  <cp:revision>2</cp:revision>
  <cp:lastPrinted>2018-08-22T10:07:00Z</cp:lastPrinted>
  <dcterms:created xsi:type="dcterms:W3CDTF">2018-08-22T10:18:00Z</dcterms:created>
  <dcterms:modified xsi:type="dcterms:W3CDTF">2018-08-22T10:18:00Z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