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7281"/>
        <w:gridCol w:w="1082"/>
        <w:gridCol w:w="4062"/>
        <w:gridCol w:w="1381"/>
      </w:tblGrid>
      <w:tr w:rsidR="00F51FDF">
        <w:trPr>
          <w:trHeight w:val="600"/>
        </w:trPr>
        <w:tc>
          <w:tcPr>
            <w:tcW w:w="13806" w:type="dxa"/>
            <w:gridSpan w:val="4"/>
            <w:tcBorders>
              <w:top w:val="nil"/>
              <w:left w:val="nil"/>
              <w:bottom w:val="nil"/>
              <w:right w:val="nil"/>
            </w:tcBorders>
            <w:noWrap/>
            <w:tcMar>
              <w:top w:w="15" w:type="dxa"/>
              <w:left w:w="15" w:type="dxa"/>
              <w:right w:w="15" w:type="dxa"/>
            </w:tcMar>
            <w:vAlign w:val="center"/>
          </w:tcPr>
          <w:p w:rsidR="00F51FDF" w:rsidRDefault="0061641E">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hint="eastAsia"/>
                <w:color w:val="000000"/>
                <w:kern w:val="0"/>
                <w:sz w:val="36"/>
                <w:szCs w:val="36"/>
                <w:lang w:bidi="ar"/>
              </w:rPr>
              <w:t>收入支出决算总表</w:t>
            </w:r>
          </w:p>
        </w:tc>
      </w:tr>
      <w:tr w:rsidR="00F51FDF">
        <w:trPr>
          <w:trHeight w:val="285"/>
        </w:trPr>
        <w:tc>
          <w:tcPr>
            <w:tcW w:w="7281" w:type="dxa"/>
            <w:tcBorders>
              <w:top w:val="nil"/>
              <w:left w:val="nil"/>
              <w:bottom w:val="nil"/>
              <w:right w:val="nil"/>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nil"/>
              <w:left w:val="nil"/>
              <w:bottom w:val="nil"/>
              <w:right w:val="nil"/>
            </w:tcBorders>
            <w:noWrap/>
            <w:tcMar>
              <w:top w:w="15" w:type="dxa"/>
              <w:left w:w="15" w:type="dxa"/>
              <w:right w:w="15" w:type="dxa"/>
            </w:tcMar>
            <w:vAlign w:val="center"/>
          </w:tcPr>
          <w:p w:rsidR="00F51FDF" w:rsidRDefault="00F51FDF">
            <w:pPr>
              <w:jc w:val="center"/>
              <w:rPr>
                <w:rFonts w:ascii="华文中宋" w:eastAsia="华文中宋" w:hAnsi="华文中宋" w:cs="华文中宋"/>
                <w:color w:val="000000"/>
                <w:sz w:val="22"/>
              </w:rPr>
            </w:pPr>
          </w:p>
        </w:tc>
        <w:tc>
          <w:tcPr>
            <w:tcW w:w="4062" w:type="dxa"/>
            <w:tcBorders>
              <w:top w:val="nil"/>
              <w:left w:val="nil"/>
              <w:bottom w:val="nil"/>
              <w:right w:val="nil"/>
            </w:tcBorders>
            <w:noWrap/>
            <w:tcMar>
              <w:top w:w="15" w:type="dxa"/>
              <w:left w:w="15" w:type="dxa"/>
              <w:right w:w="15" w:type="dxa"/>
            </w:tcMar>
            <w:vAlign w:val="center"/>
          </w:tcPr>
          <w:p w:rsidR="00F51FDF" w:rsidRDefault="00F51FDF">
            <w:pPr>
              <w:jc w:val="center"/>
              <w:rPr>
                <w:rFonts w:ascii="华文中宋" w:eastAsia="华文中宋" w:hAnsi="华文中宋" w:cs="华文中宋"/>
                <w:color w:val="000000"/>
                <w:sz w:val="22"/>
              </w:rPr>
            </w:pPr>
          </w:p>
        </w:tc>
        <w:tc>
          <w:tcPr>
            <w:tcW w:w="1381" w:type="dxa"/>
            <w:tcBorders>
              <w:top w:val="nil"/>
              <w:left w:val="nil"/>
              <w:bottom w:val="nil"/>
              <w:right w:val="nil"/>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公开</w:t>
            </w:r>
            <w:r>
              <w:rPr>
                <w:rFonts w:ascii="仿宋" w:eastAsia="仿宋" w:hAnsi="仿宋" w:cs="仿宋"/>
                <w:color w:val="000000"/>
                <w:kern w:val="0"/>
                <w:sz w:val="22"/>
                <w:lang w:bidi="ar"/>
              </w:rPr>
              <w:t>01</w:t>
            </w:r>
            <w:r>
              <w:rPr>
                <w:rFonts w:ascii="仿宋" w:eastAsia="仿宋" w:hAnsi="仿宋" w:cs="仿宋"/>
                <w:color w:val="000000"/>
                <w:kern w:val="0"/>
                <w:sz w:val="22"/>
                <w:lang w:bidi="ar"/>
              </w:rPr>
              <w:t>表</w:t>
            </w:r>
          </w:p>
        </w:tc>
      </w:tr>
      <w:tr w:rsidR="00F51FDF">
        <w:trPr>
          <w:trHeight w:val="285"/>
        </w:trPr>
        <w:tc>
          <w:tcPr>
            <w:tcW w:w="8363" w:type="dxa"/>
            <w:gridSpan w:val="2"/>
            <w:tcBorders>
              <w:top w:val="nil"/>
              <w:left w:val="nil"/>
              <w:bottom w:val="single" w:sz="4" w:space="0" w:color="000000"/>
              <w:right w:val="nil"/>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公开部门：重庆市渝中区经济和信息化委员会</w:t>
            </w:r>
          </w:p>
        </w:tc>
        <w:tc>
          <w:tcPr>
            <w:tcW w:w="4062" w:type="dxa"/>
            <w:tcBorders>
              <w:top w:val="nil"/>
              <w:left w:val="nil"/>
              <w:bottom w:val="nil"/>
              <w:right w:val="nil"/>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381" w:type="dxa"/>
            <w:tcBorders>
              <w:top w:val="nil"/>
              <w:left w:val="nil"/>
              <w:bottom w:val="nil"/>
              <w:right w:val="nil"/>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单位：万元</w:t>
            </w:r>
          </w:p>
        </w:tc>
      </w:tr>
      <w:tr w:rsidR="00F51FDF">
        <w:trPr>
          <w:trHeight w:val="420"/>
        </w:trPr>
        <w:tc>
          <w:tcPr>
            <w:tcW w:w="8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收入</w:t>
            </w:r>
          </w:p>
        </w:tc>
        <w:tc>
          <w:tcPr>
            <w:tcW w:w="54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支出</w:t>
            </w: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决算数</w:t>
            </w: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w:t>
            </w:r>
          </w:p>
        </w:tc>
        <w:tc>
          <w:tcPr>
            <w:tcW w:w="1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决算数</w:t>
            </w: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一、财政拨款收入</w:t>
            </w:r>
          </w:p>
        </w:tc>
        <w:tc>
          <w:tcPr>
            <w:tcW w:w="108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4,493.64</w:t>
            </w: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一、一般公共服务支出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401.73</w:t>
            </w: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二、上级补助收入</w:t>
            </w:r>
          </w:p>
        </w:tc>
        <w:tc>
          <w:tcPr>
            <w:tcW w:w="108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二、外交支出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三、事业收入</w:t>
            </w:r>
          </w:p>
        </w:tc>
        <w:tc>
          <w:tcPr>
            <w:tcW w:w="108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三、国防支出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四、经营收入</w:t>
            </w:r>
          </w:p>
        </w:tc>
        <w:tc>
          <w:tcPr>
            <w:tcW w:w="108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四、公共安全支出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7281"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五、附属单位上缴收入</w:t>
            </w:r>
          </w:p>
        </w:tc>
        <w:tc>
          <w:tcPr>
            <w:tcW w:w="1082" w:type="dxa"/>
            <w:tcBorders>
              <w:top w:val="single" w:sz="4" w:space="0" w:color="000000"/>
              <w:left w:val="nil"/>
              <w:bottom w:val="nil"/>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五、教育支出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六、其他收入</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六、科学技术支出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341.75</w:t>
            </w: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Arial" w:hAnsi="Arial" w:cs="Arial"/>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七、文化旅游体育与传媒支出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八、社会保障和就业支出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九、卫生健康支出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十、节能环保支出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十一、城乡社区支出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十二、农林水支出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十三、交通运输支出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十四、资源勘探信息等支出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十五、商业服务业等支出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1,926.25</w:t>
            </w: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十六、金融支出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十七、援助其他地区支出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十八、自然资源海洋气象等支出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十九、住房保障支出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二十、粮油物资储备支出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二十一、灾害防治及应急管理支出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二十二、其他支出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二十三、债务还本支出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二十四、债务付息支出</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7281" w:type="dxa"/>
            <w:tcBorders>
              <w:top w:val="nil"/>
              <w:left w:val="single" w:sz="4" w:space="0" w:color="000000"/>
              <w:bottom w:val="nil"/>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本年收入合计</w:t>
            </w:r>
          </w:p>
        </w:tc>
        <w:tc>
          <w:tcPr>
            <w:tcW w:w="108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4,493.64</w:t>
            </w:r>
          </w:p>
        </w:tc>
        <w:tc>
          <w:tcPr>
            <w:tcW w:w="4062" w:type="dxa"/>
            <w:tcBorders>
              <w:top w:val="nil"/>
              <w:left w:val="nil"/>
              <w:bottom w:val="nil"/>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本年支出合计</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b/>
                <w:color w:val="000000"/>
                <w:sz w:val="22"/>
              </w:rPr>
            </w:pPr>
            <w:r>
              <w:rPr>
                <w:rFonts w:ascii="仿宋" w:eastAsia="仿宋" w:hAnsi="仿宋" w:cs="仿宋"/>
                <w:b/>
                <w:color w:val="000000"/>
                <w:kern w:val="0"/>
                <w:sz w:val="22"/>
                <w:lang w:bidi="ar"/>
              </w:rPr>
              <w:t>4,993.64</w:t>
            </w: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用事业基金弥补收支差额</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结余分配</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b/>
                <w:color w:val="000000"/>
                <w:sz w:val="22"/>
              </w:rPr>
            </w:pP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年初结转和结余</w:t>
            </w:r>
          </w:p>
        </w:tc>
        <w:tc>
          <w:tcPr>
            <w:tcW w:w="108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500.00</w:t>
            </w: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年末结转和结余</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b/>
                <w:color w:val="000000"/>
                <w:sz w:val="22"/>
              </w:rPr>
            </w:pPr>
          </w:p>
        </w:tc>
      </w:tr>
      <w:tr w:rsidR="00F51FDF">
        <w:trPr>
          <w:trHeight w:val="420"/>
        </w:trPr>
        <w:tc>
          <w:tcPr>
            <w:tcW w:w="72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合计</w:t>
            </w:r>
          </w:p>
        </w:tc>
        <w:tc>
          <w:tcPr>
            <w:tcW w:w="108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4,993.64</w:t>
            </w:r>
          </w:p>
        </w:tc>
        <w:tc>
          <w:tcPr>
            <w:tcW w:w="4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合计</w:t>
            </w:r>
          </w:p>
        </w:tc>
        <w:tc>
          <w:tcPr>
            <w:tcW w:w="138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b/>
                <w:color w:val="000000"/>
                <w:sz w:val="22"/>
              </w:rPr>
            </w:pPr>
            <w:r>
              <w:rPr>
                <w:rFonts w:ascii="仿宋" w:eastAsia="仿宋" w:hAnsi="仿宋" w:cs="仿宋"/>
                <w:b/>
                <w:color w:val="000000"/>
                <w:kern w:val="0"/>
                <w:sz w:val="22"/>
                <w:lang w:bidi="ar"/>
              </w:rPr>
              <w:t>4,993.64</w:t>
            </w:r>
          </w:p>
        </w:tc>
      </w:tr>
      <w:tr w:rsidR="00F51FDF">
        <w:trPr>
          <w:trHeight w:val="420"/>
        </w:trPr>
        <w:tc>
          <w:tcPr>
            <w:tcW w:w="7281" w:type="dxa"/>
            <w:tcBorders>
              <w:top w:val="nil"/>
              <w:left w:val="nil"/>
              <w:bottom w:val="nil"/>
              <w:right w:val="nil"/>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备注：本表反映部门本年度的总收支和年末结转结余等情况。</w:t>
            </w:r>
          </w:p>
        </w:tc>
        <w:tc>
          <w:tcPr>
            <w:tcW w:w="1082" w:type="dxa"/>
            <w:tcBorders>
              <w:top w:val="nil"/>
              <w:left w:val="nil"/>
              <w:bottom w:val="nil"/>
              <w:right w:val="nil"/>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62" w:type="dxa"/>
            <w:tcBorders>
              <w:top w:val="nil"/>
              <w:left w:val="nil"/>
              <w:bottom w:val="nil"/>
              <w:right w:val="nil"/>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81" w:type="dxa"/>
            <w:tcBorders>
              <w:top w:val="nil"/>
              <w:left w:val="nil"/>
              <w:bottom w:val="nil"/>
              <w:right w:val="nil"/>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bl>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tbl>
      <w:tblPr>
        <w:tblW w:w="0" w:type="auto"/>
        <w:tblLayout w:type="fixed"/>
        <w:tblCellMar>
          <w:left w:w="0" w:type="dxa"/>
          <w:right w:w="0" w:type="dxa"/>
        </w:tblCellMar>
        <w:tblLook w:val="04A0" w:firstRow="1" w:lastRow="0" w:firstColumn="1" w:lastColumn="0" w:noHBand="0" w:noVBand="1"/>
      </w:tblPr>
      <w:tblGrid>
        <w:gridCol w:w="4870"/>
        <w:gridCol w:w="2529"/>
        <w:gridCol w:w="1269"/>
        <w:gridCol w:w="1084"/>
        <w:gridCol w:w="727"/>
        <w:gridCol w:w="635"/>
        <w:gridCol w:w="802"/>
        <w:gridCol w:w="340"/>
        <w:gridCol w:w="340"/>
        <w:gridCol w:w="1210"/>
      </w:tblGrid>
      <w:tr w:rsidR="00F51FDF">
        <w:trPr>
          <w:trHeight w:val="705"/>
        </w:trPr>
        <w:tc>
          <w:tcPr>
            <w:tcW w:w="13806" w:type="dxa"/>
            <w:gridSpan w:val="10"/>
            <w:tcBorders>
              <w:top w:val="nil"/>
              <w:left w:val="nil"/>
              <w:bottom w:val="nil"/>
              <w:right w:val="nil"/>
            </w:tcBorders>
            <w:noWrap/>
            <w:tcMar>
              <w:top w:w="15" w:type="dxa"/>
              <w:left w:w="15" w:type="dxa"/>
              <w:right w:w="15" w:type="dxa"/>
            </w:tcMar>
            <w:vAlign w:val="center"/>
          </w:tcPr>
          <w:p w:rsidR="00F51FDF" w:rsidRDefault="0061641E">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hint="eastAsia"/>
                <w:color w:val="000000"/>
                <w:kern w:val="0"/>
                <w:sz w:val="36"/>
                <w:szCs w:val="36"/>
                <w:lang w:bidi="ar"/>
              </w:rPr>
              <w:t>收入决算表</w:t>
            </w:r>
          </w:p>
        </w:tc>
      </w:tr>
      <w:tr w:rsidR="00F51FDF">
        <w:trPr>
          <w:trHeight w:val="270"/>
        </w:trPr>
        <w:tc>
          <w:tcPr>
            <w:tcW w:w="4870" w:type="dxa"/>
            <w:tcBorders>
              <w:top w:val="nil"/>
              <w:left w:val="nil"/>
              <w:bottom w:val="nil"/>
              <w:right w:val="nil"/>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2529"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1269"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1084"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727"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635"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802"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340"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340"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1210" w:type="dxa"/>
            <w:tcBorders>
              <w:top w:val="nil"/>
              <w:left w:val="nil"/>
              <w:bottom w:val="nil"/>
              <w:right w:val="nil"/>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公开</w:t>
            </w:r>
            <w:r>
              <w:rPr>
                <w:rFonts w:ascii="仿宋" w:eastAsia="仿宋" w:hAnsi="仿宋" w:cs="仿宋"/>
                <w:color w:val="000000"/>
                <w:kern w:val="0"/>
                <w:sz w:val="22"/>
                <w:lang w:bidi="ar"/>
              </w:rPr>
              <w:t>02</w:t>
            </w:r>
            <w:r>
              <w:rPr>
                <w:rFonts w:ascii="仿宋" w:eastAsia="仿宋" w:hAnsi="仿宋" w:cs="仿宋"/>
                <w:color w:val="000000"/>
                <w:kern w:val="0"/>
                <w:sz w:val="22"/>
                <w:lang w:bidi="ar"/>
              </w:rPr>
              <w:t>表</w:t>
            </w:r>
          </w:p>
        </w:tc>
      </w:tr>
      <w:tr w:rsidR="00F51FDF">
        <w:trPr>
          <w:trHeight w:val="285"/>
        </w:trPr>
        <w:tc>
          <w:tcPr>
            <w:tcW w:w="7399" w:type="dxa"/>
            <w:gridSpan w:val="2"/>
            <w:tcBorders>
              <w:top w:val="nil"/>
              <w:left w:val="nil"/>
              <w:bottom w:val="single" w:sz="4" w:space="0" w:color="000000"/>
              <w:right w:val="nil"/>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公开部门：重庆市渝中区经济和信息化委员会</w:t>
            </w:r>
          </w:p>
        </w:tc>
        <w:tc>
          <w:tcPr>
            <w:tcW w:w="1269"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1084"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727" w:type="dxa"/>
            <w:tcBorders>
              <w:top w:val="nil"/>
              <w:left w:val="nil"/>
              <w:bottom w:val="nil"/>
              <w:right w:val="nil"/>
            </w:tcBorders>
            <w:noWrap/>
            <w:tcMar>
              <w:top w:w="15" w:type="dxa"/>
              <w:left w:w="15" w:type="dxa"/>
              <w:right w:w="15" w:type="dxa"/>
            </w:tcMar>
            <w:vAlign w:val="center"/>
          </w:tcPr>
          <w:p w:rsidR="00F51FDF" w:rsidRDefault="00F51FDF">
            <w:pPr>
              <w:jc w:val="center"/>
              <w:rPr>
                <w:rFonts w:ascii="宋体" w:hAnsi="宋体" w:cs="宋体"/>
                <w:color w:val="000000"/>
                <w:sz w:val="24"/>
                <w:szCs w:val="24"/>
              </w:rPr>
            </w:pPr>
          </w:p>
        </w:tc>
        <w:tc>
          <w:tcPr>
            <w:tcW w:w="635"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802"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340"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340"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1210" w:type="dxa"/>
            <w:tcBorders>
              <w:top w:val="nil"/>
              <w:left w:val="nil"/>
              <w:bottom w:val="nil"/>
              <w:right w:val="nil"/>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单位：万元</w:t>
            </w:r>
          </w:p>
        </w:tc>
      </w:tr>
      <w:tr w:rsidR="00F51FDF">
        <w:trPr>
          <w:trHeight w:val="435"/>
        </w:trPr>
        <w:tc>
          <w:tcPr>
            <w:tcW w:w="739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w:t>
            </w:r>
          </w:p>
        </w:tc>
        <w:tc>
          <w:tcPr>
            <w:tcW w:w="12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本年收入合计</w:t>
            </w:r>
          </w:p>
        </w:tc>
        <w:tc>
          <w:tcPr>
            <w:tcW w:w="10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财政拨款收入</w:t>
            </w:r>
          </w:p>
        </w:tc>
        <w:tc>
          <w:tcPr>
            <w:tcW w:w="7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上级补助收入</w:t>
            </w:r>
          </w:p>
        </w:tc>
        <w:tc>
          <w:tcPr>
            <w:tcW w:w="143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事业收入</w:t>
            </w:r>
          </w:p>
        </w:tc>
        <w:tc>
          <w:tcPr>
            <w:tcW w:w="3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经营收入</w:t>
            </w:r>
          </w:p>
        </w:tc>
        <w:tc>
          <w:tcPr>
            <w:tcW w:w="3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附属单位上缴收入</w:t>
            </w:r>
          </w:p>
        </w:tc>
        <w:tc>
          <w:tcPr>
            <w:tcW w:w="12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其他收入</w:t>
            </w:r>
          </w:p>
        </w:tc>
      </w:tr>
      <w:tr w:rsidR="00F51FDF">
        <w:trPr>
          <w:trHeight w:val="345"/>
        </w:trPr>
        <w:tc>
          <w:tcPr>
            <w:tcW w:w="4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功能分类科目编码</w:t>
            </w:r>
          </w:p>
        </w:tc>
        <w:tc>
          <w:tcPr>
            <w:tcW w:w="25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w:t>
            </w:r>
            <w:r>
              <w:rPr>
                <w:rFonts w:ascii="黑体" w:eastAsia="黑体" w:hAnsi="宋体" w:cs="黑体" w:hint="eastAsia"/>
                <w:color w:val="000000"/>
                <w:kern w:val="0"/>
                <w:sz w:val="22"/>
                <w:lang w:bidi="ar"/>
              </w:rPr>
              <w:t>(</w:t>
            </w:r>
            <w:r>
              <w:rPr>
                <w:rFonts w:ascii="黑体" w:eastAsia="黑体" w:hAnsi="宋体" w:cs="黑体" w:hint="eastAsia"/>
                <w:color w:val="000000"/>
                <w:kern w:val="0"/>
                <w:sz w:val="22"/>
                <w:lang w:bidi="ar"/>
              </w:rPr>
              <w:t>按“项”级功能分类科目</w:t>
            </w:r>
            <w:r>
              <w:rPr>
                <w:rFonts w:ascii="黑体" w:eastAsia="黑体" w:hAnsi="宋体" w:cs="黑体" w:hint="eastAsia"/>
                <w:color w:val="000000"/>
                <w:kern w:val="0"/>
                <w:sz w:val="22"/>
                <w:lang w:bidi="ar"/>
              </w:rPr>
              <w:t>)</w:t>
            </w:r>
          </w:p>
        </w:tc>
        <w:tc>
          <w:tcPr>
            <w:tcW w:w="12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0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7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43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3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2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r>
      <w:tr w:rsidR="00F51FDF">
        <w:trPr>
          <w:trHeight w:val="420"/>
        </w:trPr>
        <w:tc>
          <w:tcPr>
            <w:tcW w:w="4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25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7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小计</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8DB4E2"/>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其中：教育收费</w:t>
            </w:r>
          </w:p>
        </w:tc>
        <w:tc>
          <w:tcPr>
            <w:tcW w:w="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r>
      <w:tr w:rsidR="00F51FDF">
        <w:trPr>
          <w:trHeight w:val="420"/>
        </w:trPr>
        <w:tc>
          <w:tcPr>
            <w:tcW w:w="4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25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7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6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8DB4E2"/>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r>
      <w:tr w:rsidR="00F51FDF">
        <w:trPr>
          <w:trHeight w:val="420"/>
        </w:trPr>
        <w:tc>
          <w:tcPr>
            <w:tcW w:w="739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合计</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4,493.64</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4,493.64</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201</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一般公共服务支出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401.73</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401.73</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20104</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发展与改革事务</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398.41</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398.41</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lastRenderedPageBreak/>
              <w:t>2010401</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行政运行</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209.76</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209.76</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2010402</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一般行政管理事务</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69.49</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69.49</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2010450</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事业运行</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19.16</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19.16</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20132</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组织事务</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3.32</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3.32</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2013202</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一般行政管理事务</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3.32</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3.32</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206</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科学技术支出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341.75</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341.75</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20603</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应用研究</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180.00</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180.00</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2060399</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其他应用研究支出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180.00</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180.00</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20699</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其他科学技术支出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161.75</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161.75</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2069999</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其他科学技术支出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161.75</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161.75</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社会保障和就业支出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20805</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行政事业单位离退休</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2080501</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归口管理的行政单位离退休</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91.47</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91.47</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2080505</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机关事业单位基本养老保险缴费支出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26.16</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26.16</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2080506</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机关事业单位职业年金缴费支出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10.47</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10.47</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210</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卫生健康支出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21011</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行政事业单位医疗</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2101101</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行政单位医疗</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19.35</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19.35</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lastRenderedPageBreak/>
              <w:t>2101102</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事业单位医疗</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1.34</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1.34</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212</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城乡社区支出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21299</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其他城乡社区支出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2129901</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其他城乡社区支出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215</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资源勘探信息等支出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21508</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支持中小企业发展和管理支出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2150805</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中小企业发展专项</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1,016.03</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1,016.03</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2150899</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其他支持中小企业发展和管理支出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850.60</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850.60</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216</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商业服务业等支出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1,426.25</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1,426.25</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21699</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其他商业服务业等支出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1,426.25</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1,426.25</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2169999</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其他商业服务业等支出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1,426.25</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1,426.25</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217</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金融支出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21703</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金融发展支出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2170302</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利息费用补贴支出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221</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住房保障支出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22102</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住房改革支出</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2210201</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住房公积金</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15.70</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15.70</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2210203</w:t>
            </w:r>
          </w:p>
        </w:tc>
        <w:tc>
          <w:tcPr>
            <w:tcW w:w="25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购房补贴</w:t>
            </w:r>
          </w:p>
        </w:tc>
        <w:tc>
          <w:tcPr>
            <w:tcW w:w="126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5.29</w:t>
            </w:r>
          </w:p>
        </w:tc>
        <w:tc>
          <w:tcPr>
            <w:tcW w:w="108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5.29</w:t>
            </w:r>
          </w:p>
        </w:tc>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8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4870" w:type="dxa"/>
            <w:tcBorders>
              <w:top w:val="nil"/>
              <w:left w:val="nil"/>
              <w:bottom w:val="nil"/>
              <w:right w:val="nil"/>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lastRenderedPageBreak/>
              <w:t>备注：本表反映部门本年度取得的各项收入情况。</w:t>
            </w:r>
          </w:p>
        </w:tc>
        <w:tc>
          <w:tcPr>
            <w:tcW w:w="2529"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1269" w:type="dxa"/>
            <w:tcBorders>
              <w:top w:val="nil"/>
              <w:left w:val="nil"/>
              <w:bottom w:val="nil"/>
              <w:right w:val="nil"/>
            </w:tcBorders>
            <w:noWrap/>
            <w:tcMar>
              <w:top w:w="15" w:type="dxa"/>
              <w:left w:w="15" w:type="dxa"/>
              <w:right w:w="15" w:type="dxa"/>
            </w:tcMar>
            <w:vAlign w:val="bottom"/>
          </w:tcPr>
          <w:p w:rsidR="00F51FDF" w:rsidRDefault="00F51FDF">
            <w:pPr>
              <w:jc w:val="right"/>
              <w:rPr>
                <w:rFonts w:ascii="宋体" w:hAnsi="宋体" w:cs="宋体"/>
                <w:color w:val="000000"/>
                <w:sz w:val="18"/>
                <w:szCs w:val="18"/>
              </w:rPr>
            </w:pPr>
          </w:p>
        </w:tc>
        <w:tc>
          <w:tcPr>
            <w:tcW w:w="1084" w:type="dxa"/>
            <w:tcBorders>
              <w:top w:val="nil"/>
              <w:left w:val="nil"/>
              <w:bottom w:val="nil"/>
              <w:right w:val="nil"/>
            </w:tcBorders>
            <w:noWrap/>
            <w:tcMar>
              <w:top w:w="15" w:type="dxa"/>
              <w:left w:w="15" w:type="dxa"/>
              <w:right w:w="15" w:type="dxa"/>
            </w:tcMar>
            <w:vAlign w:val="bottom"/>
          </w:tcPr>
          <w:p w:rsidR="00F51FDF" w:rsidRDefault="00F51FDF">
            <w:pPr>
              <w:jc w:val="right"/>
              <w:rPr>
                <w:rFonts w:ascii="宋体" w:hAnsi="宋体" w:cs="宋体"/>
                <w:color w:val="000000"/>
                <w:sz w:val="18"/>
                <w:szCs w:val="18"/>
              </w:rPr>
            </w:pPr>
          </w:p>
        </w:tc>
        <w:tc>
          <w:tcPr>
            <w:tcW w:w="727" w:type="dxa"/>
            <w:tcBorders>
              <w:top w:val="nil"/>
              <w:left w:val="nil"/>
              <w:bottom w:val="nil"/>
              <w:right w:val="nil"/>
            </w:tcBorders>
            <w:noWrap/>
            <w:tcMar>
              <w:top w:w="15" w:type="dxa"/>
              <w:left w:w="15" w:type="dxa"/>
              <w:right w:w="15" w:type="dxa"/>
            </w:tcMar>
            <w:vAlign w:val="bottom"/>
          </w:tcPr>
          <w:p w:rsidR="00F51FDF" w:rsidRDefault="00F51FDF">
            <w:pPr>
              <w:jc w:val="right"/>
              <w:rPr>
                <w:rFonts w:ascii="宋体" w:hAnsi="宋体" w:cs="宋体"/>
                <w:color w:val="000000"/>
                <w:sz w:val="18"/>
                <w:szCs w:val="18"/>
              </w:rPr>
            </w:pPr>
          </w:p>
        </w:tc>
        <w:tc>
          <w:tcPr>
            <w:tcW w:w="635" w:type="dxa"/>
            <w:tcBorders>
              <w:top w:val="nil"/>
              <w:left w:val="nil"/>
              <w:bottom w:val="nil"/>
              <w:right w:val="nil"/>
            </w:tcBorders>
            <w:noWrap/>
            <w:tcMar>
              <w:top w:w="15" w:type="dxa"/>
              <w:left w:w="15" w:type="dxa"/>
              <w:right w:w="15" w:type="dxa"/>
            </w:tcMar>
            <w:vAlign w:val="bottom"/>
          </w:tcPr>
          <w:p w:rsidR="00F51FDF" w:rsidRDefault="00F51FDF">
            <w:pPr>
              <w:jc w:val="right"/>
              <w:rPr>
                <w:rFonts w:ascii="宋体" w:hAnsi="宋体" w:cs="宋体"/>
                <w:color w:val="000000"/>
                <w:sz w:val="18"/>
                <w:szCs w:val="18"/>
              </w:rPr>
            </w:pPr>
          </w:p>
        </w:tc>
        <w:tc>
          <w:tcPr>
            <w:tcW w:w="802" w:type="dxa"/>
            <w:tcBorders>
              <w:top w:val="nil"/>
              <w:left w:val="nil"/>
              <w:bottom w:val="nil"/>
              <w:right w:val="nil"/>
            </w:tcBorders>
            <w:noWrap/>
            <w:tcMar>
              <w:top w:w="15" w:type="dxa"/>
              <w:left w:w="15" w:type="dxa"/>
              <w:right w:w="15" w:type="dxa"/>
            </w:tcMar>
            <w:vAlign w:val="bottom"/>
          </w:tcPr>
          <w:p w:rsidR="00F51FDF" w:rsidRDefault="00F51FDF">
            <w:pPr>
              <w:jc w:val="right"/>
              <w:rPr>
                <w:rFonts w:ascii="宋体" w:hAnsi="宋体" w:cs="宋体"/>
                <w:color w:val="000000"/>
                <w:sz w:val="18"/>
                <w:szCs w:val="18"/>
              </w:rPr>
            </w:pPr>
          </w:p>
        </w:tc>
        <w:tc>
          <w:tcPr>
            <w:tcW w:w="340" w:type="dxa"/>
            <w:tcBorders>
              <w:top w:val="nil"/>
              <w:left w:val="nil"/>
              <w:bottom w:val="nil"/>
              <w:right w:val="nil"/>
            </w:tcBorders>
            <w:noWrap/>
            <w:tcMar>
              <w:top w:w="15" w:type="dxa"/>
              <w:left w:w="15" w:type="dxa"/>
              <w:right w:w="15" w:type="dxa"/>
            </w:tcMar>
            <w:vAlign w:val="bottom"/>
          </w:tcPr>
          <w:p w:rsidR="00F51FDF" w:rsidRDefault="00F51FDF">
            <w:pPr>
              <w:jc w:val="right"/>
              <w:rPr>
                <w:rFonts w:ascii="宋体" w:hAnsi="宋体" w:cs="宋体"/>
                <w:color w:val="000000"/>
                <w:sz w:val="18"/>
                <w:szCs w:val="18"/>
              </w:rPr>
            </w:pPr>
          </w:p>
        </w:tc>
        <w:tc>
          <w:tcPr>
            <w:tcW w:w="340" w:type="dxa"/>
            <w:tcBorders>
              <w:top w:val="nil"/>
              <w:left w:val="nil"/>
              <w:bottom w:val="nil"/>
              <w:right w:val="nil"/>
            </w:tcBorders>
            <w:noWrap/>
            <w:tcMar>
              <w:top w:w="15" w:type="dxa"/>
              <w:left w:w="15" w:type="dxa"/>
              <w:right w:w="15" w:type="dxa"/>
            </w:tcMar>
            <w:vAlign w:val="bottom"/>
          </w:tcPr>
          <w:p w:rsidR="00F51FDF" w:rsidRDefault="00F51FDF">
            <w:pPr>
              <w:jc w:val="right"/>
              <w:rPr>
                <w:rFonts w:ascii="宋体" w:hAnsi="宋体" w:cs="宋体"/>
                <w:color w:val="000000"/>
                <w:sz w:val="18"/>
                <w:szCs w:val="18"/>
              </w:rPr>
            </w:pPr>
          </w:p>
        </w:tc>
        <w:tc>
          <w:tcPr>
            <w:tcW w:w="1210" w:type="dxa"/>
            <w:tcBorders>
              <w:top w:val="nil"/>
              <w:left w:val="nil"/>
              <w:bottom w:val="nil"/>
              <w:right w:val="nil"/>
            </w:tcBorders>
            <w:noWrap/>
            <w:tcMar>
              <w:top w:w="15" w:type="dxa"/>
              <w:left w:w="15" w:type="dxa"/>
              <w:right w:w="15" w:type="dxa"/>
            </w:tcMar>
            <w:vAlign w:val="bottom"/>
          </w:tcPr>
          <w:p w:rsidR="00F51FDF" w:rsidRDefault="00F51FDF">
            <w:pPr>
              <w:jc w:val="right"/>
              <w:rPr>
                <w:rFonts w:ascii="宋体" w:hAnsi="宋体" w:cs="宋体"/>
                <w:color w:val="000000"/>
                <w:sz w:val="18"/>
                <w:szCs w:val="18"/>
              </w:rPr>
            </w:pPr>
          </w:p>
        </w:tc>
      </w:tr>
    </w:tbl>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tbl>
      <w:tblPr>
        <w:tblW w:w="0" w:type="auto"/>
        <w:tblLayout w:type="fixed"/>
        <w:tblCellMar>
          <w:left w:w="0" w:type="dxa"/>
          <w:right w:w="0" w:type="dxa"/>
        </w:tblCellMar>
        <w:tblLook w:val="04A0" w:firstRow="1" w:lastRow="0" w:firstColumn="1" w:lastColumn="0" w:noHBand="0" w:noVBand="1"/>
      </w:tblPr>
      <w:tblGrid>
        <w:gridCol w:w="4525"/>
        <w:gridCol w:w="4050"/>
        <w:gridCol w:w="1107"/>
        <w:gridCol w:w="892"/>
        <w:gridCol w:w="1102"/>
        <w:gridCol w:w="362"/>
        <w:gridCol w:w="376"/>
        <w:gridCol w:w="1392"/>
      </w:tblGrid>
      <w:tr w:rsidR="00F51FDF">
        <w:trPr>
          <w:trHeight w:val="705"/>
        </w:trPr>
        <w:tc>
          <w:tcPr>
            <w:tcW w:w="13806" w:type="dxa"/>
            <w:gridSpan w:val="8"/>
            <w:tcBorders>
              <w:top w:val="nil"/>
              <w:left w:val="nil"/>
              <w:bottom w:val="nil"/>
              <w:right w:val="nil"/>
            </w:tcBorders>
            <w:noWrap/>
            <w:tcMar>
              <w:top w:w="15" w:type="dxa"/>
              <w:left w:w="15" w:type="dxa"/>
              <w:right w:w="15" w:type="dxa"/>
            </w:tcMar>
            <w:vAlign w:val="center"/>
          </w:tcPr>
          <w:p w:rsidR="00F51FDF" w:rsidRDefault="0061641E">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hint="eastAsia"/>
                <w:color w:val="000000"/>
                <w:kern w:val="0"/>
                <w:sz w:val="36"/>
                <w:szCs w:val="36"/>
                <w:lang w:bidi="ar"/>
              </w:rPr>
              <w:t>支出决算表</w:t>
            </w:r>
          </w:p>
        </w:tc>
      </w:tr>
      <w:tr w:rsidR="00F51FDF">
        <w:trPr>
          <w:trHeight w:val="270"/>
        </w:trPr>
        <w:tc>
          <w:tcPr>
            <w:tcW w:w="4525" w:type="dxa"/>
            <w:tcBorders>
              <w:top w:val="nil"/>
              <w:left w:val="nil"/>
              <w:bottom w:val="nil"/>
              <w:right w:val="nil"/>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4050"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1107"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892"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1102"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362"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376"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1392" w:type="dxa"/>
            <w:tcBorders>
              <w:top w:val="nil"/>
              <w:left w:val="nil"/>
              <w:bottom w:val="nil"/>
              <w:right w:val="nil"/>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公开</w:t>
            </w:r>
            <w:r>
              <w:rPr>
                <w:rFonts w:ascii="仿宋" w:eastAsia="仿宋" w:hAnsi="仿宋" w:cs="仿宋"/>
                <w:color w:val="000000"/>
                <w:kern w:val="0"/>
                <w:sz w:val="22"/>
                <w:lang w:bidi="ar"/>
              </w:rPr>
              <w:t>03</w:t>
            </w:r>
            <w:r>
              <w:rPr>
                <w:rFonts w:ascii="仿宋" w:eastAsia="仿宋" w:hAnsi="仿宋" w:cs="仿宋"/>
                <w:color w:val="000000"/>
                <w:kern w:val="0"/>
                <w:sz w:val="22"/>
                <w:lang w:bidi="ar"/>
              </w:rPr>
              <w:t>表</w:t>
            </w:r>
          </w:p>
        </w:tc>
      </w:tr>
      <w:tr w:rsidR="00F51FDF">
        <w:trPr>
          <w:trHeight w:val="285"/>
        </w:trPr>
        <w:tc>
          <w:tcPr>
            <w:tcW w:w="8575" w:type="dxa"/>
            <w:gridSpan w:val="2"/>
            <w:tcBorders>
              <w:top w:val="nil"/>
              <w:left w:val="nil"/>
              <w:bottom w:val="single" w:sz="4" w:space="0" w:color="000000"/>
              <w:right w:val="nil"/>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公开部门：重庆市渝中区经济和信息化委员会</w:t>
            </w:r>
          </w:p>
        </w:tc>
        <w:tc>
          <w:tcPr>
            <w:tcW w:w="1107"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892"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1102" w:type="dxa"/>
            <w:tcBorders>
              <w:top w:val="nil"/>
              <w:left w:val="nil"/>
              <w:bottom w:val="nil"/>
              <w:right w:val="nil"/>
            </w:tcBorders>
            <w:noWrap/>
            <w:tcMar>
              <w:top w:w="15" w:type="dxa"/>
              <w:left w:w="15" w:type="dxa"/>
              <w:right w:w="15" w:type="dxa"/>
            </w:tcMar>
            <w:vAlign w:val="center"/>
          </w:tcPr>
          <w:p w:rsidR="00F51FDF" w:rsidRDefault="00F51FDF">
            <w:pPr>
              <w:jc w:val="center"/>
              <w:rPr>
                <w:rFonts w:ascii="宋体" w:hAnsi="宋体" w:cs="宋体"/>
                <w:color w:val="000000"/>
                <w:sz w:val="24"/>
                <w:szCs w:val="24"/>
              </w:rPr>
            </w:pPr>
          </w:p>
        </w:tc>
        <w:tc>
          <w:tcPr>
            <w:tcW w:w="362"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376"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1392" w:type="dxa"/>
            <w:tcBorders>
              <w:top w:val="nil"/>
              <w:left w:val="nil"/>
              <w:bottom w:val="nil"/>
              <w:right w:val="nil"/>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单位：万元</w:t>
            </w:r>
          </w:p>
        </w:tc>
      </w:tr>
      <w:tr w:rsidR="00F51FDF">
        <w:trPr>
          <w:trHeight w:val="435"/>
        </w:trPr>
        <w:tc>
          <w:tcPr>
            <w:tcW w:w="85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w:t>
            </w:r>
          </w:p>
        </w:tc>
        <w:tc>
          <w:tcPr>
            <w:tcW w:w="110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本年支出合计</w:t>
            </w:r>
          </w:p>
        </w:tc>
        <w:tc>
          <w:tcPr>
            <w:tcW w:w="8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基本支出</w:t>
            </w:r>
          </w:p>
        </w:tc>
        <w:tc>
          <w:tcPr>
            <w:tcW w:w="11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项目支出</w:t>
            </w:r>
          </w:p>
        </w:tc>
        <w:tc>
          <w:tcPr>
            <w:tcW w:w="3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上缴上级支出</w:t>
            </w:r>
          </w:p>
        </w:tc>
        <w:tc>
          <w:tcPr>
            <w:tcW w:w="3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经营支出</w:t>
            </w:r>
          </w:p>
        </w:tc>
        <w:tc>
          <w:tcPr>
            <w:tcW w:w="13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对附属单位补助支出</w:t>
            </w:r>
          </w:p>
        </w:tc>
      </w:tr>
      <w:tr w:rsidR="00F51FDF">
        <w:trPr>
          <w:trHeight w:val="345"/>
        </w:trPr>
        <w:tc>
          <w:tcPr>
            <w:tcW w:w="4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功能分类科目编码</w:t>
            </w:r>
          </w:p>
        </w:tc>
        <w:tc>
          <w:tcPr>
            <w:tcW w:w="4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w:t>
            </w:r>
            <w:r>
              <w:rPr>
                <w:rFonts w:ascii="黑体" w:eastAsia="黑体" w:hAnsi="宋体" w:cs="黑体" w:hint="eastAsia"/>
                <w:color w:val="000000"/>
                <w:kern w:val="0"/>
                <w:sz w:val="22"/>
                <w:lang w:bidi="ar"/>
              </w:rPr>
              <w:t>(</w:t>
            </w:r>
            <w:r>
              <w:rPr>
                <w:rFonts w:ascii="黑体" w:eastAsia="黑体" w:hAnsi="宋体" w:cs="黑体" w:hint="eastAsia"/>
                <w:color w:val="000000"/>
                <w:kern w:val="0"/>
                <w:sz w:val="22"/>
                <w:lang w:bidi="ar"/>
              </w:rPr>
              <w:t>按“项”级功能分类科目</w:t>
            </w:r>
            <w:r>
              <w:rPr>
                <w:rFonts w:ascii="黑体" w:eastAsia="黑体" w:hAnsi="宋体" w:cs="黑体" w:hint="eastAsia"/>
                <w:color w:val="000000"/>
                <w:kern w:val="0"/>
                <w:sz w:val="22"/>
                <w:lang w:bidi="ar"/>
              </w:rPr>
              <w:t>)</w:t>
            </w:r>
          </w:p>
        </w:tc>
        <w:tc>
          <w:tcPr>
            <w:tcW w:w="110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8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1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3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3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3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r>
      <w:tr w:rsidR="00F51FDF">
        <w:trPr>
          <w:trHeight w:val="420"/>
        </w:trPr>
        <w:tc>
          <w:tcPr>
            <w:tcW w:w="4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4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10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8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1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3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3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3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r>
      <w:tr w:rsidR="00F51FDF">
        <w:trPr>
          <w:trHeight w:val="420"/>
        </w:trPr>
        <w:tc>
          <w:tcPr>
            <w:tcW w:w="4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4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10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8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1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3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3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3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r>
      <w:tr w:rsidR="00F51FDF">
        <w:trPr>
          <w:trHeight w:val="420"/>
        </w:trPr>
        <w:tc>
          <w:tcPr>
            <w:tcW w:w="85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合计</w:t>
            </w:r>
          </w:p>
        </w:tc>
        <w:tc>
          <w:tcPr>
            <w:tcW w:w="1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4,993.64</w:t>
            </w:r>
          </w:p>
        </w:tc>
        <w:tc>
          <w:tcPr>
            <w:tcW w:w="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498.70</w:t>
            </w:r>
          </w:p>
        </w:tc>
        <w:tc>
          <w:tcPr>
            <w:tcW w:w="11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4,494.94</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201</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一般公共服务支出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401.73</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328.92</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72.81</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20104</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发展与改革事务</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398.41</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328.92</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69.49</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lastRenderedPageBreak/>
              <w:t>2010401</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行政运行</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309.76</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309.76</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2010402</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一般行政管理事务</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69.49</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69.49</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2010450</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事业运行</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19.16</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19.16</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20132</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组织事务</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3.32</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3.32</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2013202</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一般行政管理事务</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3.32</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3.32</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206</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科学技术支出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341.75</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341.75</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20603</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应用研究</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180.00</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180.00</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2060399</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其他应用研究支出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180.00</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180.00</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20699</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其他科学技术支出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161.75</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161.75</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2069999</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其他科学技术支出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161.75</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161.75</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社会保障和就业支出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20805</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行政事业单位离退休</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2080501</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归口管理的行政单位离退休</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91.47</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91.47</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2080505</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机关事业单位基本养老保险缴费支出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26.16</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26.16</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2080506</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机关事业单位职业年金缴费支出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10.47</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10.47</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210</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卫生健康支出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21011</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行政事业单位医疗</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2101101</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行政单位医疗</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19.35</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19.35</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2101102</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事业单位医疗</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1.34</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1.34</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lastRenderedPageBreak/>
              <w:t>212</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城乡社区支出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21299</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其他城乡社区支出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2129901</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其他城乡社区支出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215</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资源勘探信息等支出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21508</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支持中小企业发展和管理支出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2150805</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中小企业发展专项</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1,016.03</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1,016.03</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2150899</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其他支持中小企业发展和管理支出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850.60</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850.60</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216</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商业服务业等支出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1,926.25</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1,926.25</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21699</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其他商业服务业等支出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1,926.25</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1,926.25</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2169999</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其他商业服务业等支出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1,926.25</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1,926.25</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217</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金融支出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21703</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金融发展支出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2170302</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利息费用补贴支出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221</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住房保障支出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22102</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住房改革支出</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2210201</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住房公积金</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15.70</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15.70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2210203</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购房补贴</w:t>
            </w:r>
          </w:p>
        </w:tc>
        <w:tc>
          <w:tcPr>
            <w:tcW w:w="110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5.29</w:t>
            </w:r>
          </w:p>
        </w:tc>
        <w:tc>
          <w:tcPr>
            <w:tcW w:w="89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5.29</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3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4525" w:type="dxa"/>
            <w:tcBorders>
              <w:top w:val="nil"/>
              <w:left w:val="nil"/>
              <w:bottom w:val="nil"/>
              <w:right w:val="nil"/>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备注：本表反映部门本年度各项支出情况。</w:t>
            </w:r>
          </w:p>
        </w:tc>
        <w:tc>
          <w:tcPr>
            <w:tcW w:w="4050"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1107"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892"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1102"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362"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376"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c>
          <w:tcPr>
            <w:tcW w:w="1392"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18"/>
                <w:szCs w:val="18"/>
              </w:rPr>
            </w:pPr>
          </w:p>
        </w:tc>
      </w:tr>
    </w:tbl>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tbl>
      <w:tblPr>
        <w:tblW w:w="0" w:type="auto"/>
        <w:tblLayout w:type="fixed"/>
        <w:tblCellMar>
          <w:left w:w="0" w:type="dxa"/>
          <w:right w:w="0" w:type="dxa"/>
        </w:tblCellMar>
        <w:tblLook w:val="04A0" w:firstRow="1" w:lastRow="0" w:firstColumn="1" w:lastColumn="0" w:noHBand="0" w:noVBand="1"/>
      </w:tblPr>
      <w:tblGrid>
        <w:gridCol w:w="3772"/>
        <w:gridCol w:w="1571"/>
        <w:gridCol w:w="4078"/>
        <w:gridCol w:w="1085"/>
        <w:gridCol w:w="1571"/>
        <w:gridCol w:w="1729"/>
      </w:tblGrid>
      <w:tr w:rsidR="00F51FDF">
        <w:trPr>
          <w:trHeight w:val="705"/>
        </w:trPr>
        <w:tc>
          <w:tcPr>
            <w:tcW w:w="13806" w:type="dxa"/>
            <w:gridSpan w:val="6"/>
            <w:tcBorders>
              <w:top w:val="nil"/>
              <w:left w:val="nil"/>
              <w:bottom w:val="nil"/>
              <w:right w:val="nil"/>
            </w:tcBorders>
            <w:noWrap/>
            <w:tcMar>
              <w:top w:w="15" w:type="dxa"/>
              <w:left w:w="15" w:type="dxa"/>
              <w:right w:w="15" w:type="dxa"/>
            </w:tcMar>
            <w:vAlign w:val="center"/>
          </w:tcPr>
          <w:p w:rsidR="00F51FDF" w:rsidRDefault="0061641E">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hint="eastAsia"/>
                <w:color w:val="000000"/>
                <w:kern w:val="0"/>
                <w:sz w:val="36"/>
                <w:szCs w:val="36"/>
                <w:lang w:bidi="ar"/>
              </w:rPr>
              <w:t>财政拨款收入支出决算总表</w:t>
            </w:r>
          </w:p>
        </w:tc>
      </w:tr>
      <w:tr w:rsidR="00F51FDF">
        <w:trPr>
          <w:trHeight w:val="285"/>
        </w:trPr>
        <w:tc>
          <w:tcPr>
            <w:tcW w:w="3772" w:type="dxa"/>
            <w:tcBorders>
              <w:top w:val="nil"/>
              <w:left w:val="nil"/>
              <w:bottom w:val="nil"/>
              <w:right w:val="nil"/>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4078"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1085"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1571"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1729" w:type="dxa"/>
            <w:tcBorders>
              <w:top w:val="nil"/>
              <w:left w:val="nil"/>
              <w:bottom w:val="nil"/>
              <w:right w:val="nil"/>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公开</w:t>
            </w:r>
            <w:r>
              <w:rPr>
                <w:rFonts w:ascii="仿宋" w:eastAsia="仿宋" w:hAnsi="仿宋" w:cs="仿宋"/>
                <w:color w:val="000000"/>
                <w:kern w:val="0"/>
                <w:sz w:val="22"/>
                <w:lang w:bidi="ar"/>
              </w:rPr>
              <w:t>04</w:t>
            </w:r>
            <w:r>
              <w:rPr>
                <w:rFonts w:ascii="仿宋" w:eastAsia="仿宋" w:hAnsi="仿宋" w:cs="仿宋"/>
                <w:color w:val="000000"/>
                <w:kern w:val="0"/>
                <w:sz w:val="22"/>
                <w:lang w:bidi="ar"/>
              </w:rPr>
              <w:t>表</w:t>
            </w:r>
          </w:p>
        </w:tc>
      </w:tr>
      <w:tr w:rsidR="00F51FDF">
        <w:trPr>
          <w:trHeight w:val="285"/>
        </w:trPr>
        <w:tc>
          <w:tcPr>
            <w:tcW w:w="5343" w:type="dxa"/>
            <w:gridSpan w:val="2"/>
            <w:tcBorders>
              <w:top w:val="nil"/>
              <w:left w:val="nil"/>
              <w:bottom w:val="single" w:sz="4" w:space="0" w:color="000000"/>
              <w:right w:val="nil"/>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公开部门：重庆市渝中区经济和信息化委员会</w:t>
            </w:r>
          </w:p>
        </w:tc>
        <w:tc>
          <w:tcPr>
            <w:tcW w:w="4078"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1085" w:type="dxa"/>
            <w:tcBorders>
              <w:top w:val="nil"/>
              <w:left w:val="nil"/>
              <w:bottom w:val="nil"/>
              <w:right w:val="nil"/>
            </w:tcBorders>
            <w:noWrap/>
            <w:tcMar>
              <w:top w:w="15" w:type="dxa"/>
              <w:left w:w="15" w:type="dxa"/>
              <w:right w:w="15" w:type="dxa"/>
            </w:tcMar>
            <w:vAlign w:val="bottom"/>
          </w:tcPr>
          <w:p w:rsidR="00F51FDF" w:rsidRDefault="00F51FDF">
            <w:pPr>
              <w:jc w:val="center"/>
              <w:rPr>
                <w:rFonts w:ascii="宋体" w:hAnsi="宋体" w:cs="宋体"/>
                <w:color w:val="000000"/>
                <w:sz w:val="24"/>
                <w:szCs w:val="24"/>
              </w:rPr>
            </w:pPr>
          </w:p>
        </w:tc>
        <w:tc>
          <w:tcPr>
            <w:tcW w:w="1571"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1729" w:type="dxa"/>
            <w:tcBorders>
              <w:top w:val="nil"/>
              <w:left w:val="nil"/>
              <w:bottom w:val="nil"/>
              <w:right w:val="nil"/>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单位：万元</w:t>
            </w:r>
          </w:p>
        </w:tc>
      </w:tr>
      <w:tr w:rsidR="00F51FDF">
        <w:trPr>
          <w:trHeight w:val="375"/>
        </w:trPr>
        <w:tc>
          <w:tcPr>
            <w:tcW w:w="534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收入</w:t>
            </w:r>
          </w:p>
        </w:tc>
        <w:tc>
          <w:tcPr>
            <w:tcW w:w="8463"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支出</w:t>
            </w:r>
          </w:p>
        </w:tc>
      </w:tr>
      <w:tr w:rsidR="00F51FDF">
        <w:trPr>
          <w:trHeight w:val="375"/>
        </w:trPr>
        <w:tc>
          <w:tcPr>
            <w:tcW w:w="37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w:t>
            </w:r>
          </w:p>
        </w:tc>
        <w:tc>
          <w:tcPr>
            <w:tcW w:w="15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决算数</w:t>
            </w:r>
          </w:p>
        </w:tc>
        <w:tc>
          <w:tcPr>
            <w:tcW w:w="407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功能分类科目</w:t>
            </w:r>
          </w:p>
        </w:tc>
        <w:tc>
          <w:tcPr>
            <w:tcW w:w="438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决算数</w:t>
            </w:r>
          </w:p>
        </w:tc>
      </w:tr>
      <w:tr w:rsidR="00F51FDF">
        <w:trPr>
          <w:trHeight w:val="630"/>
        </w:trPr>
        <w:tc>
          <w:tcPr>
            <w:tcW w:w="37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5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4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0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小计</w:t>
            </w:r>
          </w:p>
        </w:tc>
        <w:tc>
          <w:tcPr>
            <w:tcW w:w="1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一般公共预算财政拨款</w:t>
            </w:r>
          </w:p>
        </w:tc>
        <w:tc>
          <w:tcPr>
            <w:tcW w:w="1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政府性基金预算财政拨款</w:t>
            </w: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一、一般公共预算财政拨款</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4,493.64</w:t>
            </w: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一、一般公共服务支出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401.73</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401.73</w:t>
            </w: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二、政府性基金预算财政拨款</w:t>
            </w: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二、外交支出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三、国防支出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四、公共安全支出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五、教育支出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六、科学技术支出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341.75</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341.75</w:t>
            </w: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七、文化旅游体育与传媒支出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八、社会保障和就业支出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九、卫生健康支出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十、节能环保支出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十一、城乡社区支出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十二、农林水支出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十三、交通运输支出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十四、资源勘探信息等支出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十五、商业服务业等支出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1,926.25</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1,926.25</w:t>
            </w: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十六、金融支出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十七、援助其他地区支出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十八、自然资源海洋气象等支出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十九、住房保障支出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二十、粮油物资储备支出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二十一、灾害防治及应急管理支出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二十二、其他支出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二十三、债务还本支出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二十四、债务付息支出</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本年收入合计</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4,493.64</w:t>
            </w: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本年支出合计</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4,993.64</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4,993.64</w:t>
            </w: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年初财政拨款结转和结余</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500.00</w:t>
            </w: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年末财政拨款结转和结余</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一、一般公共预算财政拨款</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500.00</w:t>
            </w: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二、政府性基金预算财政拨款</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3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总计</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4,993.64</w:t>
            </w:r>
          </w:p>
        </w:tc>
        <w:tc>
          <w:tcPr>
            <w:tcW w:w="4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总计</w:t>
            </w:r>
          </w:p>
        </w:tc>
        <w:tc>
          <w:tcPr>
            <w:tcW w:w="108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4,993.64</w:t>
            </w:r>
          </w:p>
        </w:tc>
        <w:tc>
          <w:tcPr>
            <w:tcW w:w="157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4,993.64</w:t>
            </w:r>
          </w:p>
        </w:tc>
        <w:tc>
          <w:tcPr>
            <w:tcW w:w="1729"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540"/>
        </w:trPr>
        <w:tc>
          <w:tcPr>
            <w:tcW w:w="13806" w:type="dxa"/>
            <w:gridSpan w:val="6"/>
            <w:tcBorders>
              <w:top w:val="nil"/>
              <w:left w:val="nil"/>
              <w:bottom w:val="nil"/>
              <w:right w:val="nil"/>
            </w:tcBorders>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备注：本表反映部门本年度一般公共预算财政拨款和政府性基金财政拨款的总收支和年末结转结余情况。</w:t>
            </w:r>
          </w:p>
        </w:tc>
      </w:tr>
    </w:tbl>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tbl>
      <w:tblPr>
        <w:tblW w:w="0" w:type="auto"/>
        <w:tblLayout w:type="fixed"/>
        <w:tblCellMar>
          <w:left w:w="0" w:type="dxa"/>
          <w:right w:w="0" w:type="dxa"/>
        </w:tblCellMar>
        <w:tblLook w:val="04A0" w:firstRow="1" w:lastRow="0" w:firstColumn="1" w:lastColumn="0" w:noHBand="0" w:noVBand="1"/>
      </w:tblPr>
      <w:tblGrid>
        <w:gridCol w:w="1284"/>
        <w:gridCol w:w="4573"/>
        <w:gridCol w:w="1527"/>
        <w:gridCol w:w="1455"/>
        <w:gridCol w:w="1074"/>
        <w:gridCol w:w="1102"/>
        <w:gridCol w:w="1104"/>
        <w:gridCol w:w="1687"/>
      </w:tblGrid>
      <w:tr w:rsidR="00F51FDF">
        <w:trPr>
          <w:trHeight w:val="600"/>
        </w:trPr>
        <w:tc>
          <w:tcPr>
            <w:tcW w:w="13806" w:type="dxa"/>
            <w:gridSpan w:val="8"/>
            <w:tcBorders>
              <w:top w:val="nil"/>
              <w:left w:val="nil"/>
              <w:bottom w:val="nil"/>
              <w:right w:val="nil"/>
            </w:tcBorders>
            <w:noWrap/>
            <w:tcMar>
              <w:top w:w="15" w:type="dxa"/>
              <w:left w:w="15" w:type="dxa"/>
              <w:right w:w="15" w:type="dxa"/>
            </w:tcMar>
            <w:vAlign w:val="center"/>
          </w:tcPr>
          <w:p w:rsidR="00F51FDF" w:rsidRDefault="0061641E">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hint="eastAsia"/>
                <w:color w:val="000000"/>
                <w:kern w:val="0"/>
                <w:sz w:val="36"/>
                <w:szCs w:val="36"/>
                <w:lang w:bidi="ar"/>
              </w:rPr>
              <w:t>一般公共预算财政拨款收入支出决算表</w:t>
            </w:r>
          </w:p>
        </w:tc>
      </w:tr>
      <w:tr w:rsidR="00F51FDF">
        <w:trPr>
          <w:trHeight w:val="255"/>
        </w:trPr>
        <w:tc>
          <w:tcPr>
            <w:tcW w:w="1284" w:type="dxa"/>
            <w:tcBorders>
              <w:top w:val="nil"/>
              <w:left w:val="nil"/>
              <w:bottom w:val="nil"/>
              <w:right w:val="nil"/>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4573"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1527"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1455"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1074"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1102"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1104"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1687" w:type="dxa"/>
            <w:tcBorders>
              <w:top w:val="nil"/>
              <w:left w:val="nil"/>
              <w:bottom w:val="nil"/>
              <w:right w:val="nil"/>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公开</w:t>
            </w:r>
            <w:r>
              <w:rPr>
                <w:rFonts w:ascii="仿宋" w:eastAsia="仿宋" w:hAnsi="仿宋" w:cs="仿宋"/>
                <w:color w:val="000000"/>
                <w:kern w:val="0"/>
                <w:sz w:val="22"/>
                <w:lang w:bidi="ar"/>
              </w:rPr>
              <w:t>05</w:t>
            </w:r>
            <w:r>
              <w:rPr>
                <w:rFonts w:ascii="仿宋" w:eastAsia="仿宋" w:hAnsi="仿宋" w:cs="仿宋"/>
                <w:color w:val="000000"/>
                <w:kern w:val="0"/>
                <w:sz w:val="22"/>
                <w:lang w:bidi="ar"/>
              </w:rPr>
              <w:t>表</w:t>
            </w:r>
          </w:p>
        </w:tc>
      </w:tr>
      <w:tr w:rsidR="00F51FDF">
        <w:trPr>
          <w:trHeight w:val="255"/>
        </w:trPr>
        <w:tc>
          <w:tcPr>
            <w:tcW w:w="5857" w:type="dxa"/>
            <w:gridSpan w:val="2"/>
            <w:tcBorders>
              <w:top w:val="nil"/>
              <w:left w:val="nil"/>
              <w:bottom w:val="nil"/>
              <w:right w:val="nil"/>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公开部门：重庆市渝中区经济和信息化委员会</w:t>
            </w:r>
          </w:p>
        </w:tc>
        <w:tc>
          <w:tcPr>
            <w:tcW w:w="1527" w:type="dxa"/>
            <w:tcBorders>
              <w:top w:val="nil"/>
              <w:left w:val="nil"/>
              <w:bottom w:val="nil"/>
              <w:right w:val="nil"/>
            </w:tcBorders>
            <w:noWrap/>
            <w:tcMar>
              <w:top w:w="15" w:type="dxa"/>
              <w:left w:w="15" w:type="dxa"/>
              <w:right w:w="15" w:type="dxa"/>
            </w:tcMar>
            <w:vAlign w:val="center"/>
          </w:tcPr>
          <w:p w:rsidR="00F51FDF" w:rsidRDefault="00F51FDF">
            <w:pPr>
              <w:jc w:val="left"/>
              <w:rPr>
                <w:rFonts w:ascii="仿宋" w:eastAsia="仿宋" w:hAnsi="仿宋" w:cs="仿宋"/>
                <w:color w:val="000000"/>
                <w:sz w:val="24"/>
                <w:szCs w:val="24"/>
              </w:rPr>
            </w:pPr>
          </w:p>
        </w:tc>
        <w:tc>
          <w:tcPr>
            <w:tcW w:w="1455" w:type="dxa"/>
            <w:tcBorders>
              <w:top w:val="nil"/>
              <w:left w:val="nil"/>
              <w:bottom w:val="nil"/>
              <w:right w:val="nil"/>
            </w:tcBorders>
            <w:noWrap/>
            <w:tcMar>
              <w:top w:w="15" w:type="dxa"/>
              <w:left w:w="15" w:type="dxa"/>
              <w:right w:w="15" w:type="dxa"/>
            </w:tcMar>
            <w:vAlign w:val="center"/>
          </w:tcPr>
          <w:p w:rsidR="00F51FDF" w:rsidRDefault="00F51FDF">
            <w:pPr>
              <w:jc w:val="left"/>
              <w:rPr>
                <w:rFonts w:ascii="仿宋" w:eastAsia="仿宋" w:hAnsi="仿宋" w:cs="仿宋"/>
                <w:color w:val="000000"/>
                <w:sz w:val="24"/>
                <w:szCs w:val="24"/>
              </w:rPr>
            </w:pPr>
          </w:p>
        </w:tc>
        <w:tc>
          <w:tcPr>
            <w:tcW w:w="1074"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1102"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1104"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1687" w:type="dxa"/>
            <w:tcBorders>
              <w:top w:val="nil"/>
              <w:left w:val="nil"/>
              <w:bottom w:val="nil"/>
              <w:right w:val="nil"/>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单位：万元</w:t>
            </w:r>
          </w:p>
        </w:tc>
      </w:tr>
      <w:tr w:rsidR="00F51FDF">
        <w:trPr>
          <w:trHeight w:val="600"/>
        </w:trPr>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功能分类科目编码</w:t>
            </w:r>
          </w:p>
        </w:tc>
        <w:tc>
          <w:tcPr>
            <w:tcW w:w="45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w:t>
            </w:r>
            <w:r>
              <w:rPr>
                <w:rFonts w:ascii="黑体" w:eastAsia="黑体" w:hAnsi="宋体" w:cs="黑体" w:hint="eastAsia"/>
                <w:color w:val="000000"/>
                <w:kern w:val="0"/>
                <w:sz w:val="22"/>
                <w:lang w:bidi="ar"/>
              </w:rPr>
              <w:t>(</w:t>
            </w:r>
            <w:r>
              <w:rPr>
                <w:rFonts w:ascii="黑体" w:eastAsia="黑体" w:hAnsi="宋体" w:cs="黑体" w:hint="eastAsia"/>
                <w:color w:val="000000"/>
                <w:kern w:val="0"/>
                <w:sz w:val="22"/>
                <w:lang w:bidi="ar"/>
              </w:rPr>
              <w:t>按“项”级功能分类科目</w:t>
            </w:r>
            <w:r>
              <w:rPr>
                <w:rFonts w:ascii="黑体" w:eastAsia="黑体" w:hAnsi="宋体" w:cs="黑体" w:hint="eastAsia"/>
                <w:color w:val="000000"/>
                <w:kern w:val="0"/>
                <w:sz w:val="22"/>
                <w:lang w:bidi="ar"/>
              </w:rPr>
              <w:t>)</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8DB4E2"/>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年初结转和结余</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8DB4E2"/>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本年收入</w:t>
            </w:r>
          </w:p>
        </w:tc>
        <w:tc>
          <w:tcPr>
            <w:tcW w:w="32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决算数</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auto" w:fill="8DB4E2"/>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年末结转和结余</w:t>
            </w:r>
          </w:p>
        </w:tc>
      </w:tr>
      <w:tr w:rsidR="00F51FDF">
        <w:trPr>
          <w:trHeight w:val="600"/>
        </w:trPr>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45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8DB4E2"/>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8DB4E2"/>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合计</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基本支出</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项目支出</w:t>
            </w:r>
          </w:p>
        </w:tc>
        <w:tc>
          <w:tcPr>
            <w:tcW w:w="1687" w:type="dxa"/>
            <w:vMerge/>
            <w:tcBorders>
              <w:top w:val="single" w:sz="4" w:space="0" w:color="000000"/>
              <w:left w:val="single" w:sz="4" w:space="0" w:color="000000"/>
              <w:bottom w:val="single" w:sz="4" w:space="0" w:color="000000"/>
              <w:right w:val="single" w:sz="4" w:space="0" w:color="000000"/>
            </w:tcBorders>
            <w:shd w:val="clear" w:color="auto" w:fill="8DB4E2"/>
            <w:tcMar>
              <w:top w:w="15" w:type="dxa"/>
              <w:left w:w="15" w:type="dxa"/>
              <w:right w:w="15" w:type="dxa"/>
            </w:tcMar>
            <w:vAlign w:val="center"/>
          </w:tcPr>
          <w:p w:rsidR="00F51FDF" w:rsidRDefault="00F51FDF">
            <w:pPr>
              <w:jc w:val="center"/>
              <w:rPr>
                <w:rFonts w:ascii="黑体" w:eastAsia="黑体" w:hAnsi="宋体" w:cs="黑体"/>
                <w:color w:val="000000"/>
                <w:sz w:val="22"/>
              </w:rPr>
            </w:pPr>
          </w:p>
        </w:tc>
      </w:tr>
      <w:tr w:rsidR="00F51FDF">
        <w:trPr>
          <w:trHeight w:val="420"/>
        </w:trPr>
        <w:tc>
          <w:tcPr>
            <w:tcW w:w="585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合计</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500.00</w:t>
            </w: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4,493.64</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4,493.64</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498.70</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3,994.94</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201</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一般公共服务支出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401.73</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401.73</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328.92</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72.81</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20104</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发展与改革事务</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398.41</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398.41</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328.92</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69.49</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2010401</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行政运行</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309.76</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309.76</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309.76</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2010402</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一般行政管理事务</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69.49</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69.49</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69.49</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2010450</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事业运行</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19.16</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19.16</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19.16</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20132</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组织事务</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3.32</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3.32</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3.32</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2013202</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一般行政管理事务</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3.32</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3.32</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3.32</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206</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科学技术支出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341.75</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341.75</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341.75</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20603</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应用研究</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180.00</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180.00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180.00</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2060399</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其他应用研究支出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180.00</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180.00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180.00</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20699</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其他科学技术支出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161.75</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161.75</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161.75</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lastRenderedPageBreak/>
              <w:t>2069999</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其他科学技术支出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161.75</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161.75</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161.75</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208</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社会保障和就业支出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20805</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行政事业单位离退休</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2080501</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归口管理的行政单位离退休</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91.47</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91.47</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91.47</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2080505</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机关事业单位基本养老保险缴费支出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26.16</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26.16</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26.16</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2080506</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机关事业单位职业年金缴费支出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10.47</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10.47</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10.47</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210</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卫生健康支出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21011</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行政事业单位医疗</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2101101</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行政单位医疗</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19.35</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19.35</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19.35</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2101102</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事业单位医疗</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1.34</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1.34</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1.34</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212</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城乡社区支出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21299</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其他城乡社区支出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2129901</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其他城乡社区支出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274.50</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215</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资源勘探信息等支出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21508</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支持中小企业发展和管理支出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1,866.63</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2150805</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中小企业发展专项</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1,016.03</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1,016.03</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1,006.03</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2150899</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其他支持中小企业发展和管理支出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850.60</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850.60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850.60</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216</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商业服务业等支出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500.00</w:t>
            </w: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1,426.25</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1,426.25</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1,426.25</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21699</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其他商业服务业等支出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500.00</w:t>
            </w: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1,426.25</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1,426.25</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1,426.25</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lastRenderedPageBreak/>
              <w:t>2169999</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其他商业服务业等支出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500.00</w:t>
            </w: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1,426.25</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1,426.25</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1,426.25</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217</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金融支出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21703</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金融发展支出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2170302</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利息费用补贴支出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13.00</w:t>
            </w: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221</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住房保障支出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22102</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住房改革支出</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2210201</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住房公积金</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15.70</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15.70</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15.70</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2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textAlignment w:val="center"/>
              <w:rPr>
                <w:rFonts w:ascii="仿宋" w:eastAsia="仿宋" w:hAnsi="仿宋" w:cs="仿宋"/>
                <w:color w:val="000000"/>
                <w:sz w:val="22"/>
              </w:rPr>
            </w:pPr>
            <w:r>
              <w:rPr>
                <w:rFonts w:ascii="仿宋" w:eastAsia="仿宋" w:hAnsi="仿宋" w:cs="仿宋"/>
                <w:color w:val="000000"/>
                <w:kern w:val="0"/>
                <w:sz w:val="22"/>
                <w:lang w:bidi="ar"/>
              </w:rPr>
              <w:t>2210203</w:t>
            </w:r>
          </w:p>
        </w:tc>
        <w:tc>
          <w:tcPr>
            <w:tcW w:w="45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购房补贴</w:t>
            </w:r>
          </w:p>
        </w:tc>
        <w:tc>
          <w:tcPr>
            <w:tcW w:w="15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45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5.29</w:t>
            </w:r>
          </w:p>
        </w:tc>
        <w:tc>
          <w:tcPr>
            <w:tcW w:w="107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5.29</w:t>
            </w:r>
          </w:p>
        </w:tc>
        <w:tc>
          <w:tcPr>
            <w:tcW w:w="11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5.29</w:t>
            </w:r>
          </w:p>
        </w:tc>
        <w:tc>
          <w:tcPr>
            <w:tcW w:w="110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6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13806" w:type="dxa"/>
            <w:gridSpan w:val="8"/>
            <w:tcBorders>
              <w:top w:val="nil"/>
              <w:left w:val="nil"/>
              <w:bottom w:val="nil"/>
              <w:right w:val="nil"/>
            </w:tcBorders>
            <w:shd w:val="clear" w:color="auto" w:fill="8DB4E2"/>
            <w:tcMar>
              <w:top w:w="15" w:type="dxa"/>
              <w:left w:w="15" w:type="dxa"/>
              <w:right w:w="15" w:type="dxa"/>
            </w:tcMar>
            <w:vAlign w:val="center"/>
          </w:tcPr>
          <w:p w:rsidR="00F51FDF" w:rsidRDefault="0061641E">
            <w:pPr>
              <w:widowControl/>
              <w:jc w:val="left"/>
              <w:textAlignment w:val="center"/>
              <w:rPr>
                <w:rFonts w:ascii="黑体" w:eastAsia="黑体" w:hAnsi="宋体" w:cs="黑体"/>
                <w:color w:val="FFFFFF"/>
                <w:sz w:val="22"/>
              </w:rPr>
            </w:pPr>
            <w:r>
              <w:rPr>
                <w:rFonts w:ascii="黑体" w:eastAsia="黑体" w:hAnsi="宋体" w:cs="黑体" w:hint="eastAsia"/>
                <w:color w:val="000000"/>
                <w:kern w:val="0"/>
                <w:sz w:val="22"/>
                <w:lang w:bidi="ar"/>
              </w:rPr>
              <w:t>备注：本表反映部门本年度一般公共预算财政拨款收支余情况。</w:t>
            </w:r>
          </w:p>
        </w:tc>
      </w:tr>
    </w:tbl>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tbl>
      <w:tblPr>
        <w:tblW w:w="0" w:type="auto"/>
        <w:tblLayout w:type="fixed"/>
        <w:tblCellMar>
          <w:left w:w="0" w:type="dxa"/>
          <w:right w:w="0" w:type="dxa"/>
        </w:tblCellMar>
        <w:tblLook w:val="04A0" w:firstRow="1" w:lastRow="0" w:firstColumn="1" w:lastColumn="0" w:noHBand="0" w:noVBand="1"/>
      </w:tblPr>
      <w:tblGrid>
        <w:gridCol w:w="2004"/>
        <w:gridCol w:w="6831"/>
        <w:gridCol w:w="1273"/>
        <w:gridCol w:w="1646"/>
        <w:gridCol w:w="2052"/>
      </w:tblGrid>
      <w:tr w:rsidR="00F51FDF">
        <w:trPr>
          <w:trHeight w:val="495"/>
        </w:trPr>
        <w:tc>
          <w:tcPr>
            <w:tcW w:w="13806" w:type="dxa"/>
            <w:gridSpan w:val="5"/>
            <w:tcBorders>
              <w:top w:val="nil"/>
              <w:left w:val="nil"/>
              <w:bottom w:val="nil"/>
              <w:right w:val="nil"/>
            </w:tcBorders>
            <w:noWrap/>
            <w:tcMar>
              <w:top w:w="15" w:type="dxa"/>
              <w:left w:w="15" w:type="dxa"/>
              <w:right w:w="15" w:type="dxa"/>
            </w:tcMar>
            <w:vAlign w:val="center"/>
          </w:tcPr>
          <w:p w:rsidR="00F51FDF" w:rsidRDefault="0061641E">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hint="eastAsia"/>
                <w:color w:val="000000"/>
                <w:kern w:val="0"/>
                <w:sz w:val="36"/>
                <w:szCs w:val="36"/>
                <w:lang w:bidi="ar"/>
              </w:rPr>
              <w:t>一般公共预算财政拨款基本支出决算表</w:t>
            </w:r>
          </w:p>
        </w:tc>
      </w:tr>
      <w:tr w:rsidR="00F51FDF">
        <w:trPr>
          <w:trHeight w:val="285"/>
        </w:trPr>
        <w:tc>
          <w:tcPr>
            <w:tcW w:w="2004" w:type="dxa"/>
            <w:tcBorders>
              <w:top w:val="nil"/>
              <w:left w:val="nil"/>
              <w:bottom w:val="nil"/>
              <w:right w:val="nil"/>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6831" w:type="dxa"/>
            <w:tcBorders>
              <w:top w:val="nil"/>
              <w:left w:val="nil"/>
              <w:bottom w:val="nil"/>
              <w:right w:val="nil"/>
            </w:tcBorders>
            <w:noWrap/>
            <w:tcMar>
              <w:top w:w="15" w:type="dxa"/>
              <w:left w:w="15" w:type="dxa"/>
              <w:right w:w="15" w:type="dxa"/>
            </w:tcMar>
            <w:vAlign w:val="bottom"/>
          </w:tcPr>
          <w:p w:rsidR="00F51FDF" w:rsidRDefault="00F51FDF">
            <w:pPr>
              <w:rPr>
                <w:rFonts w:ascii="楷体_GB2312" w:eastAsia="楷体_GB2312" w:hAnsi="宋体" w:cs="楷体_GB2312"/>
                <w:b/>
                <w:color w:val="000000"/>
                <w:sz w:val="24"/>
                <w:szCs w:val="24"/>
              </w:rPr>
            </w:pPr>
          </w:p>
        </w:tc>
        <w:tc>
          <w:tcPr>
            <w:tcW w:w="1273" w:type="dxa"/>
            <w:tcBorders>
              <w:top w:val="nil"/>
              <w:left w:val="nil"/>
              <w:bottom w:val="nil"/>
              <w:right w:val="nil"/>
            </w:tcBorders>
            <w:noWrap/>
            <w:tcMar>
              <w:top w:w="15" w:type="dxa"/>
              <w:left w:w="15" w:type="dxa"/>
              <w:right w:w="15" w:type="dxa"/>
            </w:tcMar>
            <w:vAlign w:val="bottom"/>
          </w:tcPr>
          <w:p w:rsidR="00F51FDF" w:rsidRDefault="00F51FDF">
            <w:pPr>
              <w:rPr>
                <w:rFonts w:ascii="楷体_GB2312" w:eastAsia="楷体_GB2312" w:hAnsi="宋体" w:cs="楷体_GB2312"/>
                <w:b/>
                <w:color w:val="000000"/>
                <w:sz w:val="24"/>
                <w:szCs w:val="24"/>
              </w:rPr>
            </w:pPr>
          </w:p>
        </w:tc>
        <w:tc>
          <w:tcPr>
            <w:tcW w:w="1646" w:type="dxa"/>
            <w:tcBorders>
              <w:top w:val="nil"/>
              <w:left w:val="nil"/>
              <w:bottom w:val="nil"/>
              <w:right w:val="nil"/>
            </w:tcBorders>
            <w:noWrap/>
            <w:tcMar>
              <w:top w:w="15" w:type="dxa"/>
              <w:left w:w="15" w:type="dxa"/>
              <w:right w:w="15" w:type="dxa"/>
            </w:tcMar>
            <w:vAlign w:val="bottom"/>
          </w:tcPr>
          <w:p w:rsidR="00F51FDF" w:rsidRDefault="00F51FDF">
            <w:pPr>
              <w:rPr>
                <w:rFonts w:ascii="楷体_GB2312" w:eastAsia="楷体_GB2312" w:hAnsi="宋体" w:cs="楷体_GB2312"/>
                <w:b/>
                <w:color w:val="000000"/>
                <w:sz w:val="24"/>
                <w:szCs w:val="24"/>
              </w:rPr>
            </w:pPr>
          </w:p>
        </w:tc>
        <w:tc>
          <w:tcPr>
            <w:tcW w:w="2052" w:type="dxa"/>
            <w:tcBorders>
              <w:top w:val="nil"/>
              <w:left w:val="nil"/>
              <w:bottom w:val="nil"/>
              <w:right w:val="nil"/>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公开</w:t>
            </w:r>
            <w:r>
              <w:rPr>
                <w:rFonts w:ascii="仿宋" w:eastAsia="仿宋" w:hAnsi="仿宋" w:cs="仿宋"/>
                <w:color w:val="000000"/>
                <w:kern w:val="0"/>
                <w:sz w:val="22"/>
                <w:lang w:bidi="ar"/>
              </w:rPr>
              <w:t>06</w:t>
            </w:r>
            <w:r>
              <w:rPr>
                <w:rFonts w:ascii="仿宋" w:eastAsia="仿宋" w:hAnsi="仿宋" w:cs="仿宋"/>
                <w:color w:val="000000"/>
                <w:kern w:val="0"/>
                <w:sz w:val="22"/>
                <w:lang w:bidi="ar"/>
              </w:rPr>
              <w:t>表</w:t>
            </w:r>
          </w:p>
        </w:tc>
      </w:tr>
      <w:tr w:rsidR="00F51FDF">
        <w:trPr>
          <w:trHeight w:val="285"/>
        </w:trPr>
        <w:tc>
          <w:tcPr>
            <w:tcW w:w="8835" w:type="dxa"/>
            <w:gridSpan w:val="2"/>
            <w:tcBorders>
              <w:top w:val="nil"/>
              <w:left w:val="nil"/>
              <w:bottom w:val="single" w:sz="4" w:space="0" w:color="000000"/>
              <w:right w:val="nil"/>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公开部门：重庆市渝中区经济和信息化委员会</w:t>
            </w:r>
          </w:p>
        </w:tc>
        <w:tc>
          <w:tcPr>
            <w:tcW w:w="1273"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1646"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18"/>
                <w:szCs w:val="18"/>
              </w:rPr>
            </w:pPr>
          </w:p>
        </w:tc>
        <w:tc>
          <w:tcPr>
            <w:tcW w:w="2052" w:type="dxa"/>
            <w:tcBorders>
              <w:top w:val="nil"/>
              <w:left w:val="nil"/>
              <w:bottom w:val="nil"/>
              <w:right w:val="nil"/>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单位：万元</w:t>
            </w:r>
          </w:p>
        </w:tc>
      </w:tr>
      <w:tr w:rsidR="00F51FDF">
        <w:trPr>
          <w:trHeight w:val="570"/>
        </w:trPr>
        <w:tc>
          <w:tcPr>
            <w:tcW w:w="883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经济分类科目（按“款”级经济分类科目</w:t>
            </w:r>
            <w:r>
              <w:rPr>
                <w:rFonts w:ascii="黑体" w:eastAsia="黑体" w:hAnsi="宋体" w:cs="黑体" w:hint="eastAsia"/>
                <w:color w:val="000000"/>
                <w:kern w:val="0"/>
                <w:sz w:val="22"/>
                <w:lang w:bidi="ar"/>
              </w:rPr>
              <w:t>)</w:t>
            </w:r>
          </w:p>
        </w:tc>
        <w:tc>
          <w:tcPr>
            <w:tcW w:w="4971" w:type="dxa"/>
            <w:gridSpan w:val="3"/>
            <w:tcBorders>
              <w:top w:val="single" w:sz="4" w:space="0" w:color="000000"/>
              <w:left w:val="single" w:sz="4" w:space="0" w:color="000000"/>
              <w:bottom w:val="single" w:sz="4" w:space="0" w:color="000000"/>
              <w:right w:val="single" w:sz="4" w:space="0" w:color="000000"/>
            </w:tcBorders>
            <w:shd w:val="clear" w:color="auto" w:fill="8DB4E2"/>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2019</w:t>
            </w:r>
            <w:r>
              <w:rPr>
                <w:rFonts w:ascii="黑体" w:eastAsia="黑体" w:hAnsi="宋体" w:cs="黑体" w:hint="eastAsia"/>
                <w:color w:val="000000"/>
                <w:kern w:val="0"/>
                <w:sz w:val="22"/>
                <w:lang w:bidi="ar"/>
              </w:rPr>
              <w:t>年一般公共预算基本支出</w:t>
            </w:r>
          </w:p>
        </w:tc>
      </w:tr>
      <w:tr w:rsidR="00F51FDF">
        <w:trPr>
          <w:trHeight w:val="405"/>
        </w:trPr>
        <w:tc>
          <w:tcPr>
            <w:tcW w:w="2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科目编码</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科目名称</w:t>
            </w:r>
          </w:p>
        </w:tc>
        <w:tc>
          <w:tcPr>
            <w:tcW w:w="12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合计</w:t>
            </w:r>
          </w:p>
        </w:tc>
        <w:tc>
          <w:tcPr>
            <w:tcW w:w="16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人员经费</w:t>
            </w:r>
          </w:p>
        </w:tc>
        <w:tc>
          <w:tcPr>
            <w:tcW w:w="20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公用经费</w:t>
            </w:r>
          </w:p>
        </w:tc>
      </w:tr>
      <w:tr w:rsidR="00F51FDF">
        <w:trPr>
          <w:trHeight w:val="420"/>
        </w:trPr>
        <w:tc>
          <w:tcPr>
            <w:tcW w:w="883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lastRenderedPageBreak/>
              <w:t>合计</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498.70</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396.35</w:t>
            </w:r>
          </w:p>
        </w:tc>
        <w:tc>
          <w:tcPr>
            <w:tcW w:w="205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102.35</w:t>
            </w:r>
          </w:p>
        </w:tc>
      </w:tr>
      <w:tr w:rsidR="00F51FDF">
        <w:trPr>
          <w:trHeight w:val="420"/>
        </w:trPr>
        <w:tc>
          <w:tcPr>
            <w:tcW w:w="2004"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201</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一般公共服务支出</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328.92</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226.56</w:t>
            </w:r>
          </w:p>
        </w:tc>
        <w:tc>
          <w:tcPr>
            <w:tcW w:w="205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102.35</w:t>
            </w:r>
          </w:p>
        </w:tc>
      </w:tr>
      <w:tr w:rsidR="00F51FDF">
        <w:trPr>
          <w:trHeight w:val="420"/>
        </w:trPr>
        <w:tc>
          <w:tcPr>
            <w:tcW w:w="2004"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20104</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发展与改革事务</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328.92</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226.56</w:t>
            </w:r>
          </w:p>
        </w:tc>
        <w:tc>
          <w:tcPr>
            <w:tcW w:w="205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102.35</w:t>
            </w:r>
          </w:p>
        </w:tc>
      </w:tr>
      <w:tr w:rsidR="00F51FDF">
        <w:trPr>
          <w:trHeight w:val="420"/>
        </w:trPr>
        <w:tc>
          <w:tcPr>
            <w:tcW w:w="2004"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2010401</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行政运行</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309.76</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207.41</w:t>
            </w:r>
          </w:p>
        </w:tc>
        <w:tc>
          <w:tcPr>
            <w:tcW w:w="205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102.35</w:t>
            </w:r>
          </w:p>
        </w:tc>
      </w:tr>
      <w:tr w:rsidR="00F51FDF">
        <w:trPr>
          <w:trHeight w:val="420"/>
        </w:trPr>
        <w:tc>
          <w:tcPr>
            <w:tcW w:w="2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2010450</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事业运行</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19.16</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19.16</w:t>
            </w:r>
          </w:p>
        </w:tc>
        <w:tc>
          <w:tcPr>
            <w:tcW w:w="20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2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社会保障和就业支出</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20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2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20805</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行政事业单位离退休</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128.10</w:t>
            </w:r>
          </w:p>
        </w:tc>
        <w:tc>
          <w:tcPr>
            <w:tcW w:w="20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2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2080501</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归口管理的行政单位离退休</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91.47</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91.47</w:t>
            </w:r>
          </w:p>
        </w:tc>
        <w:tc>
          <w:tcPr>
            <w:tcW w:w="20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2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2080505</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机关事业单位基本养老保险缴费支出</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26.16</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26.16</w:t>
            </w:r>
          </w:p>
        </w:tc>
        <w:tc>
          <w:tcPr>
            <w:tcW w:w="20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2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2080506</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机关事业单位职业年金缴费支出</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10.47</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10.47</w:t>
            </w:r>
          </w:p>
        </w:tc>
        <w:tc>
          <w:tcPr>
            <w:tcW w:w="20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2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210</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卫生健康支出</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20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2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21011</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行政事业单位医疗</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20.70</w:t>
            </w:r>
          </w:p>
        </w:tc>
        <w:tc>
          <w:tcPr>
            <w:tcW w:w="20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2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2101101</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行政单位医疗</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19.35</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19.35</w:t>
            </w:r>
          </w:p>
        </w:tc>
        <w:tc>
          <w:tcPr>
            <w:tcW w:w="20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2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2101102</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事业单位医疗</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1.34</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1.34</w:t>
            </w:r>
          </w:p>
        </w:tc>
        <w:tc>
          <w:tcPr>
            <w:tcW w:w="20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2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221</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住房保障支出</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20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2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22102</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住房改革支出</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20.99</w:t>
            </w:r>
          </w:p>
        </w:tc>
        <w:tc>
          <w:tcPr>
            <w:tcW w:w="20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2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2210201</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住房公积金</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15.70</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15.70</w:t>
            </w:r>
          </w:p>
        </w:tc>
        <w:tc>
          <w:tcPr>
            <w:tcW w:w="20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20"/>
        </w:trPr>
        <w:tc>
          <w:tcPr>
            <w:tcW w:w="20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2210203</w:t>
            </w:r>
          </w:p>
        </w:tc>
        <w:tc>
          <w:tcPr>
            <w:tcW w:w="68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购房补贴</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5.29</w:t>
            </w:r>
          </w:p>
        </w:tc>
        <w:tc>
          <w:tcPr>
            <w:tcW w:w="164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5.29</w:t>
            </w:r>
          </w:p>
        </w:tc>
        <w:tc>
          <w:tcPr>
            <w:tcW w:w="20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435"/>
        </w:trPr>
        <w:tc>
          <w:tcPr>
            <w:tcW w:w="13806" w:type="dxa"/>
            <w:gridSpan w:val="5"/>
            <w:tcBorders>
              <w:top w:val="single" w:sz="4" w:space="0" w:color="000000"/>
              <w:left w:val="nil"/>
              <w:bottom w:val="nil"/>
              <w:right w:val="nil"/>
            </w:tcBorders>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备注：本表反映部门本年度一般公共预算财政拨款基本支出明细情况。</w:t>
            </w:r>
          </w:p>
        </w:tc>
      </w:tr>
    </w:tbl>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tbl>
      <w:tblPr>
        <w:tblW w:w="0" w:type="auto"/>
        <w:tblLayout w:type="fixed"/>
        <w:tblCellMar>
          <w:left w:w="0" w:type="dxa"/>
          <w:right w:w="0" w:type="dxa"/>
        </w:tblCellMar>
        <w:tblLook w:val="04A0" w:firstRow="1" w:lastRow="0" w:firstColumn="1" w:lastColumn="0" w:noHBand="0" w:noVBand="1"/>
      </w:tblPr>
      <w:tblGrid>
        <w:gridCol w:w="2122"/>
        <w:gridCol w:w="4650"/>
        <w:gridCol w:w="1118"/>
        <w:gridCol w:w="1118"/>
        <w:gridCol w:w="1141"/>
        <w:gridCol w:w="1108"/>
        <w:gridCol w:w="1201"/>
        <w:gridCol w:w="1348"/>
      </w:tblGrid>
      <w:tr w:rsidR="00F51FDF">
        <w:trPr>
          <w:trHeight w:val="510"/>
        </w:trPr>
        <w:tc>
          <w:tcPr>
            <w:tcW w:w="13806" w:type="dxa"/>
            <w:gridSpan w:val="8"/>
            <w:tcBorders>
              <w:top w:val="nil"/>
              <w:left w:val="nil"/>
              <w:bottom w:val="nil"/>
              <w:right w:val="nil"/>
            </w:tcBorders>
            <w:noWrap/>
            <w:tcMar>
              <w:top w:w="15" w:type="dxa"/>
              <w:left w:w="15" w:type="dxa"/>
              <w:right w:w="15" w:type="dxa"/>
            </w:tcMar>
            <w:vAlign w:val="center"/>
          </w:tcPr>
          <w:p w:rsidR="00F51FDF" w:rsidRDefault="0061641E">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hint="eastAsia"/>
                <w:color w:val="000000"/>
                <w:kern w:val="0"/>
                <w:sz w:val="36"/>
                <w:szCs w:val="36"/>
                <w:lang w:bidi="ar"/>
              </w:rPr>
              <w:t>政府性基金预算财政拨款收入支出决算表</w:t>
            </w:r>
          </w:p>
        </w:tc>
      </w:tr>
      <w:tr w:rsidR="00F51FDF">
        <w:trPr>
          <w:trHeight w:val="300"/>
        </w:trPr>
        <w:tc>
          <w:tcPr>
            <w:tcW w:w="2122" w:type="dxa"/>
            <w:tcBorders>
              <w:top w:val="nil"/>
              <w:left w:val="nil"/>
              <w:bottom w:val="nil"/>
              <w:right w:val="nil"/>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4650" w:type="dxa"/>
            <w:tcBorders>
              <w:top w:val="nil"/>
              <w:left w:val="nil"/>
              <w:bottom w:val="nil"/>
              <w:right w:val="nil"/>
            </w:tcBorders>
            <w:noWrap/>
            <w:tcMar>
              <w:top w:w="15" w:type="dxa"/>
              <w:left w:w="15" w:type="dxa"/>
              <w:right w:w="15" w:type="dxa"/>
            </w:tcMar>
            <w:vAlign w:val="center"/>
          </w:tcPr>
          <w:p w:rsidR="00F51FDF" w:rsidRDefault="00F51FDF">
            <w:pPr>
              <w:jc w:val="center"/>
              <w:rPr>
                <w:rFonts w:ascii="华文中宋" w:eastAsia="华文中宋" w:hAnsi="华文中宋" w:cs="华文中宋"/>
                <w:color w:val="000000"/>
                <w:sz w:val="22"/>
              </w:rPr>
            </w:pPr>
          </w:p>
        </w:tc>
        <w:tc>
          <w:tcPr>
            <w:tcW w:w="1118" w:type="dxa"/>
            <w:tcBorders>
              <w:top w:val="nil"/>
              <w:left w:val="nil"/>
              <w:bottom w:val="nil"/>
              <w:right w:val="nil"/>
            </w:tcBorders>
            <w:noWrap/>
            <w:tcMar>
              <w:top w:w="15" w:type="dxa"/>
              <w:left w:w="15" w:type="dxa"/>
              <w:right w:w="15" w:type="dxa"/>
            </w:tcMar>
            <w:vAlign w:val="center"/>
          </w:tcPr>
          <w:p w:rsidR="00F51FDF" w:rsidRDefault="00F51FDF">
            <w:pPr>
              <w:jc w:val="center"/>
              <w:rPr>
                <w:rFonts w:ascii="华文中宋" w:eastAsia="华文中宋" w:hAnsi="华文中宋" w:cs="华文中宋"/>
                <w:color w:val="000000"/>
                <w:sz w:val="22"/>
              </w:rPr>
            </w:pPr>
          </w:p>
        </w:tc>
        <w:tc>
          <w:tcPr>
            <w:tcW w:w="1118" w:type="dxa"/>
            <w:tcBorders>
              <w:top w:val="nil"/>
              <w:left w:val="nil"/>
              <w:bottom w:val="nil"/>
              <w:right w:val="nil"/>
            </w:tcBorders>
            <w:noWrap/>
            <w:tcMar>
              <w:top w:w="15" w:type="dxa"/>
              <w:left w:w="15" w:type="dxa"/>
              <w:right w:w="15" w:type="dxa"/>
            </w:tcMar>
            <w:vAlign w:val="center"/>
          </w:tcPr>
          <w:p w:rsidR="00F51FDF" w:rsidRDefault="00F51FDF">
            <w:pPr>
              <w:jc w:val="center"/>
              <w:rPr>
                <w:rFonts w:ascii="华文中宋" w:eastAsia="华文中宋" w:hAnsi="华文中宋" w:cs="华文中宋"/>
                <w:color w:val="000000"/>
                <w:sz w:val="22"/>
              </w:rPr>
            </w:pPr>
          </w:p>
        </w:tc>
        <w:tc>
          <w:tcPr>
            <w:tcW w:w="1141" w:type="dxa"/>
            <w:tcBorders>
              <w:top w:val="nil"/>
              <w:left w:val="nil"/>
              <w:bottom w:val="nil"/>
              <w:right w:val="nil"/>
            </w:tcBorders>
            <w:noWrap/>
            <w:tcMar>
              <w:top w:w="15" w:type="dxa"/>
              <w:left w:w="15" w:type="dxa"/>
              <w:right w:w="15" w:type="dxa"/>
            </w:tcMar>
            <w:vAlign w:val="center"/>
          </w:tcPr>
          <w:p w:rsidR="00F51FDF" w:rsidRDefault="00F51FDF">
            <w:pPr>
              <w:jc w:val="center"/>
              <w:rPr>
                <w:rFonts w:ascii="华文中宋" w:eastAsia="华文中宋" w:hAnsi="华文中宋" w:cs="华文中宋"/>
                <w:color w:val="000000"/>
                <w:sz w:val="22"/>
              </w:rPr>
            </w:pPr>
          </w:p>
        </w:tc>
        <w:tc>
          <w:tcPr>
            <w:tcW w:w="1108" w:type="dxa"/>
            <w:tcBorders>
              <w:top w:val="nil"/>
              <w:left w:val="nil"/>
              <w:bottom w:val="nil"/>
              <w:right w:val="nil"/>
            </w:tcBorders>
            <w:noWrap/>
            <w:tcMar>
              <w:top w:w="15" w:type="dxa"/>
              <w:left w:w="15" w:type="dxa"/>
              <w:right w:w="15" w:type="dxa"/>
            </w:tcMar>
            <w:vAlign w:val="center"/>
          </w:tcPr>
          <w:p w:rsidR="00F51FDF" w:rsidRDefault="00F51FDF">
            <w:pPr>
              <w:jc w:val="center"/>
              <w:rPr>
                <w:rFonts w:ascii="宋体" w:hAnsi="宋体" w:cs="宋体"/>
                <w:color w:val="000000"/>
                <w:sz w:val="22"/>
              </w:rPr>
            </w:pPr>
          </w:p>
        </w:tc>
        <w:tc>
          <w:tcPr>
            <w:tcW w:w="1201" w:type="dxa"/>
            <w:tcBorders>
              <w:top w:val="nil"/>
              <w:left w:val="nil"/>
              <w:bottom w:val="nil"/>
              <w:right w:val="nil"/>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1348" w:type="dxa"/>
            <w:tcBorders>
              <w:top w:val="nil"/>
              <w:left w:val="nil"/>
              <w:bottom w:val="nil"/>
              <w:right w:val="nil"/>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公开</w:t>
            </w:r>
            <w:r>
              <w:rPr>
                <w:rFonts w:ascii="仿宋" w:eastAsia="仿宋" w:hAnsi="仿宋" w:cs="仿宋"/>
                <w:color w:val="000000"/>
                <w:kern w:val="0"/>
                <w:sz w:val="22"/>
                <w:lang w:bidi="ar"/>
              </w:rPr>
              <w:t>07</w:t>
            </w:r>
            <w:r>
              <w:rPr>
                <w:rFonts w:ascii="仿宋" w:eastAsia="仿宋" w:hAnsi="仿宋" w:cs="仿宋"/>
                <w:color w:val="000000"/>
                <w:kern w:val="0"/>
                <w:sz w:val="22"/>
                <w:lang w:bidi="ar"/>
              </w:rPr>
              <w:t>表</w:t>
            </w:r>
          </w:p>
        </w:tc>
      </w:tr>
      <w:tr w:rsidR="00F51FDF">
        <w:trPr>
          <w:trHeight w:val="300"/>
        </w:trPr>
        <w:tc>
          <w:tcPr>
            <w:tcW w:w="6772" w:type="dxa"/>
            <w:gridSpan w:val="2"/>
            <w:tcBorders>
              <w:top w:val="nil"/>
              <w:left w:val="nil"/>
              <w:bottom w:val="single" w:sz="4" w:space="0" w:color="000000"/>
              <w:right w:val="nil"/>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公开部门：重庆市渝中区经济和信息化委员会</w:t>
            </w:r>
          </w:p>
        </w:tc>
        <w:tc>
          <w:tcPr>
            <w:tcW w:w="1118" w:type="dxa"/>
            <w:tcBorders>
              <w:top w:val="nil"/>
              <w:left w:val="nil"/>
              <w:bottom w:val="nil"/>
              <w:right w:val="nil"/>
            </w:tcBorders>
            <w:noWrap/>
            <w:tcMar>
              <w:top w:w="15" w:type="dxa"/>
              <w:left w:w="15" w:type="dxa"/>
              <w:right w:w="15" w:type="dxa"/>
            </w:tcMar>
            <w:vAlign w:val="center"/>
          </w:tcPr>
          <w:p w:rsidR="00F51FDF" w:rsidRDefault="00F51FDF">
            <w:pPr>
              <w:rPr>
                <w:rFonts w:ascii="黑体" w:eastAsia="黑体" w:hAnsi="宋体" w:cs="黑体"/>
                <w:color w:val="000000"/>
                <w:sz w:val="22"/>
              </w:rPr>
            </w:pPr>
          </w:p>
        </w:tc>
        <w:tc>
          <w:tcPr>
            <w:tcW w:w="1118" w:type="dxa"/>
            <w:tcBorders>
              <w:top w:val="nil"/>
              <w:left w:val="nil"/>
              <w:bottom w:val="nil"/>
              <w:right w:val="nil"/>
            </w:tcBorders>
            <w:noWrap/>
            <w:tcMar>
              <w:top w:w="15" w:type="dxa"/>
              <w:left w:w="15" w:type="dxa"/>
              <w:right w:w="15" w:type="dxa"/>
            </w:tcMar>
            <w:vAlign w:val="center"/>
          </w:tcPr>
          <w:p w:rsidR="00F51FDF" w:rsidRDefault="00F51FDF">
            <w:pPr>
              <w:rPr>
                <w:rFonts w:ascii="宋体" w:hAnsi="宋体" w:cs="宋体"/>
                <w:color w:val="000000"/>
                <w:sz w:val="22"/>
              </w:rPr>
            </w:pPr>
          </w:p>
        </w:tc>
        <w:tc>
          <w:tcPr>
            <w:tcW w:w="1141" w:type="dxa"/>
            <w:tcBorders>
              <w:top w:val="nil"/>
              <w:left w:val="nil"/>
              <w:bottom w:val="nil"/>
              <w:right w:val="nil"/>
            </w:tcBorders>
            <w:noWrap/>
            <w:tcMar>
              <w:top w:w="15" w:type="dxa"/>
              <w:left w:w="15" w:type="dxa"/>
              <w:right w:w="15" w:type="dxa"/>
            </w:tcMar>
            <w:vAlign w:val="center"/>
          </w:tcPr>
          <w:p w:rsidR="00F51FDF" w:rsidRDefault="00F51FDF">
            <w:pPr>
              <w:jc w:val="center"/>
              <w:rPr>
                <w:rFonts w:ascii="宋体" w:hAnsi="宋体" w:cs="宋体"/>
                <w:color w:val="000000"/>
                <w:sz w:val="22"/>
              </w:rPr>
            </w:pPr>
          </w:p>
        </w:tc>
        <w:tc>
          <w:tcPr>
            <w:tcW w:w="1108" w:type="dxa"/>
            <w:tcBorders>
              <w:top w:val="nil"/>
              <w:left w:val="nil"/>
              <w:bottom w:val="nil"/>
              <w:right w:val="nil"/>
            </w:tcBorders>
            <w:noWrap/>
            <w:tcMar>
              <w:top w:w="15" w:type="dxa"/>
              <w:left w:w="15" w:type="dxa"/>
              <w:right w:w="15" w:type="dxa"/>
            </w:tcMar>
            <w:vAlign w:val="center"/>
          </w:tcPr>
          <w:p w:rsidR="00F51FDF" w:rsidRDefault="00F51FDF">
            <w:pPr>
              <w:jc w:val="center"/>
              <w:rPr>
                <w:rFonts w:ascii="宋体" w:hAnsi="宋体" w:cs="宋体"/>
                <w:color w:val="000000"/>
                <w:sz w:val="22"/>
              </w:rPr>
            </w:pPr>
          </w:p>
        </w:tc>
        <w:tc>
          <w:tcPr>
            <w:tcW w:w="1201" w:type="dxa"/>
            <w:tcBorders>
              <w:top w:val="nil"/>
              <w:left w:val="nil"/>
              <w:bottom w:val="nil"/>
              <w:right w:val="nil"/>
            </w:tcBorders>
            <w:noWrap/>
            <w:tcMar>
              <w:top w:w="15" w:type="dxa"/>
              <w:left w:w="15" w:type="dxa"/>
              <w:right w:w="15" w:type="dxa"/>
            </w:tcMar>
            <w:vAlign w:val="center"/>
          </w:tcPr>
          <w:p w:rsidR="00F51FDF" w:rsidRDefault="00F51FDF">
            <w:pPr>
              <w:jc w:val="center"/>
              <w:rPr>
                <w:rFonts w:ascii="宋体" w:hAnsi="宋体" w:cs="宋体"/>
                <w:color w:val="000000"/>
                <w:sz w:val="22"/>
              </w:rPr>
            </w:pPr>
          </w:p>
        </w:tc>
        <w:tc>
          <w:tcPr>
            <w:tcW w:w="1348" w:type="dxa"/>
            <w:tcBorders>
              <w:top w:val="nil"/>
              <w:left w:val="nil"/>
              <w:bottom w:val="nil"/>
              <w:right w:val="nil"/>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单位：万元</w:t>
            </w:r>
          </w:p>
        </w:tc>
      </w:tr>
      <w:tr w:rsidR="00F51FDF">
        <w:trPr>
          <w:trHeight w:val="405"/>
        </w:trPr>
        <w:tc>
          <w:tcPr>
            <w:tcW w:w="21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功能分类科目编码</w:t>
            </w:r>
          </w:p>
        </w:tc>
        <w:tc>
          <w:tcPr>
            <w:tcW w:w="46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w:t>
            </w:r>
            <w:r>
              <w:rPr>
                <w:rFonts w:ascii="黑体" w:eastAsia="黑体" w:hAnsi="宋体" w:cs="黑体" w:hint="eastAsia"/>
                <w:color w:val="000000"/>
                <w:kern w:val="0"/>
                <w:sz w:val="22"/>
                <w:lang w:bidi="ar"/>
              </w:rPr>
              <w:t>(</w:t>
            </w:r>
            <w:r>
              <w:rPr>
                <w:rFonts w:ascii="黑体" w:eastAsia="黑体" w:hAnsi="宋体" w:cs="黑体" w:hint="eastAsia"/>
                <w:color w:val="000000"/>
                <w:kern w:val="0"/>
                <w:sz w:val="22"/>
                <w:lang w:bidi="ar"/>
              </w:rPr>
              <w:t>按“项”级功能分类科目</w:t>
            </w:r>
            <w:r>
              <w:rPr>
                <w:rFonts w:ascii="黑体" w:eastAsia="黑体" w:hAnsi="宋体" w:cs="黑体" w:hint="eastAsia"/>
                <w:color w:val="000000"/>
                <w:kern w:val="0"/>
                <w:sz w:val="22"/>
                <w:lang w:bidi="ar"/>
              </w:rPr>
              <w:t>)</w:t>
            </w:r>
          </w:p>
        </w:tc>
        <w:tc>
          <w:tcPr>
            <w:tcW w:w="11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年初结转和结余</w:t>
            </w:r>
          </w:p>
        </w:tc>
        <w:tc>
          <w:tcPr>
            <w:tcW w:w="11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本年收入</w:t>
            </w:r>
          </w:p>
        </w:tc>
        <w:tc>
          <w:tcPr>
            <w:tcW w:w="3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本年支出</w:t>
            </w:r>
          </w:p>
        </w:tc>
        <w:tc>
          <w:tcPr>
            <w:tcW w:w="13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年末结转和结余</w:t>
            </w:r>
          </w:p>
        </w:tc>
      </w:tr>
      <w:tr w:rsidR="00F51FDF">
        <w:trPr>
          <w:trHeight w:val="405"/>
        </w:trPr>
        <w:tc>
          <w:tcPr>
            <w:tcW w:w="21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4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1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1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c>
          <w:tcPr>
            <w:tcW w:w="1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合计</w:t>
            </w:r>
          </w:p>
        </w:tc>
        <w:tc>
          <w:tcPr>
            <w:tcW w:w="1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基本支出</w:t>
            </w:r>
          </w:p>
        </w:tc>
        <w:tc>
          <w:tcPr>
            <w:tcW w:w="12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项目支出</w:t>
            </w:r>
          </w:p>
        </w:tc>
        <w:tc>
          <w:tcPr>
            <w:tcW w:w="13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1FDF" w:rsidRDefault="00F51FDF">
            <w:pPr>
              <w:jc w:val="center"/>
              <w:rPr>
                <w:rFonts w:ascii="黑体" w:eastAsia="黑体" w:hAnsi="宋体" w:cs="黑体"/>
                <w:color w:val="000000"/>
                <w:sz w:val="22"/>
              </w:rPr>
            </w:pPr>
          </w:p>
        </w:tc>
      </w:tr>
      <w:tr w:rsidR="00F51FDF">
        <w:trPr>
          <w:trHeight w:val="420"/>
        </w:trPr>
        <w:tc>
          <w:tcPr>
            <w:tcW w:w="677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合计</w:t>
            </w:r>
          </w:p>
        </w:tc>
        <w:tc>
          <w:tcPr>
            <w:tcW w:w="7034"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widowControl/>
              <w:jc w:val="center"/>
              <w:textAlignment w:val="center"/>
              <w:rPr>
                <w:rFonts w:ascii="仿宋" w:eastAsia="仿宋" w:hAnsi="仿宋" w:cs="仿宋"/>
                <w:b/>
                <w:color w:val="000000"/>
                <w:sz w:val="20"/>
                <w:szCs w:val="20"/>
              </w:rPr>
            </w:pPr>
          </w:p>
        </w:tc>
      </w:tr>
      <w:tr w:rsidR="00F51FDF">
        <w:trPr>
          <w:trHeight w:val="420"/>
        </w:trPr>
        <w:tc>
          <w:tcPr>
            <w:tcW w:w="21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社会保障和就业支出</w:t>
            </w:r>
          </w:p>
        </w:tc>
        <w:tc>
          <w:tcPr>
            <w:tcW w:w="1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21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20822</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大中型水库移民后期扶持基金支出</w:t>
            </w:r>
          </w:p>
        </w:tc>
        <w:tc>
          <w:tcPr>
            <w:tcW w:w="1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21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2082201</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移民补助</w:t>
            </w:r>
          </w:p>
        </w:tc>
        <w:tc>
          <w:tcPr>
            <w:tcW w:w="1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21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1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21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212</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城乡社区支出</w:t>
            </w:r>
          </w:p>
        </w:tc>
        <w:tc>
          <w:tcPr>
            <w:tcW w:w="1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21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21207</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政府住房基金及对应专项债务收入安排的支出</w:t>
            </w:r>
          </w:p>
        </w:tc>
        <w:tc>
          <w:tcPr>
            <w:tcW w:w="1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center"/>
              <w:rPr>
                <w:rFonts w:ascii="仿宋" w:eastAsia="仿宋" w:hAnsi="仿宋" w:cs="仿宋"/>
                <w:color w:val="000000"/>
                <w:sz w:val="22"/>
              </w:rPr>
            </w:pPr>
          </w:p>
        </w:tc>
        <w:tc>
          <w:tcPr>
            <w:tcW w:w="1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21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2120702</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廉租住房支出</w:t>
            </w:r>
          </w:p>
        </w:tc>
        <w:tc>
          <w:tcPr>
            <w:tcW w:w="1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b/>
                <w:color w:val="000000"/>
                <w:sz w:val="22"/>
              </w:rPr>
            </w:pPr>
          </w:p>
        </w:tc>
        <w:tc>
          <w:tcPr>
            <w:tcW w:w="13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b/>
                <w:color w:val="000000"/>
                <w:sz w:val="22"/>
              </w:rPr>
            </w:pPr>
          </w:p>
        </w:tc>
      </w:tr>
      <w:tr w:rsidR="00F51FDF">
        <w:trPr>
          <w:trHeight w:val="420"/>
        </w:trPr>
        <w:tc>
          <w:tcPr>
            <w:tcW w:w="21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1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1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c>
          <w:tcPr>
            <w:tcW w:w="13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rPr>
                <w:rFonts w:ascii="仿宋" w:eastAsia="仿宋" w:hAnsi="仿宋" w:cs="仿宋"/>
                <w:color w:val="000000"/>
                <w:sz w:val="22"/>
              </w:rPr>
            </w:pPr>
          </w:p>
        </w:tc>
      </w:tr>
      <w:tr w:rsidR="00F51FDF">
        <w:trPr>
          <w:trHeight w:val="420"/>
        </w:trPr>
        <w:tc>
          <w:tcPr>
            <w:tcW w:w="13806" w:type="dxa"/>
            <w:gridSpan w:val="8"/>
            <w:tcBorders>
              <w:top w:val="nil"/>
              <w:left w:val="nil"/>
              <w:bottom w:val="nil"/>
              <w:right w:val="nil"/>
            </w:tcBorders>
            <w:noWrap/>
            <w:tcMar>
              <w:top w:w="15" w:type="dxa"/>
              <w:left w:w="15" w:type="dxa"/>
              <w:right w:w="15" w:type="dxa"/>
            </w:tcMar>
            <w:vAlign w:val="center"/>
          </w:tcPr>
          <w:p w:rsidR="00F51FDF" w:rsidRDefault="0061641E">
            <w:pPr>
              <w:rPr>
                <w:rFonts w:ascii="仿宋" w:eastAsia="仿宋" w:hAnsi="仿宋" w:cs="仿宋"/>
                <w:color w:val="000000"/>
                <w:sz w:val="22"/>
              </w:rPr>
            </w:pPr>
            <w:r>
              <w:rPr>
                <w:rStyle w:val="font161"/>
                <w:lang w:bidi="ar"/>
              </w:rPr>
              <w:t>备注：</w:t>
            </w:r>
            <w:r>
              <w:rPr>
                <w:rStyle w:val="font91"/>
                <w:lang w:bidi="ar"/>
              </w:rPr>
              <w:t>本表反映部门本年度政府性基金预算财政拨款收入支出及结转结余情况。</w:t>
            </w:r>
          </w:p>
        </w:tc>
      </w:tr>
      <w:tr w:rsidR="00F51FDF">
        <w:trPr>
          <w:trHeight w:val="420"/>
        </w:trPr>
        <w:tc>
          <w:tcPr>
            <w:tcW w:w="13806" w:type="dxa"/>
            <w:gridSpan w:val="8"/>
            <w:tcBorders>
              <w:top w:val="nil"/>
              <w:left w:val="nil"/>
              <w:bottom w:val="nil"/>
              <w:right w:val="nil"/>
            </w:tcBorders>
            <w:noWrap/>
            <w:tcMar>
              <w:top w:w="15" w:type="dxa"/>
              <w:left w:w="15" w:type="dxa"/>
              <w:right w:w="15" w:type="dxa"/>
            </w:tcMar>
            <w:vAlign w:val="center"/>
          </w:tcPr>
          <w:p w:rsidR="00F51FDF" w:rsidRDefault="0061641E">
            <w:pPr>
              <w:rPr>
                <w:rFonts w:ascii="仿宋" w:eastAsia="仿宋" w:hAnsi="仿宋" w:cs="仿宋"/>
                <w:color w:val="000000"/>
                <w:sz w:val="22"/>
                <w:highlight w:val="red"/>
              </w:rPr>
            </w:pPr>
            <w:r>
              <w:rPr>
                <w:rStyle w:val="font151"/>
                <w:lang w:bidi="ar"/>
              </w:rPr>
              <w:t>本单位无政府性基金收入，也没有使用政府性基金安排的支出，故本表无数据。</w:t>
            </w:r>
          </w:p>
        </w:tc>
      </w:tr>
    </w:tbl>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tbl>
      <w:tblPr>
        <w:tblW w:w="0" w:type="auto"/>
        <w:tblLayout w:type="fixed"/>
        <w:tblCellMar>
          <w:left w:w="0" w:type="dxa"/>
          <w:right w:w="0" w:type="dxa"/>
        </w:tblCellMar>
        <w:tblLook w:val="04A0" w:firstRow="1" w:lastRow="0" w:firstColumn="1" w:lastColumn="0" w:noHBand="0" w:noVBand="1"/>
      </w:tblPr>
      <w:tblGrid>
        <w:gridCol w:w="5066"/>
        <w:gridCol w:w="787"/>
        <w:gridCol w:w="787"/>
        <w:gridCol w:w="5865"/>
        <w:gridCol w:w="1301"/>
      </w:tblGrid>
      <w:tr w:rsidR="00F51FDF">
        <w:trPr>
          <w:trHeight w:val="435"/>
        </w:trPr>
        <w:tc>
          <w:tcPr>
            <w:tcW w:w="13806" w:type="dxa"/>
            <w:gridSpan w:val="5"/>
            <w:tcBorders>
              <w:top w:val="nil"/>
              <w:left w:val="nil"/>
              <w:bottom w:val="nil"/>
              <w:right w:val="nil"/>
            </w:tcBorders>
            <w:noWrap/>
            <w:tcMar>
              <w:top w:w="15" w:type="dxa"/>
              <w:left w:w="15" w:type="dxa"/>
              <w:right w:w="15" w:type="dxa"/>
            </w:tcMar>
            <w:vAlign w:val="center"/>
          </w:tcPr>
          <w:p w:rsidR="00F51FDF" w:rsidRDefault="0061641E">
            <w:pPr>
              <w:widowControl/>
              <w:jc w:val="center"/>
              <w:textAlignment w:val="center"/>
              <w:rPr>
                <w:rFonts w:ascii="华文中宋" w:eastAsia="华文中宋" w:hAnsi="华文中宋" w:cs="华文中宋"/>
                <w:color w:val="000000"/>
                <w:sz w:val="36"/>
                <w:szCs w:val="36"/>
              </w:rPr>
            </w:pPr>
            <w:r>
              <w:rPr>
                <w:rFonts w:ascii="华文中宋" w:eastAsia="华文中宋" w:hAnsi="华文中宋" w:cs="华文中宋" w:hint="eastAsia"/>
                <w:color w:val="000000"/>
                <w:kern w:val="0"/>
                <w:sz w:val="36"/>
                <w:szCs w:val="36"/>
                <w:lang w:bidi="ar"/>
              </w:rPr>
              <w:t>机构运行信息表</w:t>
            </w:r>
          </w:p>
        </w:tc>
      </w:tr>
      <w:tr w:rsidR="00F51FDF">
        <w:trPr>
          <w:trHeight w:val="300"/>
        </w:trPr>
        <w:tc>
          <w:tcPr>
            <w:tcW w:w="5066" w:type="dxa"/>
            <w:tcBorders>
              <w:top w:val="nil"/>
              <w:left w:val="nil"/>
              <w:bottom w:val="nil"/>
              <w:right w:val="nil"/>
            </w:tcBorders>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787"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22"/>
              </w:rPr>
            </w:pPr>
          </w:p>
        </w:tc>
        <w:tc>
          <w:tcPr>
            <w:tcW w:w="787"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22"/>
              </w:rPr>
            </w:pPr>
          </w:p>
        </w:tc>
        <w:tc>
          <w:tcPr>
            <w:tcW w:w="5865"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22"/>
              </w:rPr>
            </w:pPr>
          </w:p>
        </w:tc>
        <w:tc>
          <w:tcPr>
            <w:tcW w:w="1301" w:type="dxa"/>
            <w:tcBorders>
              <w:top w:val="nil"/>
              <w:left w:val="nil"/>
              <w:bottom w:val="nil"/>
              <w:right w:val="nil"/>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公开</w:t>
            </w:r>
            <w:r>
              <w:rPr>
                <w:rFonts w:ascii="仿宋" w:eastAsia="仿宋" w:hAnsi="仿宋" w:cs="仿宋"/>
                <w:color w:val="000000"/>
                <w:kern w:val="0"/>
                <w:sz w:val="22"/>
                <w:lang w:bidi="ar"/>
              </w:rPr>
              <w:t>08</w:t>
            </w:r>
            <w:r>
              <w:rPr>
                <w:rFonts w:ascii="仿宋" w:eastAsia="仿宋" w:hAnsi="仿宋" w:cs="仿宋"/>
                <w:color w:val="000000"/>
                <w:kern w:val="0"/>
                <w:sz w:val="22"/>
                <w:lang w:bidi="ar"/>
              </w:rPr>
              <w:t>表</w:t>
            </w:r>
          </w:p>
        </w:tc>
      </w:tr>
      <w:tr w:rsidR="00F51FDF">
        <w:trPr>
          <w:trHeight w:val="270"/>
        </w:trPr>
        <w:tc>
          <w:tcPr>
            <w:tcW w:w="5066" w:type="dxa"/>
            <w:tcBorders>
              <w:top w:val="nil"/>
              <w:left w:val="nil"/>
              <w:bottom w:val="nil"/>
              <w:right w:val="nil"/>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公开部门：重庆市渝中区经济和信息化委员会</w:t>
            </w:r>
          </w:p>
        </w:tc>
        <w:tc>
          <w:tcPr>
            <w:tcW w:w="787"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22"/>
              </w:rPr>
            </w:pPr>
          </w:p>
        </w:tc>
        <w:tc>
          <w:tcPr>
            <w:tcW w:w="787" w:type="dxa"/>
            <w:tcBorders>
              <w:top w:val="nil"/>
              <w:left w:val="nil"/>
              <w:bottom w:val="nil"/>
              <w:right w:val="nil"/>
            </w:tcBorders>
            <w:noWrap/>
            <w:tcMar>
              <w:top w:w="15" w:type="dxa"/>
              <w:left w:w="15" w:type="dxa"/>
              <w:right w:w="15" w:type="dxa"/>
            </w:tcMar>
            <w:vAlign w:val="bottom"/>
          </w:tcPr>
          <w:p w:rsidR="00F51FDF" w:rsidRDefault="00F51FDF">
            <w:pPr>
              <w:jc w:val="center"/>
              <w:rPr>
                <w:rFonts w:ascii="宋体" w:hAnsi="宋体" w:cs="宋体"/>
                <w:color w:val="000000"/>
                <w:sz w:val="22"/>
              </w:rPr>
            </w:pPr>
          </w:p>
        </w:tc>
        <w:tc>
          <w:tcPr>
            <w:tcW w:w="5865" w:type="dxa"/>
            <w:tcBorders>
              <w:top w:val="nil"/>
              <w:left w:val="nil"/>
              <w:bottom w:val="nil"/>
              <w:right w:val="nil"/>
            </w:tcBorders>
            <w:noWrap/>
            <w:tcMar>
              <w:top w:w="15" w:type="dxa"/>
              <w:left w:w="15" w:type="dxa"/>
              <w:right w:w="15" w:type="dxa"/>
            </w:tcMar>
            <w:vAlign w:val="bottom"/>
          </w:tcPr>
          <w:p w:rsidR="00F51FDF" w:rsidRDefault="00F51FDF">
            <w:pPr>
              <w:rPr>
                <w:rFonts w:ascii="宋体" w:hAnsi="宋体" w:cs="宋体"/>
                <w:color w:val="000000"/>
                <w:sz w:val="22"/>
              </w:rPr>
            </w:pPr>
          </w:p>
        </w:tc>
        <w:tc>
          <w:tcPr>
            <w:tcW w:w="1301" w:type="dxa"/>
            <w:tcBorders>
              <w:top w:val="nil"/>
              <w:left w:val="nil"/>
              <w:bottom w:val="nil"/>
              <w:right w:val="nil"/>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单位：万元</w:t>
            </w:r>
          </w:p>
        </w:tc>
      </w:tr>
      <w:tr w:rsidR="00F51FDF">
        <w:trPr>
          <w:trHeight w:val="345"/>
        </w:trPr>
        <w:tc>
          <w:tcPr>
            <w:tcW w:w="5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w:t>
            </w:r>
          </w:p>
        </w:tc>
        <w:tc>
          <w:tcPr>
            <w:tcW w:w="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预算数</w:t>
            </w:r>
          </w:p>
        </w:tc>
        <w:tc>
          <w:tcPr>
            <w:tcW w:w="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决算数</w:t>
            </w:r>
          </w:p>
        </w:tc>
        <w:tc>
          <w:tcPr>
            <w:tcW w:w="5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项目</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决算数</w:t>
            </w:r>
          </w:p>
        </w:tc>
      </w:tr>
      <w:tr w:rsidR="00F51FDF">
        <w:trPr>
          <w:trHeight w:val="345"/>
        </w:trPr>
        <w:tc>
          <w:tcPr>
            <w:tcW w:w="5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b/>
                <w:color w:val="000000"/>
                <w:sz w:val="22"/>
              </w:rPr>
            </w:pPr>
            <w:r>
              <w:rPr>
                <w:rFonts w:ascii="仿宋" w:eastAsia="仿宋" w:hAnsi="仿宋" w:cs="仿宋"/>
                <w:b/>
                <w:color w:val="000000"/>
                <w:kern w:val="0"/>
                <w:sz w:val="22"/>
                <w:lang w:bidi="ar"/>
              </w:rPr>
              <w:t>一、</w:t>
            </w:r>
            <w:r>
              <w:rPr>
                <w:rFonts w:ascii="仿宋" w:eastAsia="仿宋" w:hAnsi="仿宋" w:cs="仿宋"/>
                <w:b/>
                <w:color w:val="000000"/>
                <w:kern w:val="0"/>
                <w:sz w:val="22"/>
                <w:lang w:bidi="ar"/>
              </w:rPr>
              <w:t>“</w:t>
            </w:r>
            <w:r>
              <w:rPr>
                <w:rFonts w:ascii="仿宋" w:eastAsia="仿宋" w:hAnsi="仿宋" w:cs="仿宋"/>
                <w:b/>
                <w:color w:val="000000"/>
                <w:kern w:val="0"/>
                <w:sz w:val="22"/>
                <w:lang w:bidi="ar"/>
              </w:rPr>
              <w:t>三公</w:t>
            </w:r>
            <w:r>
              <w:rPr>
                <w:rFonts w:ascii="仿宋" w:eastAsia="仿宋" w:hAnsi="仿宋" w:cs="仿宋"/>
                <w:b/>
                <w:color w:val="000000"/>
                <w:kern w:val="0"/>
                <w:sz w:val="22"/>
                <w:lang w:bidi="ar"/>
              </w:rPr>
              <w:t>”</w:t>
            </w:r>
            <w:r>
              <w:rPr>
                <w:rFonts w:ascii="仿宋" w:eastAsia="仿宋" w:hAnsi="仿宋" w:cs="仿宋"/>
                <w:b/>
                <w:color w:val="000000"/>
                <w:kern w:val="0"/>
                <w:sz w:val="22"/>
                <w:lang w:bidi="ar"/>
              </w:rPr>
              <w:t>经费支出</w:t>
            </w:r>
          </w:p>
        </w:tc>
        <w:tc>
          <w:tcPr>
            <w:tcW w:w="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5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b/>
                <w:color w:val="000000"/>
                <w:sz w:val="22"/>
              </w:rPr>
            </w:pPr>
            <w:r>
              <w:rPr>
                <w:rFonts w:ascii="仿宋" w:eastAsia="仿宋" w:hAnsi="仿宋" w:cs="仿宋"/>
                <w:b/>
                <w:color w:val="000000"/>
                <w:kern w:val="0"/>
                <w:sz w:val="22"/>
                <w:lang w:bidi="ar"/>
              </w:rPr>
              <w:t>四、机关运行经费</w:t>
            </w:r>
          </w:p>
        </w:tc>
        <w:tc>
          <w:tcPr>
            <w:tcW w:w="130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102.35</w:t>
            </w:r>
          </w:p>
        </w:tc>
      </w:tr>
      <w:tr w:rsidR="00F51FDF">
        <w:trPr>
          <w:trHeight w:val="345"/>
        </w:trPr>
        <w:tc>
          <w:tcPr>
            <w:tcW w:w="5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b/>
                <w:color w:val="000000"/>
                <w:sz w:val="22"/>
              </w:rPr>
            </w:pPr>
            <w:r>
              <w:rPr>
                <w:rFonts w:ascii="仿宋" w:eastAsia="仿宋" w:hAnsi="仿宋" w:cs="仿宋"/>
                <w:b/>
                <w:color w:val="000000"/>
                <w:kern w:val="0"/>
                <w:sz w:val="22"/>
                <w:lang w:bidi="ar"/>
              </w:rPr>
              <w:t>（一）支出合计</w:t>
            </w:r>
          </w:p>
        </w:tc>
        <w:tc>
          <w:tcPr>
            <w:tcW w:w="7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4.30</w:t>
            </w:r>
          </w:p>
        </w:tc>
        <w:tc>
          <w:tcPr>
            <w:tcW w:w="7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3.40</w:t>
            </w:r>
          </w:p>
        </w:tc>
        <w:tc>
          <w:tcPr>
            <w:tcW w:w="5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（一）行政单位</w:t>
            </w:r>
          </w:p>
        </w:tc>
        <w:tc>
          <w:tcPr>
            <w:tcW w:w="130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102.35</w:t>
            </w:r>
          </w:p>
        </w:tc>
      </w:tr>
      <w:tr w:rsidR="00F51FDF">
        <w:trPr>
          <w:trHeight w:val="345"/>
        </w:trPr>
        <w:tc>
          <w:tcPr>
            <w:tcW w:w="5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1</w:t>
            </w:r>
            <w:r>
              <w:rPr>
                <w:rFonts w:ascii="仿宋" w:eastAsia="仿宋" w:hAnsi="仿宋" w:cs="仿宋"/>
                <w:color w:val="000000"/>
                <w:kern w:val="0"/>
                <w:sz w:val="22"/>
                <w:lang w:bidi="ar"/>
              </w:rPr>
              <w:t>．因公出国（境）费</w:t>
            </w:r>
          </w:p>
        </w:tc>
        <w:tc>
          <w:tcPr>
            <w:tcW w:w="7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7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5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（二）参照公务员法管理事业单位</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345"/>
        </w:trPr>
        <w:tc>
          <w:tcPr>
            <w:tcW w:w="5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w:t>
            </w:r>
            <w:r>
              <w:rPr>
                <w:rFonts w:ascii="仿宋" w:eastAsia="仿宋" w:hAnsi="仿宋" w:cs="仿宋"/>
                <w:color w:val="000000"/>
                <w:kern w:val="0"/>
                <w:sz w:val="22"/>
                <w:lang w:bidi="ar"/>
              </w:rPr>
              <w:t>．公务用车购置及运行维护费</w:t>
            </w:r>
          </w:p>
        </w:tc>
        <w:tc>
          <w:tcPr>
            <w:tcW w:w="7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3.00</w:t>
            </w:r>
          </w:p>
        </w:tc>
        <w:tc>
          <w:tcPr>
            <w:tcW w:w="7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2.87</w:t>
            </w:r>
          </w:p>
        </w:tc>
        <w:tc>
          <w:tcPr>
            <w:tcW w:w="5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b/>
                <w:color w:val="000000"/>
                <w:sz w:val="22"/>
              </w:rPr>
            </w:pPr>
            <w:r>
              <w:rPr>
                <w:rFonts w:ascii="仿宋" w:eastAsia="仿宋" w:hAnsi="仿宋" w:cs="仿宋"/>
                <w:b/>
                <w:color w:val="000000"/>
                <w:kern w:val="0"/>
                <w:sz w:val="22"/>
                <w:lang w:bidi="ar"/>
              </w:rPr>
              <w:t>五、国有资产占用情况</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 xml:space="preserve">　</w:t>
            </w:r>
          </w:p>
        </w:tc>
      </w:tr>
      <w:tr w:rsidR="00F51FDF">
        <w:trPr>
          <w:trHeight w:val="345"/>
        </w:trPr>
        <w:tc>
          <w:tcPr>
            <w:tcW w:w="5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w:t>
            </w:r>
            <w:r>
              <w:rPr>
                <w:rFonts w:ascii="仿宋" w:eastAsia="仿宋" w:hAnsi="仿宋" w:cs="仿宋"/>
                <w:color w:val="000000"/>
                <w:kern w:val="0"/>
                <w:sz w:val="22"/>
                <w:lang w:bidi="ar"/>
              </w:rPr>
              <w:t>1</w:t>
            </w:r>
            <w:r>
              <w:rPr>
                <w:rFonts w:ascii="仿宋" w:eastAsia="仿宋" w:hAnsi="仿宋" w:cs="仿宋"/>
                <w:color w:val="000000"/>
                <w:kern w:val="0"/>
                <w:sz w:val="22"/>
                <w:lang w:bidi="ar"/>
              </w:rPr>
              <w:t>）公务用车购置费</w:t>
            </w:r>
          </w:p>
        </w:tc>
        <w:tc>
          <w:tcPr>
            <w:tcW w:w="7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7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5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（一）车辆数合计（辆）</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w:t>
            </w:r>
          </w:p>
        </w:tc>
      </w:tr>
      <w:tr w:rsidR="00F51FDF">
        <w:trPr>
          <w:trHeight w:val="345"/>
        </w:trPr>
        <w:tc>
          <w:tcPr>
            <w:tcW w:w="5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w:t>
            </w:r>
            <w:r>
              <w:rPr>
                <w:rFonts w:ascii="仿宋" w:eastAsia="仿宋" w:hAnsi="仿宋" w:cs="仿宋"/>
                <w:color w:val="000000"/>
                <w:kern w:val="0"/>
                <w:sz w:val="22"/>
                <w:lang w:bidi="ar"/>
              </w:rPr>
              <w:t>2</w:t>
            </w:r>
            <w:r>
              <w:rPr>
                <w:rFonts w:ascii="仿宋" w:eastAsia="仿宋" w:hAnsi="仿宋" w:cs="仿宋"/>
                <w:color w:val="000000"/>
                <w:kern w:val="0"/>
                <w:sz w:val="22"/>
                <w:lang w:bidi="ar"/>
              </w:rPr>
              <w:t>）公务用车运行维护费</w:t>
            </w:r>
          </w:p>
        </w:tc>
        <w:tc>
          <w:tcPr>
            <w:tcW w:w="7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3.00</w:t>
            </w:r>
          </w:p>
        </w:tc>
        <w:tc>
          <w:tcPr>
            <w:tcW w:w="7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2.87</w:t>
            </w:r>
          </w:p>
        </w:tc>
        <w:tc>
          <w:tcPr>
            <w:tcW w:w="5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1.</w:t>
            </w:r>
            <w:r>
              <w:rPr>
                <w:rFonts w:ascii="仿宋" w:eastAsia="仿宋" w:hAnsi="仿宋" w:cs="仿宋"/>
                <w:color w:val="000000"/>
                <w:kern w:val="0"/>
                <w:sz w:val="22"/>
                <w:lang w:bidi="ar"/>
              </w:rPr>
              <w:t>副部（省）级及以上领导用车</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345"/>
        </w:trPr>
        <w:tc>
          <w:tcPr>
            <w:tcW w:w="5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3</w:t>
            </w:r>
            <w:r>
              <w:rPr>
                <w:rFonts w:ascii="仿宋" w:eastAsia="仿宋" w:hAnsi="仿宋" w:cs="仿宋"/>
                <w:color w:val="000000"/>
                <w:kern w:val="0"/>
                <w:sz w:val="22"/>
                <w:lang w:bidi="ar"/>
              </w:rPr>
              <w:t>．公务接待费</w:t>
            </w:r>
          </w:p>
        </w:tc>
        <w:tc>
          <w:tcPr>
            <w:tcW w:w="7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w:t>
            </w:r>
          </w:p>
        </w:tc>
        <w:tc>
          <w:tcPr>
            <w:tcW w:w="7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0.54</w:t>
            </w:r>
          </w:p>
        </w:tc>
        <w:tc>
          <w:tcPr>
            <w:tcW w:w="5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w:t>
            </w:r>
            <w:r>
              <w:rPr>
                <w:rFonts w:ascii="仿宋" w:eastAsia="仿宋" w:hAnsi="仿宋" w:cs="仿宋"/>
                <w:color w:val="000000"/>
                <w:kern w:val="0"/>
                <w:sz w:val="22"/>
                <w:lang w:bidi="ar"/>
              </w:rPr>
              <w:t>主要领导干部用车</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345"/>
        </w:trPr>
        <w:tc>
          <w:tcPr>
            <w:tcW w:w="5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w:t>
            </w:r>
            <w:r>
              <w:rPr>
                <w:rFonts w:ascii="仿宋" w:eastAsia="仿宋" w:hAnsi="仿宋" w:cs="仿宋"/>
                <w:color w:val="000000"/>
                <w:kern w:val="0"/>
                <w:sz w:val="22"/>
                <w:lang w:bidi="ar"/>
              </w:rPr>
              <w:t>1</w:t>
            </w:r>
            <w:r>
              <w:rPr>
                <w:rFonts w:ascii="仿宋" w:eastAsia="仿宋" w:hAnsi="仿宋" w:cs="仿宋"/>
                <w:color w:val="000000"/>
                <w:kern w:val="0"/>
                <w:sz w:val="22"/>
                <w:lang w:bidi="ar"/>
              </w:rPr>
              <w:t>）国内接待费</w:t>
            </w:r>
          </w:p>
        </w:tc>
        <w:tc>
          <w:tcPr>
            <w:tcW w:w="7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1.30</w:t>
            </w:r>
          </w:p>
        </w:tc>
        <w:tc>
          <w:tcPr>
            <w:tcW w:w="78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0.54</w:t>
            </w:r>
          </w:p>
        </w:tc>
        <w:tc>
          <w:tcPr>
            <w:tcW w:w="5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3.</w:t>
            </w:r>
            <w:r>
              <w:rPr>
                <w:rFonts w:ascii="仿宋" w:eastAsia="仿宋" w:hAnsi="仿宋" w:cs="仿宋"/>
                <w:color w:val="000000"/>
                <w:kern w:val="0"/>
                <w:sz w:val="22"/>
                <w:lang w:bidi="ar"/>
              </w:rPr>
              <w:t>机要通信用车</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345"/>
        </w:trPr>
        <w:tc>
          <w:tcPr>
            <w:tcW w:w="5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其中：外事接待费</w:t>
            </w:r>
          </w:p>
        </w:tc>
        <w:tc>
          <w:tcPr>
            <w:tcW w:w="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5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4.</w:t>
            </w:r>
            <w:r>
              <w:rPr>
                <w:rFonts w:ascii="仿宋" w:eastAsia="仿宋" w:hAnsi="仿宋" w:cs="仿宋"/>
                <w:color w:val="000000"/>
                <w:kern w:val="0"/>
                <w:sz w:val="22"/>
                <w:lang w:bidi="ar"/>
              </w:rPr>
              <w:t>应急保障用车</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w:t>
            </w:r>
          </w:p>
        </w:tc>
      </w:tr>
      <w:tr w:rsidR="00F51FDF">
        <w:trPr>
          <w:trHeight w:val="345"/>
        </w:trPr>
        <w:tc>
          <w:tcPr>
            <w:tcW w:w="5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w:t>
            </w:r>
            <w:r>
              <w:rPr>
                <w:rFonts w:ascii="仿宋" w:eastAsia="仿宋" w:hAnsi="仿宋" w:cs="仿宋"/>
                <w:color w:val="000000"/>
                <w:kern w:val="0"/>
                <w:sz w:val="22"/>
                <w:lang w:bidi="ar"/>
              </w:rPr>
              <w:t>2</w:t>
            </w:r>
            <w:r>
              <w:rPr>
                <w:rFonts w:ascii="仿宋" w:eastAsia="仿宋" w:hAnsi="仿宋" w:cs="仿宋"/>
                <w:color w:val="000000"/>
                <w:kern w:val="0"/>
                <w:sz w:val="22"/>
                <w:lang w:bidi="ar"/>
              </w:rPr>
              <w:t>）国（境）外接待费</w:t>
            </w:r>
          </w:p>
        </w:tc>
        <w:tc>
          <w:tcPr>
            <w:tcW w:w="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5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5.</w:t>
            </w:r>
            <w:r>
              <w:rPr>
                <w:rFonts w:ascii="仿宋" w:eastAsia="仿宋" w:hAnsi="仿宋" w:cs="仿宋"/>
                <w:color w:val="000000"/>
                <w:kern w:val="0"/>
                <w:sz w:val="22"/>
                <w:lang w:bidi="ar"/>
              </w:rPr>
              <w:t>执法执勤用车</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345"/>
        </w:trPr>
        <w:tc>
          <w:tcPr>
            <w:tcW w:w="5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b/>
                <w:color w:val="000000"/>
                <w:sz w:val="22"/>
              </w:rPr>
            </w:pPr>
            <w:r>
              <w:rPr>
                <w:rFonts w:ascii="仿宋" w:eastAsia="仿宋" w:hAnsi="仿宋" w:cs="仿宋"/>
                <w:b/>
                <w:color w:val="000000"/>
                <w:kern w:val="0"/>
                <w:sz w:val="22"/>
                <w:lang w:bidi="ar"/>
              </w:rPr>
              <w:t>（二）相关统计数</w:t>
            </w:r>
          </w:p>
        </w:tc>
        <w:tc>
          <w:tcPr>
            <w:tcW w:w="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5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6.</w:t>
            </w:r>
            <w:r>
              <w:rPr>
                <w:rFonts w:ascii="仿宋" w:eastAsia="仿宋" w:hAnsi="仿宋" w:cs="仿宋"/>
                <w:color w:val="000000"/>
                <w:kern w:val="0"/>
                <w:sz w:val="22"/>
                <w:lang w:bidi="ar"/>
              </w:rPr>
              <w:t>特种专业技术用车</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345"/>
        </w:trPr>
        <w:tc>
          <w:tcPr>
            <w:tcW w:w="5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1</w:t>
            </w:r>
            <w:r>
              <w:rPr>
                <w:rFonts w:ascii="仿宋" w:eastAsia="仿宋" w:hAnsi="仿宋" w:cs="仿宋"/>
                <w:color w:val="000000"/>
                <w:kern w:val="0"/>
                <w:sz w:val="22"/>
                <w:lang w:bidi="ar"/>
              </w:rPr>
              <w:t>．因公出国（境）团组数（个）</w:t>
            </w:r>
          </w:p>
        </w:tc>
        <w:tc>
          <w:tcPr>
            <w:tcW w:w="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5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7.</w:t>
            </w:r>
            <w:r>
              <w:rPr>
                <w:rFonts w:ascii="仿宋" w:eastAsia="仿宋" w:hAnsi="仿宋" w:cs="仿宋"/>
                <w:color w:val="000000"/>
                <w:kern w:val="0"/>
                <w:sz w:val="22"/>
                <w:lang w:bidi="ar"/>
              </w:rPr>
              <w:t>离退休干部用车</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trPr>
          <w:trHeight w:val="345"/>
        </w:trPr>
        <w:tc>
          <w:tcPr>
            <w:tcW w:w="5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w:t>
            </w:r>
            <w:r>
              <w:rPr>
                <w:rFonts w:ascii="仿宋" w:eastAsia="仿宋" w:hAnsi="仿宋" w:cs="仿宋"/>
                <w:color w:val="000000"/>
                <w:kern w:val="0"/>
                <w:sz w:val="22"/>
                <w:lang w:bidi="ar"/>
              </w:rPr>
              <w:t>．因公出国（境）人次数（人）</w:t>
            </w:r>
          </w:p>
        </w:tc>
        <w:tc>
          <w:tcPr>
            <w:tcW w:w="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7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58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8.</w:t>
            </w:r>
            <w:r>
              <w:rPr>
                <w:rFonts w:ascii="仿宋" w:eastAsia="仿宋" w:hAnsi="仿宋" w:cs="仿宋"/>
                <w:color w:val="000000"/>
                <w:kern w:val="0"/>
                <w:sz w:val="22"/>
                <w:lang w:bidi="ar"/>
              </w:rPr>
              <w:t>其他用车</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rsidTr="00E73CD1">
        <w:trPr>
          <w:trHeight w:val="345"/>
        </w:trPr>
        <w:tc>
          <w:tcPr>
            <w:tcW w:w="5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3</w:t>
            </w:r>
            <w:r>
              <w:rPr>
                <w:rFonts w:ascii="仿宋" w:eastAsia="仿宋" w:hAnsi="仿宋" w:cs="仿宋"/>
                <w:color w:val="000000"/>
                <w:kern w:val="0"/>
                <w:sz w:val="22"/>
                <w:lang w:bidi="ar"/>
              </w:rPr>
              <w:t>．公务用车购置数（辆）</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58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（二）单价</w:t>
            </w:r>
            <w:r>
              <w:rPr>
                <w:rFonts w:ascii="仿宋" w:eastAsia="仿宋" w:hAnsi="仿宋" w:cs="仿宋"/>
                <w:color w:val="000000"/>
                <w:kern w:val="0"/>
                <w:sz w:val="22"/>
                <w:lang w:bidi="ar"/>
              </w:rPr>
              <w:t>50</w:t>
            </w:r>
            <w:r>
              <w:rPr>
                <w:rFonts w:ascii="仿宋" w:eastAsia="仿宋" w:hAnsi="仿宋" w:cs="仿宋"/>
                <w:color w:val="000000"/>
                <w:kern w:val="0"/>
                <w:sz w:val="22"/>
                <w:lang w:bidi="ar"/>
              </w:rPr>
              <w:t>万元（含）以上通用设备（台，套）</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 xml:space="preserve">　</w:t>
            </w:r>
          </w:p>
        </w:tc>
      </w:tr>
      <w:tr w:rsidR="00F51FDF" w:rsidTr="00E73CD1">
        <w:trPr>
          <w:trHeight w:val="345"/>
        </w:trPr>
        <w:tc>
          <w:tcPr>
            <w:tcW w:w="5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4</w:t>
            </w:r>
            <w:r>
              <w:rPr>
                <w:rFonts w:ascii="仿宋" w:eastAsia="仿宋" w:hAnsi="仿宋" w:cs="仿宋"/>
                <w:color w:val="000000"/>
                <w:kern w:val="0"/>
                <w:sz w:val="22"/>
                <w:lang w:bidi="ar"/>
              </w:rPr>
              <w:t>．公务用车保有量（辆）</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w:t>
            </w:r>
          </w:p>
        </w:tc>
        <w:tc>
          <w:tcPr>
            <w:tcW w:w="58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（三）单价</w:t>
            </w:r>
            <w:r>
              <w:rPr>
                <w:rFonts w:ascii="仿宋" w:eastAsia="仿宋" w:hAnsi="仿宋" w:cs="仿宋"/>
                <w:color w:val="000000"/>
                <w:kern w:val="0"/>
                <w:sz w:val="22"/>
                <w:lang w:bidi="ar"/>
              </w:rPr>
              <w:t>100</w:t>
            </w:r>
            <w:r>
              <w:rPr>
                <w:rFonts w:ascii="仿宋" w:eastAsia="仿宋" w:hAnsi="仿宋" w:cs="仿宋"/>
                <w:color w:val="000000"/>
                <w:kern w:val="0"/>
                <w:sz w:val="22"/>
                <w:lang w:bidi="ar"/>
              </w:rPr>
              <w:t>万（含）元以上专用设备（台，套）</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 xml:space="preserve">　</w:t>
            </w:r>
          </w:p>
        </w:tc>
      </w:tr>
      <w:tr w:rsidR="00F51FDF" w:rsidTr="00E73CD1">
        <w:trPr>
          <w:trHeight w:val="345"/>
        </w:trPr>
        <w:tc>
          <w:tcPr>
            <w:tcW w:w="5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5</w:t>
            </w:r>
            <w:r>
              <w:rPr>
                <w:rFonts w:ascii="仿宋" w:eastAsia="仿宋" w:hAnsi="仿宋" w:cs="仿宋"/>
                <w:color w:val="000000"/>
                <w:kern w:val="0"/>
                <w:sz w:val="22"/>
                <w:lang w:bidi="ar"/>
              </w:rPr>
              <w:t>．国内公务接待批次（个）</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w:t>
            </w:r>
          </w:p>
        </w:tc>
        <w:tc>
          <w:tcPr>
            <w:tcW w:w="58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61641E">
            <w:pPr>
              <w:widowControl/>
              <w:jc w:val="left"/>
              <w:textAlignment w:val="center"/>
              <w:rPr>
                <w:rFonts w:ascii="仿宋" w:eastAsia="仿宋" w:hAnsi="仿宋" w:cs="仿宋"/>
                <w:b/>
                <w:color w:val="000000"/>
                <w:sz w:val="22"/>
              </w:rPr>
            </w:pPr>
            <w:r>
              <w:rPr>
                <w:rFonts w:ascii="仿宋" w:eastAsia="仿宋" w:hAnsi="仿宋" w:cs="仿宋"/>
                <w:b/>
                <w:color w:val="000000"/>
                <w:kern w:val="0"/>
                <w:sz w:val="22"/>
                <w:lang w:bidi="ar"/>
              </w:rPr>
              <w:t>六、政府采购支出信息</w:t>
            </w:r>
          </w:p>
        </w:tc>
        <w:tc>
          <w:tcPr>
            <w:tcW w:w="13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 xml:space="preserve">　</w:t>
            </w:r>
          </w:p>
        </w:tc>
      </w:tr>
      <w:tr w:rsidR="00F51FDF" w:rsidTr="00E73CD1">
        <w:trPr>
          <w:trHeight w:val="345"/>
        </w:trPr>
        <w:tc>
          <w:tcPr>
            <w:tcW w:w="5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lastRenderedPageBreak/>
              <w:t>其中：外事接待批次（个）</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58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（一）政府采购支出合计</w:t>
            </w:r>
          </w:p>
        </w:tc>
        <w:tc>
          <w:tcPr>
            <w:tcW w:w="130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4.09</w:t>
            </w:r>
          </w:p>
        </w:tc>
      </w:tr>
      <w:tr w:rsidR="00F51FDF" w:rsidTr="00E73CD1">
        <w:trPr>
          <w:trHeight w:val="345"/>
        </w:trPr>
        <w:tc>
          <w:tcPr>
            <w:tcW w:w="5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6</w:t>
            </w:r>
            <w:r>
              <w:rPr>
                <w:rFonts w:ascii="仿宋" w:eastAsia="仿宋" w:hAnsi="仿宋" w:cs="仿宋"/>
                <w:color w:val="000000"/>
                <w:kern w:val="0"/>
                <w:sz w:val="22"/>
                <w:lang w:bidi="ar"/>
              </w:rPr>
              <w:t>．国内公务接待人次（人）</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50</w:t>
            </w:r>
          </w:p>
        </w:tc>
        <w:tc>
          <w:tcPr>
            <w:tcW w:w="58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1</w:t>
            </w:r>
            <w:r>
              <w:rPr>
                <w:rFonts w:ascii="仿宋" w:eastAsia="仿宋" w:hAnsi="仿宋" w:cs="仿宋"/>
                <w:color w:val="000000"/>
                <w:kern w:val="0"/>
                <w:sz w:val="22"/>
                <w:lang w:bidi="ar"/>
              </w:rPr>
              <w:t>．政府采购货物支出</w:t>
            </w:r>
          </w:p>
        </w:tc>
        <w:tc>
          <w:tcPr>
            <w:tcW w:w="130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4.09</w:t>
            </w:r>
          </w:p>
        </w:tc>
      </w:tr>
      <w:tr w:rsidR="00F51FDF" w:rsidTr="00E73CD1">
        <w:trPr>
          <w:trHeight w:val="345"/>
        </w:trPr>
        <w:tc>
          <w:tcPr>
            <w:tcW w:w="5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其中：外事接待人次（人）</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58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2</w:t>
            </w:r>
            <w:r>
              <w:rPr>
                <w:rFonts w:ascii="仿宋" w:eastAsia="仿宋" w:hAnsi="仿宋" w:cs="仿宋"/>
                <w:color w:val="000000"/>
                <w:kern w:val="0"/>
                <w:sz w:val="22"/>
                <w:lang w:bidi="ar"/>
              </w:rPr>
              <w:t>．政府采购工程支出</w:t>
            </w:r>
          </w:p>
        </w:tc>
        <w:tc>
          <w:tcPr>
            <w:tcW w:w="130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r>
      <w:tr w:rsidR="00F51FDF" w:rsidTr="00E73CD1">
        <w:trPr>
          <w:trHeight w:val="345"/>
        </w:trPr>
        <w:tc>
          <w:tcPr>
            <w:tcW w:w="5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7</w:t>
            </w:r>
            <w:r>
              <w:rPr>
                <w:rFonts w:ascii="仿宋" w:eastAsia="仿宋" w:hAnsi="仿宋" w:cs="仿宋"/>
                <w:color w:val="000000"/>
                <w:kern w:val="0"/>
                <w:sz w:val="22"/>
                <w:lang w:bidi="ar"/>
              </w:rPr>
              <w:t>．国（境）外公务接待批次（个）</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58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3</w:t>
            </w:r>
            <w:r>
              <w:rPr>
                <w:rFonts w:ascii="仿宋" w:eastAsia="仿宋" w:hAnsi="仿宋" w:cs="仿宋"/>
                <w:color w:val="000000"/>
                <w:kern w:val="0"/>
                <w:sz w:val="22"/>
                <w:lang w:bidi="ar"/>
              </w:rPr>
              <w:t>．政府采购服务支出</w:t>
            </w:r>
          </w:p>
        </w:tc>
        <w:tc>
          <w:tcPr>
            <w:tcW w:w="130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 xml:space="preserve">　</w:t>
            </w:r>
          </w:p>
        </w:tc>
      </w:tr>
      <w:tr w:rsidR="00F51FDF" w:rsidTr="00E73CD1">
        <w:trPr>
          <w:trHeight w:val="345"/>
        </w:trPr>
        <w:tc>
          <w:tcPr>
            <w:tcW w:w="5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8</w:t>
            </w:r>
            <w:r>
              <w:rPr>
                <w:rFonts w:ascii="仿宋" w:eastAsia="仿宋" w:hAnsi="仿宋" w:cs="仿宋"/>
                <w:color w:val="000000"/>
                <w:kern w:val="0"/>
                <w:sz w:val="22"/>
                <w:lang w:bidi="ar"/>
              </w:rPr>
              <w:t>．国（境）外公务接待人次（人）</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61641E">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51FDF" w:rsidRDefault="00F51FDF">
            <w:pPr>
              <w:jc w:val="right"/>
              <w:rPr>
                <w:rFonts w:ascii="仿宋" w:eastAsia="仿宋" w:hAnsi="仿宋" w:cs="仿宋"/>
                <w:color w:val="000000"/>
                <w:sz w:val="22"/>
              </w:rPr>
            </w:pPr>
          </w:p>
        </w:tc>
        <w:tc>
          <w:tcPr>
            <w:tcW w:w="58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（二）政府采购授予中小企业合同金额</w:t>
            </w:r>
          </w:p>
        </w:tc>
        <w:tc>
          <w:tcPr>
            <w:tcW w:w="130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4.09</w:t>
            </w:r>
          </w:p>
        </w:tc>
      </w:tr>
      <w:tr w:rsidR="00F51FDF" w:rsidTr="00E73CD1">
        <w:trPr>
          <w:trHeight w:val="345"/>
        </w:trPr>
        <w:tc>
          <w:tcPr>
            <w:tcW w:w="50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61641E">
            <w:pPr>
              <w:widowControl/>
              <w:jc w:val="left"/>
              <w:textAlignment w:val="center"/>
              <w:rPr>
                <w:rFonts w:ascii="仿宋" w:eastAsia="仿宋" w:hAnsi="仿宋" w:cs="仿宋"/>
                <w:b/>
                <w:color w:val="000000"/>
                <w:sz w:val="22"/>
              </w:rPr>
            </w:pPr>
            <w:bookmarkStart w:id="0" w:name="_GoBack" w:colFirst="0" w:colLast="0"/>
            <w:r>
              <w:rPr>
                <w:rFonts w:ascii="仿宋" w:eastAsia="仿宋" w:hAnsi="仿宋" w:cs="仿宋"/>
                <w:b/>
                <w:color w:val="000000"/>
                <w:kern w:val="0"/>
                <w:sz w:val="22"/>
                <w:lang w:bidi="ar"/>
              </w:rPr>
              <w:t>二、会议费</w:t>
            </w:r>
          </w:p>
        </w:tc>
        <w:tc>
          <w:tcPr>
            <w:tcW w:w="787"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3.50</w:t>
            </w:r>
          </w:p>
        </w:tc>
        <w:tc>
          <w:tcPr>
            <w:tcW w:w="787"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3.33</w:t>
            </w:r>
          </w:p>
        </w:tc>
        <w:tc>
          <w:tcPr>
            <w:tcW w:w="58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其中：授予小微企业合同金额</w:t>
            </w:r>
          </w:p>
        </w:tc>
        <w:tc>
          <w:tcPr>
            <w:tcW w:w="1301"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4.09</w:t>
            </w:r>
          </w:p>
        </w:tc>
      </w:tr>
      <w:tr w:rsidR="00F51FDF" w:rsidTr="00E73CD1">
        <w:trPr>
          <w:trHeight w:val="345"/>
        </w:trPr>
        <w:tc>
          <w:tcPr>
            <w:tcW w:w="50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61641E">
            <w:pPr>
              <w:widowControl/>
              <w:jc w:val="left"/>
              <w:textAlignment w:val="center"/>
              <w:rPr>
                <w:rFonts w:ascii="仿宋" w:eastAsia="仿宋" w:hAnsi="仿宋" w:cs="仿宋"/>
                <w:b/>
                <w:color w:val="000000"/>
                <w:sz w:val="22"/>
              </w:rPr>
            </w:pPr>
            <w:r>
              <w:rPr>
                <w:rFonts w:ascii="仿宋" w:eastAsia="仿宋" w:hAnsi="仿宋" w:cs="仿宋"/>
                <w:b/>
                <w:color w:val="000000"/>
                <w:kern w:val="0"/>
                <w:sz w:val="22"/>
                <w:lang w:bidi="ar"/>
              </w:rPr>
              <w:t>三、培训费</w:t>
            </w:r>
          </w:p>
        </w:tc>
        <w:tc>
          <w:tcPr>
            <w:tcW w:w="787"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15.00</w:t>
            </w:r>
          </w:p>
        </w:tc>
        <w:tc>
          <w:tcPr>
            <w:tcW w:w="787" w:type="dxa"/>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61641E">
            <w:pPr>
              <w:widowControl/>
              <w:jc w:val="right"/>
              <w:textAlignment w:val="center"/>
              <w:rPr>
                <w:rFonts w:ascii="仿宋" w:eastAsia="仿宋" w:hAnsi="仿宋" w:cs="仿宋"/>
                <w:color w:val="000000"/>
                <w:sz w:val="22"/>
              </w:rPr>
            </w:pPr>
            <w:r>
              <w:rPr>
                <w:rFonts w:ascii="仿宋" w:eastAsia="仿宋" w:hAnsi="仿宋" w:cs="仿宋"/>
                <w:color w:val="000000"/>
                <w:kern w:val="0"/>
                <w:sz w:val="22"/>
                <w:lang w:bidi="ar"/>
              </w:rPr>
              <w:t>14.87</w:t>
            </w:r>
          </w:p>
        </w:tc>
        <w:tc>
          <w:tcPr>
            <w:tcW w:w="58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F51FDF">
            <w:pPr>
              <w:jc w:val="left"/>
              <w:rPr>
                <w:rFonts w:ascii="仿宋" w:eastAsia="仿宋" w:hAnsi="仿宋" w:cs="仿宋"/>
                <w:color w:val="000000"/>
                <w:sz w:val="22"/>
              </w:rPr>
            </w:pPr>
          </w:p>
        </w:tc>
        <w:tc>
          <w:tcPr>
            <w:tcW w:w="130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F51FDF" w:rsidRDefault="00F51FDF">
            <w:pPr>
              <w:jc w:val="left"/>
              <w:rPr>
                <w:rFonts w:ascii="仿宋" w:eastAsia="仿宋" w:hAnsi="仿宋" w:cs="仿宋"/>
                <w:color w:val="000000"/>
                <w:sz w:val="22"/>
              </w:rPr>
            </w:pPr>
          </w:p>
        </w:tc>
      </w:tr>
      <w:tr w:rsidR="00F51FDF" w:rsidTr="00E73CD1">
        <w:trPr>
          <w:trHeight w:val="345"/>
        </w:trPr>
        <w:tc>
          <w:tcPr>
            <w:tcW w:w="13806" w:type="dxa"/>
            <w:gridSpan w:val="5"/>
            <w:tcBorders>
              <w:top w:val="nil"/>
              <w:left w:val="nil"/>
              <w:bottom w:val="nil"/>
              <w:right w:val="nil"/>
            </w:tcBorders>
            <w:shd w:val="clear" w:color="auto" w:fill="FFFFFF" w:themeFill="background1"/>
            <w:noWrap/>
            <w:tcMar>
              <w:top w:w="15" w:type="dxa"/>
              <w:left w:w="15" w:type="dxa"/>
              <w:right w:w="15" w:type="dxa"/>
            </w:tcMar>
            <w:vAlign w:val="center"/>
          </w:tcPr>
          <w:p w:rsidR="00F51FDF" w:rsidRDefault="0061641E">
            <w:pPr>
              <w:widowControl/>
              <w:jc w:val="left"/>
              <w:textAlignment w:val="center"/>
              <w:rPr>
                <w:rFonts w:ascii="仿宋" w:eastAsia="仿宋" w:hAnsi="仿宋" w:cs="仿宋"/>
                <w:color w:val="000000"/>
                <w:sz w:val="22"/>
              </w:rPr>
            </w:pPr>
            <w:r>
              <w:rPr>
                <w:rFonts w:ascii="仿宋" w:eastAsia="仿宋" w:hAnsi="仿宋" w:cs="仿宋"/>
                <w:color w:val="000000"/>
                <w:kern w:val="0"/>
                <w:sz w:val="22"/>
                <w:lang w:bidi="ar"/>
              </w:rPr>
              <w:t>备注：预算数年初部门预算批复数，决算数包括当年财政拨款预算和以前年度结转结余资金安排的实际支出。</w:t>
            </w:r>
          </w:p>
        </w:tc>
      </w:tr>
      <w:bookmarkEnd w:id="0"/>
      <w:tr w:rsidR="00F51FDF">
        <w:trPr>
          <w:trHeight w:val="345"/>
        </w:trPr>
        <w:tc>
          <w:tcPr>
            <w:tcW w:w="13806" w:type="dxa"/>
            <w:gridSpan w:val="5"/>
            <w:tcBorders>
              <w:top w:val="nil"/>
              <w:left w:val="nil"/>
              <w:bottom w:val="nil"/>
              <w:right w:val="nil"/>
            </w:tcBorders>
            <w:tcMar>
              <w:top w:w="15" w:type="dxa"/>
              <w:left w:w="15" w:type="dxa"/>
              <w:right w:w="15" w:type="dxa"/>
            </w:tcMar>
            <w:vAlign w:val="center"/>
          </w:tcPr>
          <w:p w:rsidR="00F51FDF" w:rsidRDefault="00F51FDF">
            <w:pPr>
              <w:widowControl/>
              <w:jc w:val="left"/>
              <w:textAlignment w:val="center"/>
              <w:rPr>
                <w:rFonts w:ascii="仿宋" w:eastAsia="仿宋" w:hAnsi="仿宋" w:cs="仿宋"/>
                <w:color w:val="000000"/>
                <w:sz w:val="22"/>
              </w:rPr>
            </w:pPr>
          </w:p>
        </w:tc>
      </w:tr>
    </w:tbl>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tbl>
      <w:tblPr>
        <w:tblW w:w="13965" w:type="dxa"/>
        <w:tblInd w:w="93" w:type="dxa"/>
        <w:tblLook w:val="04A0" w:firstRow="1" w:lastRow="0" w:firstColumn="1" w:lastColumn="0" w:noHBand="0" w:noVBand="1"/>
      </w:tblPr>
      <w:tblGrid>
        <w:gridCol w:w="1036"/>
        <w:gridCol w:w="1200"/>
        <w:gridCol w:w="1279"/>
        <w:gridCol w:w="1168"/>
        <w:gridCol w:w="3484"/>
        <w:gridCol w:w="519"/>
        <w:gridCol w:w="4731"/>
        <w:gridCol w:w="550"/>
      </w:tblGrid>
      <w:tr w:rsidR="00F51FDF">
        <w:trPr>
          <w:trHeight w:val="825"/>
        </w:trPr>
        <w:tc>
          <w:tcPr>
            <w:tcW w:w="13967" w:type="dxa"/>
            <w:gridSpan w:val="8"/>
            <w:tcBorders>
              <w:top w:val="nil"/>
              <w:left w:val="nil"/>
              <w:bottom w:val="nil"/>
              <w:right w:val="nil"/>
            </w:tcBorders>
            <w:noWrap/>
            <w:vAlign w:val="center"/>
          </w:tcPr>
          <w:p w:rsidR="00F51FDF" w:rsidRDefault="0061641E">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2019</w:t>
            </w:r>
            <w:r>
              <w:rPr>
                <w:rFonts w:ascii="宋体" w:hAnsi="宋体" w:cs="宋体" w:hint="eastAsia"/>
                <w:b/>
                <w:bCs/>
                <w:color w:val="000000"/>
                <w:kern w:val="0"/>
                <w:sz w:val="32"/>
                <w:szCs w:val="32"/>
                <w:lang w:bidi="ar"/>
              </w:rPr>
              <w:t>年度渝中区市级民生实事项目公共区域免费</w:t>
            </w:r>
            <w:r>
              <w:rPr>
                <w:rFonts w:ascii="宋体" w:hAnsi="宋体" w:cs="宋体" w:hint="eastAsia"/>
                <w:b/>
                <w:bCs/>
                <w:color w:val="000000"/>
                <w:kern w:val="0"/>
                <w:sz w:val="32"/>
                <w:szCs w:val="32"/>
                <w:lang w:bidi="ar"/>
              </w:rPr>
              <w:t>Wifi</w:t>
            </w:r>
            <w:r>
              <w:rPr>
                <w:rFonts w:ascii="宋体" w:hAnsi="宋体" w:cs="宋体" w:hint="eastAsia"/>
                <w:b/>
                <w:bCs/>
                <w:color w:val="000000"/>
                <w:kern w:val="0"/>
                <w:sz w:val="32"/>
                <w:szCs w:val="32"/>
                <w:lang w:bidi="ar"/>
              </w:rPr>
              <w:t>营运补贴资金绩效评价指标体系</w:t>
            </w:r>
          </w:p>
        </w:tc>
      </w:tr>
      <w:tr w:rsidR="00F51FDF">
        <w:trPr>
          <w:trHeight w:val="540"/>
        </w:trPr>
        <w:tc>
          <w:tcPr>
            <w:tcW w:w="1036" w:type="dxa"/>
            <w:tcBorders>
              <w:top w:val="single" w:sz="8" w:space="0" w:color="000000"/>
              <w:left w:val="single" w:sz="8"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一级指标</w:t>
            </w:r>
          </w:p>
        </w:tc>
        <w:tc>
          <w:tcPr>
            <w:tcW w:w="1200" w:type="dxa"/>
            <w:tcBorders>
              <w:top w:val="single" w:sz="8"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二级指标</w:t>
            </w:r>
          </w:p>
        </w:tc>
        <w:tc>
          <w:tcPr>
            <w:tcW w:w="1279" w:type="dxa"/>
            <w:tcBorders>
              <w:top w:val="single" w:sz="8"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三级指标</w:t>
            </w:r>
          </w:p>
        </w:tc>
        <w:tc>
          <w:tcPr>
            <w:tcW w:w="1168" w:type="dxa"/>
            <w:tcBorders>
              <w:top w:val="single" w:sz="8"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明细指标</w:t>
            </w:r>
          </w:p>
        </w:tc>
        <w:tc>
          <w:tcPr>
            <w:tcW w:w="3484" w:type="dxa"/>
            <w:tcBorders>
              <w:top w:val="single" w:sz="8"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指标说明</w:t>
            </w:r>
          </w:p>
        </w:tc>
        <w:tc>
          <w:tcPr>
            <w:tcW w:w="485" w:type="dxa"/>
            <w:tcBorders>
              <w:top w:val="single" w:sz="8"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分值</w:t>
            </w:r>
          </w:p>
        </w:tc>
        <w:tc>
          <w:tcPr>
            <w:tcW w:w="4765" w:type="dxa"/>
            <w:tcBorders>
              <w:top w:val="single" w:sz="8"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评价标准</w:t>
            </w:r>
          </w:p>
        </w:tc>
        <w:tc>
          <w:tcPr>
            <w:tcW w:w="550" w:type="dxa"/>
            <w:tcBorders>
              <w:top w:val="single" w:sz="8" w:space="0" w:color="000000"/>
              <w:left w:val="single" w:sz="4" w:space="0" w:color="000000"/>
              <w:bottom w:val="single" w:sz="4" w:space="0" w:color="000000"/>
              <w:right w:val="single" w:sz="8" w:space="0" w:color="000000"/>
            </w:tcBorders>
            <w:vAlign w:val="center"/>
          </w:tcPr>
          <w:p w:rsidR="00F51FDF" w:rsidRDefault="006164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得分</w:t>
            </w:r>
          </w:p>
        </w:tc>
      </w:tr>
      <w:tr w:rsidR="00F51FDF">
        <w:trPr>
          <w:trHeight w:val="495"/>
        </w:trPr>
        <w:tc>
          <w:tcPr>
            <w:tcW w:w="1036" w:type="dxa"/>
            <w:vMerge w:val="restart"/>
            <w:tcBorders>
              <w:top w:val="single" w:sz="4" w:space="0" w:color="000000"/>
              <w:left w:val="single" w:sz="8" w:space="0" w:color="000000"/>
              <w:bottom w:val="single" w:sz="4" w:space="0" w:color="000000"/>
              <w:right w:val="single" w:sz="4" w:space="0" w:color="000000"/>
            </w:tcBorders>
            <w:textDirection w:val="tbRlV"/>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产出</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目</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产</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出</w:t>
            </w:r>
          </w:p>
        </w:tc>
        <w:tc>
          <w:tcPr>
            <w:tcW w:w="1279" w:type="dxa"/>
            <w:vMerge w:val="restart"/>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实际完成率</w:t>
            </w:r>
          </w:p>
        </w:tc>
        <w:tc>
          <w:tcPr>
            <w:tcW w:w="1168"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上网用户</w:t>
            </w:r>
          </w:p>
        </w:tc>
        <w:tc>
          <w:tcPr>
            <w:tcW w:w="3484"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88544</w:t>
            </w:r>
            <w:r>
              <w:rPr>
                <w:rFonts w:ascii="宋体" w:hAnsi="宋体" w:cs="宋体" w:hint="eastAsia"/>
                <w:color w:val="000000"/>
                <w:kern w:val="0"/>
                <w:sz w:val="20"/>
                <w:szCs w:val="20"/>
                <w:lang w:bidi="ar"/>
              </w:rPr>
              <w:t>人次</w:t>
            </w:r>
          </w:p>
        </w:tc>
        <w:tc>
          <w:tcPr>
            <w:tcW w:w="48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476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达到目标得满分，未达到按比例得分</w:t>
            </w:r>
          </w:p>
        </w:tc>
        <w:tc>
          <w:tcPr>
            <w:tcW w:w="0" w:type="auto"/>
            <w:tcBorders>
              <w:top w:val="single" w:sz="4" w:space="0" w:color="000000"/>
              <w:left w:val="single" w:sz="4" w:space="0" w:color="000000"/>
              <w:bottom w:val="single" w:sz="4" w:space="0" w:color="000000"/>
              <w:right w:val="single" w:sz="8" w:space="0" w:color="000000"/>
            </w:tcBorders>
            <w:noWrap/>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r>
      <w:tr w:rsidR="00F51FDF">
        <w:trPr>
          <w:trHeight w:val="495"/>
        </w:trPr>
        <w:tc>
          <w:tcPr>
            <w:tcW w:w="1036" w:type="dxa"/>
            <w:vMerge/>
            <w:tcBorders>
              <w:top w:val="single" w:sz="4" w:space="0" w:color="000000"/>
              <w:left w:val="single" w:sz="8" w:space="0" w:color="000000"/>
              <w:bottom w:val="single" w:sz="4" w:space="0" w:color="000000"/>
              <w:right w:val="single" w:sz="4" w:space="0" w:color="000000"/>
            </w:tcBorders>
            <w:textDirection w:val="tbRlV"/>
            <w:vAlign w:val="center"/>
          </w:tcPr>
          <w:p w:rsidR="00F51FDF" w:rsidRDefault="00F51FDF">
            <w:pPr>
              <w:jc w:val="center"/>
              <w:rPr>
                <w:rFonts w:ascii="宋体" w:hAnsi="宋体" w:cs="宋体"/>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F51FDF" w:rsidRDefault="00F51FDF">
            <w:pPr>
              <w:jc w:val="center"/>
              <w:rPr>
                <w:rFonts w:ascii="宋体" w:hAnsi="宋体"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rsidR="00F51FDF" w:rsidRDefault="00F51FDF">
            <w:pPr>
              <w:jc w:val="center"/>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上网流量</w:t>
            </w:r>
          </w:p>
        </w:tc>
        <w:tc>
          <w:tcPr>
            <w:tcW w:w="3484"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152.3TB</w:t>
            </w:r>
          </w:p>
        </w:tc>
        <w:tc>
          <w:tcPr>
            <w:tcW w:w="48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476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达到目标得满分，未达到按比例得分</w:t>
            </w:r>
          </w:p>
        </w:tc>
        <w:tc>
          <w:tcPr>
            <w:tcW w:w="0" w:type="auto"/>
            <w:tcBorders>
              <w:top w:val="single" w:sz="4" w:space="0" w:color="000000"/>
              <w:left w:val="single" w:sz="4" w:space="0" w:color="000000"/>
              <w:bottom w:val="single" w:sz="4" w:space="0" w:color="000000"/>
              <w:right w:val="single" w:sz="8" w:space="0" w:color="000000"/>
            </w:tcBorders>
            <w:noWrap/>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r>
      <w:tr w:rsidR="00F51FDF">
        <w:trPr>
          <w:trHeight w:val="375"/>
        </w:trPr>
        <w:tc>
          <w:tcPr>
            <w:tcW w:w="1036" w:type="dxa"/>
            <w:vMerge/>
            <w:tcBorders>
              <w:top w:val="single" w:sz="4" w:space="0" w:color="000000"/>
              <w:left w:val="single" w:sz="8" w:space="0" w:color="000000"/>
              <w:bottom w:val="single" w:sz="4" w:space="0" w:color="000000"/>
              <w:right w:val="single" w:sz="4" w:space="0" w:color="000000"/>
            </w:tcBorders>
            <w:textDirection w:val="tbRlV"/>
            <w:vAlign w:val="center"/>
          </w:tcPr>
          <w:p w:rsidR="00F51FDF" w:rsidRDefault="00F51FDF">
            <w:pPr>
              <w:jc w:val="center"/>
              <w:rPr>
                <w:rFonts w:ascii="宋体" w:hAnsi="宋体" w:cs="宋体"/>
                <w:color w:val="000000"/>
                <w:sz w:val="20"/>
                <w:szCs w:val="20"/>
              </w:rPr>
            </w:pPr>
          </w:p>
        </w:tc>
        <w:tc>
          <w:tcPr>
            <w:tcW w:w="3647" w:type="dxa"/>
            <w:gridSpan w:val="3"/>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3484" w:type="dxa"/>
            <w:tcBorders>
              <w:top w:val="single" w:sz="4" w:space="0" w:color="000000"/>
              <w:left w:val="single" w:sz="4" w:space="0" w:color="000000"/>
              <w:bottom w:val="single" w:sz="4" w:space="0" w:color="000000"/>
              <w:right w:val="single" w:sz="4" w:space="0" w:color="000000"/>
            </w:tcBorders>
            <w:vAlign w:val="center"/>
          </w:tcPr>
          <w:p w:rsidR="00F51FDF" w:rsidRDefault="00F51FDF">
            <w:pPr>
              <w:rPr>
                <w:rFonts w:ascii="宋体" w:hAnsi="宋体" w:cs="宋体"/>
                <w:color w:val="000000"/>
                <w:sz w:val="20"/>
                <w:szCs w:val="20"/>
              </w:rPr>
            </w:pPr>
          </w:p>
        </w:tc>
        <w:tc>
          <w:tcPr>
            <w:tcW w:w="48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30</w:t>
            </w:r>
          </w:p>
        </w:tc>
        <w:tc>
          <w:tcPr>
            <w:tcW w:w="4765" w:type="dxa"/>
            <w:tcBorders>
              <w:top w:val="single" w:sz="4" w:space="0" w:color="000000"/>
              <w:left w:val="single" w:sz="4" w:space="0" w:color="000000"/>
              <w:bottom w:val="single" w:sz="4" w:space="0" w:color="000000"/>
              <w:right w:val="single" w:sz="4" w:space="0" w:color="000000"/>
            </w:tcBorders>
            <w:vAlign w:val="center"/>
          </w:tcPr>
          <w:p w:rsidR="00F51FDF" w:rsidRDefault="00F51FDF">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8" w:space="0" w:color="000000"/>
            </w:tcBorders>
            <w:noWrap/>
            <w:vAlign w:val="center"/>
          </w:tcPr>
          <w:p w:rsidR="00F51FDF" w:rsidRDefault="006164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30</w:t>
            </w:r>
          </w:p>
        </w:tc>
      </w:tr>
      <w:tr w:rsidR="00F51FDF">
        <w:trPr>
          <w:trHeight w:val="405"/>
        </w:trPr>
        <w:tc>
          <w:tcPr>
            <w:tcW w:w="1036" w:type="dxa"/>
            <w:vMerge w:val="restart"/>
            <w:tcBorders>
              <w:top w:val="single" w:sz="4" w:space="0" w:color="000000"/>
              <w:left w:val="single" w:sz="8" w:space="0" w:color="000000"/>
              <w:bottom w:val="single" w:sz="4" w:space="0" w:color="000000"/>
              <w:right w:val="single" w:sz="4" w:space="0" w:color="000000"/>
            </w:tcBorders>
            <w:textDirection w:val="tbRlV"/>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效果</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项目效益</w:t>
            </w:r>
          </w:p>
        </w:tc>
        <w:tc>
          <w:tcPr>
            <w:tcW w:w="1279" w:type="dxa"/>
            <w:vMerge w:val="restart"/>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经济效益</w:t>
            </w:r>
          </w:p>
        </w:tc>
        <w:tc>
          <w:tcPr>
            <w:tcW w:w="1168"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上网用户</w:t>
            </w:r>
          </w:p>
        </w:tc>
        <w:tc>
          <w:tcPr>
            <w:tcW w:w="3484"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增长</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以上</w:t>
            </w:r>
          </w:p>
        </w:tc>
        <w:tc>
          <w:tcPr>
            <w:tcW w:w="48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476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达到目标得满分，未达到按比例得分</w:t>
            </w:r>
          </w:p>
        </w:tc>
        <w:tc>
          <w:tcPr>
            <w:tcW w:w="0" w:type="auto"/>
            <w:tcBorders>
              <w:top w:val="single" w:sz="4" w:space="0" w:color="000000"/>
              <w:left w:val="single" w:sz="4" w:space="0" w:color="000000"/>
              <w:bottom w:val="single" w:sz="4" w:space="0" w:color="000000"/>
              <w:right w:val="single" w:sz="8" w:space="0" w:color="000000"/>
            </w:tcBorders>
            <w:noWrap/>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r>
      <w:tr w:rsidR="00F51FDF">
        <w:trPr>
          <w:trHeight w:val="405"/>
        </w:trPr>
        <w:tc>
          <w:tcPr>
            <w:tcW w:w="1036" w:type="dxa"/>
            <w:vMerge/>
            <w:tcBorders>
              <w:top w:val="single" w:sz="4" w:space="0" w:color="000000"/>
              <w:left w:val="single" w:sz="8" w:space="0" w:color="000000"/>
              <w:bottom w:val="single" w:sz="4" w:space="0" w:color="000000"/>
              <w:right w:val="single" w:sz="4" w:space="0" w:color="000000"/>
            </w:tcBorders>
            <w:textDirection w:val="tbRlV"/>
            <w:vAlign w:val="center"/>
          </w:tcPr>
          <w:p w:rsidR="00F51FDF" w:rsidRDefault="00F51FDF">
            <w:pPr>
              <w:jc w:val="center"/>
              <w:rPr>
                <w:rFonts w:ascii="宋体" w:hAnsi="宋体" w:cs="宋体"/>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F51FDF" w:rsidRDefault="00F51FDF">
            <w:pPr>
              <w:jc w:val="center"/>
              <w:rPr>
                <w:rFonts w:ascii="宋体" w:hAnsi="宋体"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rsidR="00F51FDF" w:rsidRDefault="00F51FDF">
            <w:pPr>
              <w:jc w:val="center"/>
              <w:rPr>
                <w:rFonts w:ascii="宋体" w:hAnsi="宋体" w:cs="宋体"/>
                <w:color w:val="000000"/>
                <w:sz w:val="20"/>
                <w:szCs w:val="20"/>
              </w:rPr>
            </w:pPr>
          </w:p>
        </w:tc>
        <w:tc>
          <w:tcPr>
            <w:tcW w:w="1168" w:type="dxa"/>
            <w:tcBorders>
              <w:top w:val="nil"/>
              <w:left w:val="nil"/>
              <w:bottom w:val="nil"/>
              <w:right w:val="nil"/>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上网流量</w:t>
            </w:r>
          </w:p>
        </w:tc>
        <w:tc>
          <w:tcPr>
            <w:tcW w:w="3484"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增长</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以上</w:t>
            </w:r>
          </w:p>
        </w:tc>
        <w:tc>
          <w:tcPr>
            <w:tcW w:w="48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476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达到目标得满分，未达到按比例得分</w:t>
            </w:r>
          </w:p>
        </w:tc>
        <w:tc>
          <w:tcPr>
            <w:tcW w:w="0" w:type="auto"/>
            <w:tcBorders>
              <w:top w:val="single" w:sz="4" w:space="0" w:color="000000"/>
              <w:left w:val="single" w:sz="4" w:space="0" w:color="000000"/>
              <w:bottom w:val="single" w:sz="4" w:space="0" w:color="000000"/>
              <w:right w:val="single" w:sz="8" w:space="0" w:color="000000"/>
            </w:tcBorders>
            <w:noWrap/>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r>
      <w:tr w:rsidR="00F51FDF">
        <w:trPr>
          <w:trHeight w:val="435"/>
        </w:trPr>
        <w:tc>
          <w:tcPr>
            <w:tcW w:w="1036" w:type="dxa"/>
            <w:vMerge/>
            <w:tcBorders>
              <w:top w:val="single" w:sz="4" w:space="0" w:color="000000"/>
              <w:left w:val="single" w:sz="8" w:space="0" w:color="000000"/>
              <w:bottom w:val="single" w:sz="4" w:space="0" w:color="000000"/>
              <w:right w:val="single" w:sz="4" w:space="0" w:color="000000"/>
            </w:tcBorders>
            <w:textDirection w:val="tbRlV"/>
            <w:vAlign w:val="center"/>
          </w:tcPr>
          <w:p w:rsidR="00F51FDF" w:rsidRDefault="00F51FDF">
            <w:pPr>
              <w:jc w:val="center"/>
              <w:rPr>
                <w:rFonts w:ascii="宋体" w:hAnsi="宋体" w:cs="宋体"/>
                <w:color w:val="000000"/>
                <w:sz w:val="20"/>
                <w:szCs w:val="20"/>
              </w:rPr>
            </w:pPr>
          </w:p>
        </w:tc>
        <w:tc>
          <w:tcPr>
            <w:tcW w:w="7131" w:type="dxa"/>
            <w:gridSpan w:val="4"/>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48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30</w:t>
            </w:r>
          </w:p>
        </w:tc>
        <w:tc>
          <w:tcPr>
            <w:tcW w:w="4765" w:type="dxa"/>
            <w:tcBorders>
              <w:top w:val="single" w:sz="4" w:space="0" w:color="000000"/>
              <w:left w:val="single" w:sz="4" w:space="0" w:color="000000"/>
              <w:bottom w:val="single" w:sz="4" w:space="0" w:color="000000"/>
              <w:right w:val="single" w:sz="4" w:space="0" w:color="000000"/>
            </w:tcBorders>
            <w:vAlign w:val="center"/>
          </w:tcPr>
          <w:p w:rsidR="00F51FDF" w:rsidRDefault="00F51FDF">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8" w:space="0" w:color="000000"/>
            </w:tcBorders>
            <w:noWrap/>
            <w:vAlign w:val="center"/>
          </w:tcPr>
          <w:p w:rsidR="00F51FDF" w:rsidRDefault="006164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30</w:t>
            </w:r>
          </w:p>
        </w:tc>
      </w:tr>
      <w:tr w:rsidR="00F51FDF">
        <w:trPr>
          <w:trHeight w:val="750"/>
        </w:trPr>
        <w:tc>
          <w:tcPr>
            <w:tcW w:w="1036" w:type="dxa"/>
            <w:vMerge w:val="restart"/>
            <w:tcBorders>
              <w:top w:val="single" w:sz="4" w:space="0" w:color="000000"/>
              <w:left w:val="single" w:sz="8" w:space="0" w:color="000000"/>
              <w:bottom w:val="single" w:sz="4" w:space="0" w:color="000000"/>
              <w:right w:val="single" w:sz="4" w:space="0" w:color="000000"/>
            </w:tcBorders>
            <w:textDirection w:val="tbRlV"/>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管理</w:t>
            </w:r>
          </w:p>
        </w:tc>
        <w:tc>
          <w:tcPr>
            <w:tcW w:w="1200" w:type="dxa"/>
            <w:vMerge w:val="restart"/>
            <w:tcBorders>
              <w:top w:val="single" w:sz="4" w:space="0" w:color="000000"/>
              <w:left w:val="single" w:sz="4" w:space="0" w:color="000000"/>
              <w:bottom w:val="nil"/>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策</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管</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理</w:t>
            </w:r>
          </w:p>
        </w:tc>
        <w:tc>
          <w:tcPr>
            <w:tcW w:w="1279" w:type="dxa"/>
            <w:vMerge w:val="restart"/>
            <w:tcBorders>
              <w:top w:val="single" w:sz="4" w:space="0" w:color="000000"/>
              <w:left w:val="single" w:sz="4" w:space="0" w:color="000000"/>
              <w:bottom w:val="nil"/>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立项依据</w:t>
            </w:r>
          </w:p>
        </w:tc>
        <w:tc>
          <w:tcPr>
            <w:tcW w:w="1168"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必要性</w:t>
            </w:r>
          </w:p>
        </w:tc>
        <w:tc>
          <w:tcPr>
            <w:tcW w:w="3484"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项目实施是否符合渝中区当年重点任务目标，是否具有紧迫性，是否符合现实政策情况，符合客观发展需要。</w:t>
            </w:r>
          </w:p>
        </w:tc>
        <w:tc>
          <w:tcPr>
            <w:tcW w:w="48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476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项目立项具有必要性，符合现实政策情况，符合客观实际，得</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分；否者不得分。</w:t>
            </w:r>
          </w:p>
        </w:tc>
        <w:tc>
          <w:tcPr>
            <w:tcW w:w="0" w:type="auto"/>
            <w:tcBorders>
              <w:top w:val="single" w:sz="4" w:space="0" w:color="000000"/>
              <w:left w:val="single" w:sz="4" w:space="0" w:color="000000"/>
              <w:bottom w:val="single" w:sz="4" w:space="0" w:color="000000"/>
              <w:right w:val="single" w:sz="8" w:space="0" w:color="000000"/>
            </w:tcBorders>
            <w:noWrap/>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F51FDF">
        <w:trPr>
          <w:trHeight w:val="750"/>
        </w:trPr>
        <w:tc>
          <w:tcPr>
            <w:tcW w:w="1036" w:type="dxa"/>
            <w:vMerge/>
            <w:tcBorders>
              <w:top w:val="single" w:sz="4" w:space="0" w:color="000000"/>
              <w:left w:val="single" w:sz="8" w:space="0" w:color="000000"/>
              <w:bottom w:val="single" w:sz="4" w:space="0" w:color="000000"/>
              <w:right w:val="single" w:sz="4" w:space="0" w:color="000000"/>
            </w:tcBorders>
            <w:textDirection w:val="tbRlV"/>
            <w:vAlign w:val="center"/>
          </w:tcPr>
          <w:p w:rsidR="00F51FDF" w:rsidRDefault="00F51FDF">
            <w:pPr>
              <w:jc w:val="center"/>
              <w:rPr>
                <w:rFonts w:ascii="宋体" w:hAnsi="宋体" w:cs="宋体"/>
                <w:color w:val="000000"/>
                <w:sz w:val="20"/>
                <w:szCs w:val="20"/>
              </w:rPr>
            </w:pPr>
          </w:p>
        </w:tc>
        <w:tc>
          <w:tcPr>
            <w:tcW w:w="1200" w:type="dxa"/>
            <w:vMerge/>
            <w:tcBorders>
              <w:top w:val="single" w:sz="4" w:space="0" w:color="000000"/>
              <w:left w:val="single" w:sz="4" w:space="0" w:color="000000"/>
              <w:bottom w:val="nil"/>
              <w:right w:val="single" w:sz="4" w:space="0" w:color="000000"/>
            </w:tcBorders>
            <w:vAlign w:val="center"/>
          </w:tcPr>
          <w:p w:rsidR="00F51FDF" w:rsidRDefault="00F51FDF">
            <w:pPr>
              <w:jc w:val="center"/>
              <w:rPr>
                <w:rFonts w:ascii="宋体" w:hAnsi="宋体" w:cs="宋体"/>
                <w:color w:val="000000"/>
                <w:sz w:val="20"/>
                <w:szCs w:val="20"/>
              </w:rPr>
            </w:pPr>
          </w:p>
        </w:tc>
        <w:tc>
          <w:tcPr>
            <w:tcW w:w="1279" w:type="dxa"/>
            <w:vMerge/>
            <w:tcBorders>
              <w:top w:val="single" w:sz="4" w:space="0" w:color="000000"/>
              <w:left w:val="single" w:sz="4" w:space="0" w:color="000000"/>
              <w:bottom w:val="nil"/>
              <w:right w:val="single" w:sz="4" w:space="0" w:color="000000"/>
            </w:tcBorders>
            <w:vAlign w:val="center"/>
          </w:tcPr>
          <w:p w:rsidR="00F51FDF" w:rsidRDefault="00F51FDF">
            <w:pPr>
              <w:jc w:val="center"/>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充分性</w:t>
            </w:r>
          </w:p>
        </w:tc>
        <w:tc>
          <w:tcPr>
            <w:tcW w:w="3484"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项目的实施过程是否符合国家相关法律法规和党委政府决策等，项目的前期可行性研究、前期决策等是否充分。</w:t>
            </w:r>
          </w:p>
        </w:tc>
        <w:tc>
          <w:tcPr>
            <w:tcW w:w="48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476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项目立项具有充分性，符合国家相关法律法规和党委政府决策等，且前期决策充分或可行性研究充分得</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分；否则不得分。</w:t>
            </w:r>
          </w:p>
        </w:tc>
        <w:tc>
          <w:tcPr>
            <w:tcW w:w="0" w:type="auto"/>
            <w:tcBorders>
              <w:top w:val="single" w:sz="4" w:space="0" w:color="000000"/>
              <w:left w:val="single" w:sz="4" w:space="0" w:color="000000"/>
              <w:bottom w:val="single" w:sz="4" w:space="0" w:color="000000"/>
              <w:right w:val="single" w:sz="8" w:space="0" w:color="000000"/>
            </w:tcBorders>
            <w:noWrap/>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F51FDF">
        <w:trPr>
          <w:trHeight w:val="750"/>
        </w:trPr>
        <w:tc>
          <w:tcPr>
            <w:tcW w:w="1036" w:type="dxa"/>
            <w:vMerge/>
            <w:tcBorders>
              <w:top w:val="single" w:sz="4" w:space="0" w:color="000000"/>
              <w:left w:val="single" w:sz="8" w:space="0" w:color="000000"/>
              <w:bottom w:val="single" w:sz="4" w:space="0" w:color="000000"/>
              <w:right w:val="single" w:sz="4" w:space="0" w:color="000000"/>
            </w:tcBorders>
            <w:textDirection w:val="tbRlV"/>
            <w:vAlign w:val="center"/>
          </w:tcPr>
          <w:p w:rsidR="00F51FDF" w:rsidRDefault="00F51FDF">
            <w:pPr>
              <w:jc w:val="center"/>
              <w:rPr>
                <w:rFonts w:ascii="宋体" w:hAnsi="宋体" w:cs="宋体"/>
                <w:color w:val="000000"/>
                <w:sz w:val="20"/>
                <w:szCs w:val="20"/>
              </w:rPr>
            </w:pP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资金管理</w:t>
            </w:r>
          </w:p>
        </w:tc>
        <w:tc>
          <w:tcPr>
            <w:tcW w:w="1279" w:type="dxa"/>
            <w:vMerge w:val="restart"/>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资金使用合规性</w:t>
            </w:r>
          </w:p>
        </w:tc>
        <w:tc>
          <w:tcPr>
            <w:tcW w:w="1168"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资金专款专用</w:t>
            </w:r>
          </w:p>
        </w:tc>
        <w:tc>
          <w:tcPr>
            <w:tcW w:w="3484"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核实是否有挤占项目资金的情况。</w:t>
            </w:r>
          </w:p>
        </w:tc>
        <w:tc>
          <w:tcPr>
            <w:tcW w:w="48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476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满分</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分；发现一起，扣</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分。</w:t>
            </w:r>
          </w:p>
        </w:tc>
        <w:tc>
          <w:tcPr>
            <w:tcW w:w="0" w:type="auto"/>
            <w:tcBorders>
              <w:top w:val="single" w:sz="4" w:space="0" w:color="000000"/>
              <w:left w:val="single" w:sz="4" w:space="0" w:color="000000"/>
              <w:bottom w:val="single" w:sz="4" w:space="0" w:color="000000"/>
              <w:right w:val="single" w:sz="8" w:space="0" w:color="000000"/>
            </w:tcBorders>
            <w:noWrap/>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F51FDF">
        <w:trPr>
          <w:trHeight w:val="1920"/>
        </w:trPr>
        <w:tc>
          <w:tcPr>
            <w:tcW w:w="1036" w:type="dxa"/>
            <w:vMerge/>
            <w:tcBorders>
              <w:top w:val="single" w:sz="4" w:space="0" w:color="000000"/>
              <w:left w:val="single" w:sz="8" w:space="0" w:color="000000"/>
              <w:bottom w:val="single" w:sz="4" w:space="0" w:color="000000"/>
              <w:right w:val="single" w:sz="4" w:space="0" w:color="000000"/>
            </w:tcBorders>
            <w:textDirection w:val="tbRlV"/>
            <w:vAlign w:val="center"/>
          </w:tcPr>
          <w:p w:rsidR="00F51FDF" w:rsidRDefault="00F51FDF">
            <w:pPr>
              <w:jc w:val="center"/>
              <w:rPr>
                <w:rFonts w:ascii="宋体" w:hAnsi="宋体" w:cs="宋体"/>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F51FDF" w:rsidRDefault="00F51FDF">
            <w:pPr>
              <w:jc w:val="center"/>
              <w:rPr>
                <w:rFonts w:ascii="宋体" w:hAnsi="宋体"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rsidR="00F51FDF" w:rsidRDefault="00F51FDF">
            <w:pPr>
              <w:jc w:val="center"/>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资金管理合规性</w:t>
            </w:r>
          </w:p>
        </w:tc>
        <w:tc>
          <w:tcPr>
            <w:tcW w:w="3484"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核实是否对项目资金进行收支专项核算。核实执行会计法规，以及内部控制制度的建设和落实情况。核实财务数据准确性。</w:t>
            </w:r>
          </w:p>
        </w:tc>
        <w:tc>
          <w:tcPr>
            <w:tcW w:w="48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476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满分</w:t>
            </w:r>
            <w:r>
              <w:rPr>
                <w:rFonts w:ascii="宋体" w:hAnsi="宋体" w:cs="宋体" w:hint="eastAsia"/>
                <w:color w:val="000000"/>
                <w:kern w:val="0"/>
                <w:sz w:val="20"/>
                <w:szCs w:val="20"/>
                <w:lang w:bidi="ar"/>
              </w:rPr>
              <w:t>12</w:t>
            </w:r>
            <w:r>
              <w:rPr>
                <w:rFonts w:ascii="宋体" w:hAnsi="宋体" w:cs="宋体" w:hint="eastAsia"/>
                <w:color w:val="000000"/>
                <w:kern w:val="0"/>
                <w:sz w:val="20"/>
                <w:szCs w:val="20"/>
                <w:lang w:bidi="ar"/>
              </w:rPr>
              <w:t>分；</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专项收支科目核算：得</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分；</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不存在突击拨款情况：得</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分。</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财务内部控制制度建设：</w:t>
            </w: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分；</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会计和出纳岗位分离：</w:t>
            </w: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分；</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审签制度完全落实：</w:t>
            </w: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分；</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会计凭证装订：</w:t>
            </w: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分。</w:t>
            </w:r>
          </w:p>
        </w:tc>
        <w:tc>
          <w:tcPr>
            <w:tcW w:w="0" w:type="auto"/>
            <w:tcBorders>
              <w:top w:val="single" w:sz="4" w:space="0" w:color="000000"/>
              <w:left w:val="single" w:sz="4" w:space="0" w:color="000000"/>
              <w:bottom w:val="single" w:sz="4" w:space="0" w:color="000000"/>
              <w:right w:val="single" w:sz="8" w:space="0" w:color="000000"/>
            </w:tcBorders>
            <w:noWrap/>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r>
      <w:tr w:rsidR="00F51FDF">
        <w:trPr>
          <w:trHeight w:val="885"/>
        </w:trPr>
        <w:tc>
          <w:tcPr>
            <w:tcW w:w="1036" w:type="dxa"/>
            <w:vMerge/>
            <w:tcBorders>
              <w:top w:val="single" w:sz="4" w:space="0" w:color="000000"/>
              <w:left w:val="single" w:sz="8" w:space="0" w:color="000000"/>
              <w:bottom w:val="single" w:sz="4" w:space="0" w:color="000000"/>
              <w:right w:val="single" w:sz="4" w:space="0" w:color="000000"/>
            </w:tcBorders>
            <w:textDirection w:val="tbRlV"/>
            <w:vAlign w:val="center"/>
          </w:tcPr>
          <w:p w:rsidR="00F51FDF" w:rsidRDefault="00F51FDF">
            <w:pPr>
              <w:jc w:val="center"/>
              <w:rPr>
                <w:rFonts w:ascii="宋体" w:hAnsi="宋体" w:cs="宋体"/>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F51FDF" w:rsidRDefault="00F51FDF">
            <w:pPr>
              <w:jc w:val="center"/>
              <w:rPr>
                <w:rFonts w:ascii="宋体" w:hAnsi="宋体"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rsidR="00F51FDF" w:rsidRDefault="00F51FDF">
            <w:pPr>
              <w:jc w:val="center"/>
              <w:rPr>
                <w:rFonts w:ascii="宋体" w:hAnsi="宋体" w:cs="宋体"/>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资金管理程序性</w:t>
            </w:r>
          </w:p>
        </w:tc>
        <w:tc>
          <w:tcPr>
            <w:tcW w:w="3484"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检查是否采取相应的财务检查等必要的监控措施或手段，资金支付是否有完整的审批程序和手续</w:t>
            </w:r>
          </w:p>
        </w:tc>
        <w:tc>
          <w:tcPr>
            <w:tcW w:w="48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476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所有项目均采取了相应的财务检查等必要的监控措施或手段，资金支付有完整的审批程序和手续为好，根据单位实际情况评分。好得满分，较好得</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分，差不得分。</w:t>
            </w:r>
          </w:p>
        </w:tc>
        <w:tc>
          <w:tcPr>
            <w:tcW w:w="0" w:type="auto"/>
            <w:tcBorders>
              <w:top w:val="single" w:sz="4" w:space="0" w:color="000000"/>
              <w:left w:val="single" w:sz="4" w:space="0" w:color="000000"/>
              <w:bottom w:val="single" w:sz="4" w:space="0" w:color="000000"/>
              <w:right w:val="single" w:sz="8" w:space="0" w:color="000000"/>
            </w:tcBorders>
            <w:noWrap/>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r>
      <w:tr w:rsidR="00F51FDF">
        <w:trPr>
          <w:trHeight w:val="750"/>
        </w:trPr>
        <w:tc>
          <w:tcPr>
            <w:tcW w:w="1036" w:type="dxa"/>
            <w:vMerge/>
            <w:tcBorders>
              <w:top w:val="single" w:sz="4" w:space="0" w:color="000000"/>
              <w:left w:val="single" w:sz="8" w:space="0" w:color="000000"/>
              <w:bottom w:val="single" w:sz="4" w:space="0" w:color="000000"/>
              <w:right w:val="single" w:sz="4" w:space="0" w:color="000000"/>
            </w:tcBorders>
            <w:textDirection w:val="tbRlV"/>
            <w:vAlign w:val="center"/>
          </w:tcPr>
          <w:p w:rsidR="00F51FDF" w:rsidRDefault="00F51FDF">
            <w:pPr>
              <w:jc w:val="center"/>
              <w:rPr>
                <w:rFonts w:ascii="宋体" w:hAnsi="宋体" w:cs="宋体"/>
                <w:color w:val="000000"/>
                <w:sz w:val="20"/>
                <w:szCs w:val="20"/>
              </w:rPr>
            </w:pP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业务管理</w:t>
            </w:r>
          </w:p>
        </w:tc>
        <w:tc>
          <w:tcPr>
            <w:tcW w:w="1279"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预算执行度</w:t>
            </w:r>
          </w:p>
        </w:tc>
        <w:tc>
          <w:tcPr>
            <w:tcW w:w="1168"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预算执行准确度</w:t>
            </w:r>
          </w:p>
        </w:tc>
        <w:tc>
          <w:tcPr>
            <w:tcW w:w="3484"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单位支出率，项目调整率以及项目调整是否通过规定程序</w:t>
            </w:r>
          </w:p>
        </w:tc>
        <w:tc>
          <w:tcPr>
            <w:tcW w:w="48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476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支出率</w:t>
            </w:r>
            <w:r>
              <w:rPr>
                <w:rFonts w:ascii="宋体" w:hAnsi="宋体" w:cs="宋体" w:hint="eastAsia"/>
                <w:color w:val="000000"/>
                <w:kern w:val="0"/>
                <w:sz w:val="20"/>
                <w:szCs w:val="20"/>
                <w:lang w:bidi="ar"/>
              </w:rPr>
              <w:t>90%</w:t>
            </w:r>
            <w:r>
              <w:rPr>
                <w:rFonts w:ascii="宋体" w:hAnsi="宋体" w:cs="宋体" w:hint="eastAsia"/>
                <w:color w:val="000000"/>
                <w:kern w:val="0"/>
                <w:sz w:val="20"/>
                <w:szCs w:val="20"/>
                <w:lang w:bidi="ar"/>
              </w:rPr>
              <w:t>以上且项目无调整或是通过规定程序调整的判定为预算执行准确度高，得满分。根据单位实际情况酌量打分。</w:t>
            </w:r>
          </w:p>
        </w:tc>
        <w:tc>
          <w:tcPr>
            <w:tcW w:w="0" w:type="auto"/>
            <w:tcBorders>
              <w:top w:val="single" w:sz="4" w:space="0" w:color="000000"/>
              <w:left w:val="single" w:sz="4" w:space="0" w:color="000000"/>
              <w:bottom w:val="single" w:sz="4" w:space="0" w:color="000000"/>
              <w:right w:val="single" w:sz="8" w:space="0" w:color="000000"/>
            </w:tcBorders>
            <w:noWrap/>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r>
      <w:tr w:rsidR="00F51FDF">
        <w:trPr>
          <w:trHeight w:val="750"/>
        </w:trPr>
        <w:tc>
          <w:tcPr>
            <w:tcW w:w="1036" w:type="dxa"/>
            <w:vMerge/>
            <w:tcBorders>
              <w:top w:val="single" w:sz="4" w:space="0" w:color="000000"/>
              <w:left w:val="single" w:sz="8" w:space="0" w:color="000000"/>
              <w:bottom w:val="single" w:sz="4" w:space="0" w:color="000000"/>
              <w:right w:val="single" w:sz="4" w:space="0" w:color="000000"/>
            </w:tcBorders>
            <w:shd w:val="clear" w:color="auto" w:fill="auto"/>
            <w:textDirection w:val="tbRlV"/>
            <w:vAlign w:val="center"/>
          </w:tcPr>
          <w:p w:rsidR="00F51FDF" w:rsidRDefault="00F51FDF">
            <w:pPr>
              <w:jc w:val="center"/>
              <w:rPr>
                <w:rFonts w:ascii="宋体" w:hAnsi="宋体" w:cs="宋体"/>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FDF" w:rsidRDefault="00F51FDF">
            <w:pPr>
              <w:jc w:val="center"/>
              <w:rPr>
                <w:rFonts w:ascii="宋体" w:hAnsi="宋体" w:cs="宋体"/>
                <w:color w:val="00000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政府采购执行率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政府采购执行准确率</w:t>
            </w:r>
          </w:p>
        </w:tc>
        <w:tc>
          <w:tcPr>
            <w:tcW w:w="34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政府采购执行率</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（实际政府采购金额</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政府采购预算数）×</w:t>
            </w:r>
            <w:r>
              <w:rPr>
                <w:rFonts w:ascii="宋体" w:hAnsi="宋体" w:cs="宋体" w:hint="eastAsia"/>
                <w:color w:val="000000"/>
                <w:kern w:val="0"/>
                <w:sz w:val="20"/>
                <w:szCs w:val="20"/>
                <w:lang w:bidi="ar"/>
              </w:rPr>
              <w:t>100%</w:t>
            </w:r>
          </w:p>
        </w:tc>
        <w:tc>
          <w:tcPr>
            <w:tcW w:w="0" w:type="auto"/>
            <w:tcBorders>
              <w:top w:val="nil"/>
              <w:left w:val="nil"/>
              <w:bottom w:val="nil"/>
              <w:right w:val="nil"/>
            </w:tcBorders>
            <w:shd w:val="clear" w:color="auto" w:fill="auto"/>
            <w:noWrap/>
            <w:vAlign w:val="center"/>
          </w:tcPr>
          <w:p w:rsidR="00F51FDF" w:rsidRDefault="0061641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2</w:t>
            </w:r>
          </w:p>
        </w:tc>
        <w:tc>
          <w:tcPr>
            <w:tcW w:w="4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政府采购执行率</w:t>
            </w:r>
            <w:r>
              <w:rPr>
                <w:rFonts w:ascii="宋体" w:hAnsi="宋体" w:cs="宋体" w:hint="eastAsia"/>
                <w:color w:val="000000"/>
                <w:kern w:val="0"/>
                <w:sz w:val="20"/>
                <w:szCs w:val="20"/>
                <w:lang w:bidi="ar"/>
              </w:rPr>
              <w:t>90%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110%</w:t>
            </w:r>
            <w:r>
              <w:rPr>
                <w:rFonts w:ascii="宋体" w:hAnsi="宋体" w:cs="宋体" w:hint="eastAsia"/>
                <w:color w:val="000000"/>
                <w:kern w:val="0"/>
                <w:sz w:val="20"/>
                <w:szCs w:val="20"/>
                <w:lang w:bidi="ar"/>
              </w:rPr>
              <w:t>得满分，低于</w:t>
            </w:r>
            <w:r>
              <w:rPr>
                <w:rFonts w:ascii="宋体" w:hAnsi="宋体" w:cs="宋体" w:hint="eastAsia"/>
                <w:color w:val="000000"/>
                <w:kern w:val="0"/>
                <w:sz w:val="20"/>
                <w:szCs w:val="20"/>
                <w:lang w:bidi="ar"/>
              </w:rPr>
              <w:t>90%</w:t>
            </w:r>
            <w:r>
              <w:rPr>
                <w:rFonts w:ascii="宋体" w:hAnsi="宋体" w:cs="宋体" w:hint="eastAsia"/>
                <w:color w:val="000000"/>
                <w:kern w:val="0"/>
                <w:sz w:val="20"/>
                <w:szCs w:val="20"/>
                <w:lang w:bidi="ar"/>
              </w:rPr>
              <w:t>或超过</w:t>
            </w:r>
            <w:r>
              <w:rPr>
                <w:rFonts w:ascii="宋体" w:hAnsi="宋体" w:cs="宋体" w:hint="eastAsia"/>
                <w:color w:val="000000"/>
                <w:kern w:val="0"/>
                <w:sz w:val="20"/>
                <w:szCs w:val="20"/>
                <w:lang w:bidi="ar"/>
              </w:rPr>
              <w:t>110%</w:t>
            </w:r>
            <w:r>
              <w:rPr>
                <w:rFonts w:ascii="宋体" w:hAnsi="宋体" w:cs="宋体" w:hint="eastAsia"/>
                <w:color w:val="000000"/>
                <w:kern w:val="0"/>
                <w:sz w:val="20"/>
                <w:szCs w:val="20"/>
                <w:lang w:bidi="ar"/>
              </w:rPr>
              <w:t>不得分</w:t>
            </w:r>
          </w:p>
        </w:tc>
        <w:tc>
          <w:tcPr>
            <w:tcW w:w="0" w:type="auto"/>
            <w:tcBorders>
              <w:top w:val="single" w:sz="4" w:space="0" w:color="000000"/>
              <w:left w:val="single" w:sz="4" w:space="0" w:color="000000"/>
              <w:bottom w:val="single" w:sz="4" w:space="0" w:color="000000"/>
              <w:right w:val="single" w:sz="8" w:space="0" w:color="000000"/>
            </w:tcBorders>
            <w:noWrap/>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F51FDF">
        <w:trPr>
          <w:trHeight w:val="750"/>
        </w:trPr>
        <w:tc>
          <w:tcPr>
            <w:tcW w:w="1036" w:type="dxa"/>
            <w:vMerge/>
            <w:tcBorders>
              <w:top w:val="single" w:sz="4" w:space="0" w:color="000000"/>
              <w:left w:val="single" w:sz="8" w:space="0" w:color="000000"/>
              <w:bottom w:val="single" w:sz="4" w:space="0" w:color="000000"/>
              <w:right w:val="single" w:sz="4" w:space="0" w:color="000000"/>
            </w:tcBorders>
            <w:textDirection w:val="tbRlV"/>
            <w:vAlign w:val="center"/>
          </w:tcPr>
          <w:p w:rsidR="00F51FDF" w:rsidRDefault="00F51FDF">
            <w:pPr>
              <w:jc w:val="center"/>
              <w:rPr>
                <w:rFonts w:ascii="宋体" w:hAnsi="宋体" w:cs="宋体"/>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F51FDF" w:rsidRDefault="00F51FDF">
            <w:pPr>
              <w:jc w:val="center"/>
              <w:rPr>
                <w:rFonts w:ascii="宋体" w:hAnsi="宋体" w:cs="宋体"/>
                <w:color w:val="000000"/>
                <w:sz w:val="20"/>
                <w:szCs w:val="20"/>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管理制度健全性</w:t>
            </w:r>
          </w:p>
        </w:tc>
        <w:tc>
          <w:tcPr>
            <w:tcW w:w="1168"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制度健全完善</w:t>
            </w:r>
          </w:p>
        </w:tc>
        <w:tc>
          <w:tcPr>
            <w:tcW w:w="3484"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是否已制定或具有相应的业务及项目管理制度；业务管理制度是否合法、合规、完整。</w:t>
            </w:r>
          </w:p>
        </w:tc>
        <w:tc>
          <w:tcPr>
            <w:tcW w:w="48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476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满分</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分；未制订不得分，规定与国家市级区级相关制度不一致的每项扣</w:t>
            </w:r>
            <w:r>
              <w:rPr>
                <w:rFonts w:ascii="宋体" w:hAnsi="宋体" w:cs="宋体" w:hint="eastAsia"/>
                <w:color w:val="000000"/>
                <w:kern w:val="0"/>
                <w:sz w:val="20"/>
                <w:szCs w:val="20"/>
                <w:lang w:bidi="ar"/>
              </w:rPr>
              <w:t>0.5</w:t>
            </w:r>
            <w:r>
              <w:rPr>
                <w:rFonts w:ascii="宋体" w:hAnsi="宋体" w:cs="宋体" w:hint="eastAsia"/>
                <w:color w:val="000000"/>
                <w:kern w:val="0"/>
                <w:sz w:val="20"/>
                <w:szCs w:val="20"/>
                <w:lang w:bidi="ar"/>
              </w:rPr>
              <w:t>分。</w:t>
            </w:r>
          </w:p>
        </w:tc>
        <w:tc>
          <w:tcPr>
            <w:tcW w:w="0" w:type="auto"/>
            <w:tcBorders>
              <w:top w:val="single" w:sz="4" w:space="0" w:color="000000"/>
              <w:left w:val="single" w:sz="4" w:space="0" w:color="000000"/>
              <w:bottom w:val="single" w:sz="4" w:space="0" w:color="000000"/>
              <w:right w:val="single" w:sz="8" w:space="0" w:color="000000"/>
            </w:tcBorders>
            <w:noWrap/>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r>
      <w:tr w:rsidR="00F51FDF">
        <w:trPr>
          <w:trHeight w:val="750"/>
        </w:trPr>
        <w:tc>
          <w:tcPr>
            <w:tcW w:w="1036" w:type="dxa"/>
            <w:vMerge/>
            <w:tcBorders>
              <w:top w:val="single" w:sz="4" w:space="0" w:color="000000"/>
              <w:left w:val="single" w:sz="8" w:space="0" w:color="000000"/>
              <w:bottom w:val="single" w:sz="4" w:space="0" w:color="000000"/>
              <w:right w:val="single" w:sz="4" w:space="0" w:color="000000"/>
            </w:tcBorders>
            <w:textDirection w:val="tbRlV"/>
            <w:vAlign w:val="center"/>
          </w:tcPr>
          <w:p w:rsidR="00F51FDF" w:rsidRDefault="00F51FDF">
            <w:pPr>
              <w:jc w:val="center"/>
              <w:rPr>
                <w:rFonts w:ascii="宋体" w:hAnsi="宋体" w:cs="宋体"/>
                <w:color w:val="000000"/>
                <w:sz w:val="20"/>
                <w:szCs w:val="20"/>
              </w:rPr>
            </w:pPr>
          </w:p>
        </w:tc>
        <w:tc>
          <w:tcPr>
            <w:tcW w:w="3647" w:type="dxa"/>
            <w:gridSpan w:val="3"/>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3484" w:type="dxa"/>
            <w:tcBorders>
              <w:top w:val="single" w:sz="4" w:space="0" w:color="000000"/>
              <w:left w:val="single" w:sz="4" w:space="0" w:color="000000"/>
              <w:bottom w:val="single" w:sz="4" w:space="0" w:color="000000"/>
              <w:right w:val="single" w:sz="4" w:space="0" w:color="000000"/>
            </w:tcBorders>
            <w:vAlign w:val="center"/>
          </w:tcPr>
          <w:p w:rsidR="00F51FDF" w:rsidRDefault="00F51FDF">
            <w:pPr>
              <w:rPr>
                <w:rFonts w:ascii="宋体" w:hAnsi="宋体" w:cs="宋体"/>
                <w:color w:val="000000"/>
                <w:sz w:val="20"/>
                <w:szCs w:val="20"/>
              </w:rPr>
            </w:pPr>
          </w:p>
        </w:tc>
        <w:tc>
          <w:tcPr>
            <w:tcW w:w="485" w:type="dxa"/>
            <w:tcBorders>
              <w:top w:val="single" w:sz="4" w:space="0" w:color="000000"/>
              <w:left w:val="single" w:sz="4" w:space="0" w:color="000000"/>
              <w:bottom w:val="single" w:sz="4" w:space="0" w:color="000000"/>
              <w:right w:val="single" w:sz="4" w:space="0" w:color="000000"/>
            </w:tcBorders>
            <w:vAlign w:val="center"/>
          </w:tcPr>
          <w:p w:rsidR="00F51FDF" w:rsidRDefault="006164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40</w:t>
            </w:r>
          </w:p>
        </w:tc>
        <w:tc>
          <w:tcPr>
            <w:tcW w:w="4765" w:type="dxa"/>
            <w:tcBorders>
              <w:top w:val="single" w:sz="4" w:space="0" w:color="000000"/>
              <w:left w:val="single" w:sz="4" w:space="0" w:color="000000"/>
              <w:bottom w:val="single" w:sz="4" w:space="0" w:color="000000"/>
              <w:right w:val="single" w:sz="4" w:space="0" w:color="000000"/>
            </w:tcBorders>
            <w:vAlign w:val="center"/>
          </w:tcPr>
          <w:p w:rsidR="00F51FDF" w:rsidRDefault="00F51FDF">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8" w:space="0" w:color="000000"/>
            </w:tcBorders>
            <w:noWrap/>
            <w:vAlign w:val="center"/>
          </w:tcPr>
          <w:p w:rsidR="00F51FDF" w:rsidRDefault="006164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r>
      <w:tr w:rsidR="00F51FDF">
        <w:trPr>
          <w:trHeight w:val="525"/>
        </w:trPr>
        <w:tc>
          <w:tcPr>
            <w:tcW w:w="0" w:type="auto"/>
            <w:gridSpan w:val="4"/>
            <w:tcBorders>
              <w:top w:val="single" w:sz="4" w:space="0" w:color="000000"/>
              <w:left w:val="single" w:sz="8" w:space="0" w:color="000000"/>
              <w:bottom w:val="single" w:sz="8" w:space="0" w:color="000000"/>
              <w:right w:val="single" w:sz="4" w:space="0" w:color="000000"/>
            </w:tcBorders>
            <w:noWrap/>
            <w:vAlign w:val="center"/>
          </w:tcPr>
          <w:p w:rsidR="00F51FDF" w:rsidRDefault="006164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w:t>
            </w:r>
            <w:r>
              <w:rPr>
                <w:rFonts w:ascii="宋体" w:hAnsi="宋体" w:cs="宋体" w:hint="eastAsia"/>
                <w:b/>
                <w:bCs/>
                <w:color w:val="000000"/>
                <w:kern w:val="0"/>
                <w:sz w:val="20"/>
                <w:szCs w:val="20"/>
                <w:lang w:bidi="ar"/>
              </w:rPr>
              <w:t xml:space="preserve">  </w:t>
            </w:r>
            <w:r>
              <w:rPr>
                <w:rFonts w:ascii="宋体" w:hAnsi="宋体" w:cs="宋体" w:hint="eastAsia"/>
                <w:b/>
                <w:bCs/>
                <w:color w:val="000000"/>
                <w:kern w:val="0"/>
                <w:sz w:val="20"/>
                <w:szCs w:val="20"/>
                <w:lang w:bidi="ar"/>
              </w:rPr>
              <w:t>计</w:t>
            </w:r>
          </w:p>
        </w:tc>
        <w:tc>
          <w:tcPr>
            <w:tcW w:w="0" w:type="auto"/>
            <w:tcBorders>
              <w:top w:val="single" w:sz="4" w:space="0" w:color="000000"/>
              <w:left w:val="single" w:sz="4" w:space="0" w:color="000000"/>
              <w:bottom w:val="single" w:sz="8" w:space="0" w:color="000000"/>
              <w:right w:val="single" w:sz="4" w:space="0" w:color="000000"/>
            </w:tcBorders>
            <w:noWrap/>
            <w:vAlign w:val="center"/>
          </w:tcPr>
          <w:p w:rsidR="00F51FDF" w:rsidRDefault="00F51FDF">
            <w:pPr>
              <w:rPr>
                <w:rFonts w:ascii="宋体" w:hAnsi="宋体" w:cs="宋体"/>
                <w:b/>
                <w:bCs/>
                <w:color w:val="000000"/>
                <w:sz w:val="24"/>
                <w:szCs w:val="24"/>
              </w:rPr>
            </w:pPr>
          </w:p>
        </w:tc>
        <w:tc>
          <w:tcPr>
            <w:tcW w:w="0" w:type="auto"/>
            <w:tcBorders>
              <w:top w:val="single" w:sz="4" w:space="0" w:color="000000"/>
              <w:left w:val="single" w:sz="4" w:space="0" w:color="000000"/>
              <w:bottom w:val="single" w:sz="8" w:space="0" w:color="000000"/>
              <w:right w:val="single" w:sz="4" w:space="0" w:color="000000"/>
            </w:tcBorders>
            <w:noWrap/>
            <w:vAlign w:val="center"/>
          </w:tcPr>
          <w:p w:rsidR="00F51FDF" w:rsidRDefault="006164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100</w:t>
            </w:r>
          </w:p>
        </w:tc>
        <w:tc>
          <w:tcPr>
            <w:tcW w:w="0" w:type="auto"/>
            <w:tcBorders>
              <w:top w:val="single" w:sz="4" w:space="0" w:color="000000"/>
              <w:left w:val="single" w:sz="4" w:space="0" w:color="000000"/>
              <w:bottom w:val="single" w:sz="8" w:space="0" w:color="000000"/>
              <w:right w:val="single" w:sz="4" w:space="0" w:color="000000"/>
            </w:tcBorders>
            <w:noWrap/>
            <w:vAlign w:val="center"/>
          </w:tcPr>
          <w:p w:rsidR="00F51FDF" w:rsidRDefault="00F51FDF">
            <w:pPr>
              <w:rPr>
                <w:rFonts w:ascii="宋体" w:hAnsi="宋体" w:cs="宋体"/>
                <w:b/>
                <w:bCs/>
                <w:color w:val="000000"/>
                <w:sz w:val="24"/>
                <w:szCs w:val="24"/>
              </w:rPr>
            </w:pPr>
          </w:p>
        </w:tc>
        <w:tc>
          <w:tcPr>
            <w:tcW w:w="0" w:type="auto"/>
            <w:tcBorders>
              <w:top w:val="single" w:sz="4" w:space="0" w:color="000000"/>
              <w:left w:val="single" w:sz="4" w:space="0" w:color="000000"/>
              <w:bottom w:val="single" w:sz="8" w:space="0" w:color="000000"/>
              <w:right w:val="single" w:sz="8" w:space="0" w:color="000000"/>
            </w:tcBorders>
            <w:noWrap/>
            <w:vAlign w:val="center"/>
          </w:tcPr>
          <w:p w:rsidR="00F51FDF" w:rsidRDefault="006164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96</w:t>
            </w:r>
          </w:p>
        </w:tc>
      </w:tr>
    </w:tbl>
    <w:p w:rsidR="00F51FDF" w:rsidRDefault="00F51FDF">
      <w:pPr>
        <w:pStyle w:val="a3"/>
        <w:tabs>
          <w:tab w:val="center" w:pos="4153"/>
          <w:tab w:val="left" w:pos="7275"/>
        </w:tabs>
        <w:spacing w:line="600" w:lineRule="exact"/>
        <w:ind w:rightChars="11" w:right="23" w:firstLineChars="0" w:firstLine="0"/>
        <w:rPr>
          <w:rFonts w:eastAsia="方正仿宋_GBK"/>
          <w:sz w:val="32"/>
          <w:szCs w:val="32"/>
        </w:rPr>
      </w:pPr>
    </w:p>
    <w:p w:rsidR="00F51FDF" w:rsidRDefault="00F51FDF"/>
    <w:sectPr w:rsidR="00F51FDF">
      <w:pgSz w:w="16838" w:h="11906" w:orient="landscape"/>
      <w:pgMar w:top="1588" w:right="1588" w:bottom="1474"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1E" w:rsidRDefault="0061641E" w:rsidP="00E73CD1">
      <w:r>
        <w:separator/>
      </w:r>
    </w:p>
  </w:endnote>
  <w:endnote w:type="continuationSeparator" w:id="0">
    <w:p w:rsidR="0061641E" w:rsidRDefault="0061641E" w:rsidP="00E7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1E" w:rsidRDefault="0061641E" w:rsidP="00E73CD1">
      <w:r>
        <w:separator/>
      </w:r>
    </w:p>
  </w:footnote>
  <w:footnote w:type="continuationSeparator" w:id="0">
    <w:p w:rsidR="0061641E" w:rsidRDefault="0061641E" w:rsidP="00E73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419C2"/>
    <w:rsid w:val="0061641E"/>
    <w:rsid w:val="00E73CD1"/>
    <w:rsid w:val="00F51FDF"/>
    <w:rsid w:val="4534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2C6CDB-4E05-4C04-AB92-CCF699BC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character" w:customStyle="1" w:styleId="font161">
    <w:name w:val="font161"/>
    <w:basedOn w:val="a0"/>
    <w:qFormat/>
    <w:rPr>
      <w:rFonts w:ascii="仿宋" w:eastAsia="仿宋" w:hAnsi="仿宋" w:cs="仿宋" w:hint="default"/>
      <w:b/>
      <w:color w:val="000000"/>
      <w:sz w:val="22"/>
      <w:szCs w:val="22"/>
      <w:u w:val="none"/>
    </w:rPr>
  </w:style>
  <w:style w:type="character" w:customStyle="1" w:styleId="font91">
    <w:name w:val="font91"/>
    <w:basedOn w:val="a0"/>
    <w:qFormat/>
    <w:rPr>
      <w:rFonts w:ascii="仿宋" w:eastAsia="仿宋" w:hAnsi="仿宋" w:cs="仿宋" w:hint="default"/>
      <w:color w:val="000000"/>
      <w:sz w:val="22"/>
      <w:szCs w:val="22"/>
      <w:u w:val="none"/>
    </w:rPr>
  </w:style>
  <w:style w:type="character" w:customStyle="1" w:styleId="font151">
    <w:name w:val="font151"/>
    <w:basedOn w:val="a0"/>
    <w:qFormat/>
    <w:rPr>
      <w:rFonts w:ascii="仿宋" w:eastAsia="仿宋" w:hAnsi="仿宋" w:cs="仿宋" w:hint="default"/>
      <w:b/>
      <w:color w:val="000000"/>
      <w:sz w:val="22"/>
      <w:szCs w:val="22"/>
      <w:u w:val="none"/>
    </w:rPr>
  </w:style>
  <w:style w:type="paragraph" w:styleId="a4">
    <w:name w:val="header"/>
    <w:basedOn w:val="a"/>
    <w:link w:val="a5"/>
    <w:rsid w:val="00E73CD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73CD1"/>
    <w:rPr>
      <w:rFonts w:ascii="Times New Roman" w:eastAsia="宋体" w:hAnsi="Times New Roman" w:cs="Times New Roman"/>
      <w:kern w:val="2"/>
      <w:sz w:val="18"/>
      <w:szCs w:val="18"/>
    </w:rPr>
  </w:style>
  <w:style w:type="paragraph" w:styleId="a6">
    <w:name w:val="footer"/>
    <w:basedOn w:val="a"/>
    <w:link w:val="a7"/>
    <w:rsid w:val="00E73CD1"/>
    <w:pPr>
      <w:tabs>
        <w:tab w:val="center" w:pos="4153"/>
        <w:tab w:val="right" w:pos="8306"/>
      </w:tabs>
      <w:snapToGrid w:val="0"/>
      <w:jc w:val="left"/>
    </w:pPr>
    <w:rPr>
      <w:sz w:val="18"/>
      <w:szCs w:val="18"/>
    </w:rPr>
  </w:style>
  <w:style w:type="character" w:customStyle="1" w:styleId="a7">
    <w:name w:val="页脚 字符"/>
    <w:basedOn w:val="a0"/>
    <w:link w:val="a6"/>
    <w:rsid w:val="00E73CD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1425</Words>
  <Characters>8128</Characters>
  <Application>Microsoft Office Word</Application>
  <DocSecurity>0</DocSecurity>
  <Lines>67</Lines>
  <Paragraphs>19</Paragraphs>
  <ScaleCrop>false</ScaleCrop>
  <Company>Micorosoft</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陈二二、</dc:creator>
  <cp:lastModifiedBy>Micorosoft</cp:lastModifiedBy>
  <cp:revision>2</cp:revision>
  <dcterms:created xsi:type="dcterms:W3CDTF">2021-05-28T03:09:00Z</dcterms:created>
  <dcterms:modified xsi:type="dcterms:W3CDTF">2021-05-28T06:49:00Z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CFD91BC68EFC4F0D87CF2936A376A3C8</vt:lpwstr>
  </property>
  <property fmtid="{D5CDD505-2E9C-101B-9397-08002B2CF9AE}" pid="4" name="KSOSaveFontToCloudKey">
    <vt:lpwstr>507877472_cloud</vt:lpwstr>
  </property>
</Properties>
</file>