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重庆市渝中区滨江建设管理处</w:t>
      </w:r>
    </w:p>
    <w:p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渝中区两江消落区环境综合整治工程（储菜段）</w:t>
      </w:r>
    </w:p>
    <w:p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预算绩效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eastAsia="zh-CN"/>
        </w:rPr>
        <w:t>评价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工作自评</w:t>
      </w:r>
    </w:p>
    <w:p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</w:p>
    <w:p>
      <w:pPr>
        <w:spacing w:line="540" w:lineRule="exact"/>
        <w:ind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一、渝中区两江消落区环境综合整治工程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（一）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基本概况：</w:t>
      </w:r>
    </w:p>
    <w:p>
      <w:pPr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渝中区两江消落区环境综合整治工程（储菜段）总投资59870万元，其中三峡后续资金47896万元。该项目范围为菜园坝大桥至储奇门码头段，岸线长共计约2.82km，包含储奇门码头、滨江公园、珊瑚公园三个滨江段落和珊瑚坝及周边滩涂区域。施工主要内容包括沿江堤防加固、生态环境修复、滨江带景观改造三部分。</w:t>
      </w:r>
    </w:p>
    <w:p>
      <w:pPr>
        <w:snapToGrid w:val="0"/>
        <w:spacing w:line="594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工程2017年12月25日开工，工程项目工期三年，目前正在施工过程中，未竣工验收，工程2018年完成产值12460万元，2019年完成产值7100万元。本工程财政共拨付资金10363万元，其中区财政资金6500万元，三峡后续2400万元，山水林田湖资金1463万元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工程建设按“两江四岸”总体规划要求，其中生态修复和景观改造工程暂停，护岸整治工程正常开展。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（二）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项目绩效目标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两江消落区环境综合整治工程（菜储段）年度投资计划为</w:t>
      </w:r>
      <w:r>
        <w:rPr>
          <w:rFonts w:ascii="仿宋_GB2312" w:hAnsi="宋体" w:eastAsia="仿宋_GB2312"/>
          <w:color w:val="auto"/>
          <w:sz w:val="28"/>
          <w:szCs w:val="28"/>
        </w:rPr>
        <w:t>1.3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亿元。其中</w:t>
      </w:r>
      <w:r>
        <w:rPr>
          <w:rFonts w:ascii="仿宋_GB2312" w:hAnsi="宋体" w:eastAsia="仿宋_GB2312"/>
          <w:color w:val="auto"/>
          <w:sz w:val="28"/>
          <w:szCs w:val="28"/>
        </w:rPr>
        <w:t>174.5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米（吴淞高程，下同）以下水工部分计划投资7100万元，174.5米以上部分堤防及相关设施建设计划投资5900万元。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该工程上半年完成投资6600万元，下半年蓄水期实施溏泡开挖、堤体回填、压顶梁浇筑等施工，完成投资500万元。由于“两江四岸”的规划设计方案待定，原计划下半年蓄水期组织实施的第二、三级堤防暂停施工。涉及投资额约5900万元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鉴于此，已申请调整两江消落区环境综合整治工程（菜储段）年度投资计划，原年度计划1.3亿元调减为7100万元。</w:t>
      </w:r>
    </w:p>
    <w:p>
      <w:pPr>
        <w:spacing w:line="540" w:lineRule="exact"/>
        <w:ind w:firstLine="562" w:firstLineChars="200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二、绩效评价工作情况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（一）绩效评价目的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通过绩效评价，衡量该项目的质量、资金管理、成本控制以及工程进度，了解、分析、验证财政专项资金是否达到预期目标。同时及时总结经验，分析存在问题，采取切实措施不断改进和加强管理，进一步提高项目管理水平、加强进度管理和资金使用效益。</w:t>
      </w:r>
    </w:p>
    <w:p>
      <w:pPr>
        <w:spacing w:line="540" w:lineRule="exact"/>
        <w:ind w:firstLine="840" w:firstLineChars="3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(二）绩效评价原则、评价指标体系、评价方法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1、绩效评价原则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遵守国家法律、法规和政策规定，遵循科学规范、公正公开、绩效相关、定性与定量相结合的评价原则。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2、评价指标体系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整个指标体系分为产出（67分）、管理（33分）2个一级指标，并设置了4个二级指标，13个三级指标,22个明细指标。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3、评价方法。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评价方式可分为现场评价和非现场评价，本项目拟采取非现场评价方式实施评价。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评价基准日为2019年12月31日，2019年1月1日-2019年12月31日的经费支出和项目管理情况。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（三）绩效评价工作过程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1、前期准备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下发绩效评价通知、编制所需资料清单、对评价工作进行分工、收集所需资料。</w:t>
      </w:r>
    </w:p>
    <w:p>
      <w:pPr>
        <w:spacing w:line="540" w:lineRule="exact"/>
        <w:ind w:firstLine="560" w:firstLineChars="200"/>
        <w:outlineLvl w:val="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2、组织实施</w:t>
      </w:r>
    </w:p>
    <w:p>
      <w:pPr>
        <w:spacing w:line="540" w:lineRule="exact"/>
        <w:ind w:firstLine="557" w:firstLineChars="19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现场查勘、收集资料、汇总分析、编制评价工作底稿、按照绩效评价指标进行绩效评分，并撰写整理绩效评价报告。</w:t>
      </w:r>
    </w:p>
    <w:p>
      <w:pPr>
        <w:spacing w:line="540" w:lineRule="exact"/>
        <w:ind w:firstLine="562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三、综合评价情况及评价结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论：</w:t>
      </w:r>
    </w:p>
    <w:p>
      <w:pPr>
        <w:widowControl/>
        <w:ind w:left="56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（一）项目产出：</w:t>
      </w:r>
    </w:p>
    <w:p>
      <w:pPr>
        <w:widowControl/>
        <w:ind w:left="56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1）实际完成率：</w:t>
      </w:r>
    </w:p>
    <w:p>
      <w:pPr>
        <w:widowControl/>
        <w:ind w:left="560"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2019年完成水工部分55%的工程量，达到2019年完成7100万元目标。工程正在进行中，除两江四岸计划调整外，其他施工进度均完成。工程实施中进行了环保专项设计，组织了第三方专业监测，确保了施工环境及河道无污染。群众对政府的满意度也很好。</w:t>
      </w:r>
    </w:p>
    <w:p>
      <w:pPr>
        <w:widowControl/>
        <w:ind w:left="56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根据上一项指标说明中的要求，现场均已完成,得分35分。</w:t>
      </w:r>
    </w:p>
    <w:p>
      <w:pPr>
        <w:widowControl/>
        <w:ind w:left="56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2）完成及时率：</w:t>
      </w:r>
    </w:p>
    <w:p>
      <w:pPr>
        <w:widowControl/>
        <w:ind w:left="56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根据上一项指标说明中的要求，现场均已完成，及时率100%，得12分。</w:t>
      </w:r>
    </w:p>
    <w:p>
      <w:pPr>
        <w:widowControl/>
        <w:ind w:left="56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3）成本偏离度：</w:t>
      </w:r>
    </w:p>
    <w:p>
      <w:pPr>
        <w:widowControl/>
        <w:ind w:left="56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截止至2019年12月31日，渝中区两江消落区环境综合整治工程（储菜段）完成堤身回填、格宾护坡、桩板挡墙、混凝土挡墙施工、部分亲水步道、弃渣外运。本工程计划本年完成7100万元，截止至2019年12月底，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共计完成合同支付约3170万元，因三峡资金拨付未到位，除资金支付未及时外，其他各项支出均在预算文件各分项范围之内，成本偏离度小于2%，该项指标得10分。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二）质量达标率：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本工程正在实施过程中，所以未能开展竣工验收，已实施部分质量合格，所以该项指标为4+6分，共计得10分。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（三）管理：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决策管理：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本工程立项程序规范，有立项批准，有投资计划并获批准，项目经过论证。项目立项依据充分，项目实施具备成熟的物质、技术条件。该项指标得满分，共计7分。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资金管理：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我处建立了健全的财务管理制度，项目的每一项支出均有合同、预算文件作为支付依据，每一次付款均需经过项目各层相关管理人员的签字确认才能完成，做到层层把关，资料留存。所以该项指标共计得5分。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业务管理：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滨管处有工程科、经营科、秘书科等部门对工程进行管理及服务，各科室成员分工明确，项目的重大事件，包括施工、协调、变更、问题的解决、项目合同的签订、工程款的支付等均有相应流程进行决策，管理制度健全，得2分。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工程通过区政府专题会议研究并形成相关区专题会议纪要，并经过公开招标确定了EPC单位、勘察单位、监理单位、第三方检测单位、第三方监测和竣工后效果监测单位、水土保持监测及水土保持设施竣工验收技术服务单位。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比选确定了涉河建设方案、防洪评价、可研报告编制、施工图审查、招标代理单位。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根据渝发改地【2017】807号文，我处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从市发改委、市财政局、市移民局的库中抽取了全过程造价咨询单位。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项目的中标单位与实际施工单位一致，项目经理与合同指派一致，人员变更按合同要求取得了建设单位同意。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招投标及标后管理，得分为5分。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本工程资料完备，项目有控地向前推进，无任何安全事故发生，安全管理指标计3分。</w:t>
      </w:r>
    </w:p>
    <w:p>
      <w:pPr>
        <w:pStyle w:val="6"/>
        <w:widowControl/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本工程项目应有的合同如设计、施工、监理等合同齐全，且合同签订规范、执行有效，且有专人对档案资料进行管理，得3分。</w:t>
      </w:r>
    </w:p>
    <w:p>
      <w:pPr>
        <w:pStyle w:val="6"/>
        <w:widowControl/>
        <w:tabs>
          <w:tab w:val="right" w:pos="7326"/>
        </w:tabs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本项目根据国家质量要求管理，具有相应的质量要求标准，采取了相应的项目质量检查等必要的控制措施或手段，得4分。</w:t>
      </w:r>
    </w:p>
    <w:p>
      <w:pPr>
        <w:pStyle w:val="6"/>
        <w:widowControl/>
        <w:tabs>
          <w:tab w:val="right" w:pos="7326"/>
        </w:tabs>
        <w:ind w:left="420" w:leftChars="200"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项目实施单位建立了过程监控制度，明确了实施过程跟踪的人员、时间及具体内容，对跟踪情况形成报告，得4分。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综合以上评价，最终得分为100分。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四、项目资金和组织管理情况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（一）项目支出资金情况分析</w:t>
      </w:r>
    </w:p>
    <w:p>
      <w:pPr>
        <w:pStyle w:val="6"/>
        <w:widowControl/>
        <w:ind w:left="420" w:leftChars="200" w:firstLine="0" w:firstLineChars="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渝中区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两江消落区环境综合整治工程（储菜段）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于2019年收到区财政拨款10363万元,截止2019年12月31日支出10089.186379万元。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eastAsia="zh-CN"/>
        </w:rPr>
        <w:t>（二）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项目支出资金实际使用情况</w:t>
      </w:r>
    </w:p>
    <w:p>
      <w:pPr>
        <w:pStyle w:val="6"/>
        <w:widowControl/>
        <w:ind w:firstLine="0" w:firstLineChars="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 渝中区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两江消落区环境综合整治工程（储菜段）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截止2019年12月31 日，支出工程进度款8856.87866万元，二类费用1232.307719万元。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（三）项目支出资金管理情况</w:t>
      </w:r>
    </w:p>
    <w:p>
      <w:pPr>
        <w:spacing w:line="540" w:lineRule="exact"/>
        <w:ind w:firstLine="555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根据滨江管理处工程类大额资金使用管理规定，大额合同金额100万元以下（含100万元），由工程例会审议。合同金额100万元以上，经工程例会（支部会）讨论后报区交通局相关会议审议。</w:t>
      </w:r>
    </w:p>
    <w:p>
      <w:pPr>
        <w:spacing w:line="540" w:lineRule="exact"/>
        <w:ind w:firstLine="555"/>
        <w:rPr>
          <w:rFonts w:ascii="仿宋_GB2312" w:hAnsi="宋体" w:eastAsia="宋体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对于费用支出在0.5万元内（含0.5万元）（科研、咨询、资料等），由工程科议定，费用支出在0.5-20万元（含20万元），由工程例会审议。费用支出在20万元以上，以工程例会讨论后报区交通局相关会议审议。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在评审过程中，对相关资金支付审批流程进行了检查，滨江管理处按照上述审批流程执行，审批程序完善。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（四）项目支出组织情况分析</w:t>
      </w:r>
    </w:p>
    <w:p>
      <w:pPr>
        <w:spacing w:line="540" w:lineRule="exact"/>
        <w:ind w:firstLine="560" w:firstLineChars="200"/>
        <w:outlineLvl w:val="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1、项目支出组织情况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fldChar w:fldCharType="begin"/>
      </w:r>
      <w:r>
        <w:rPr>
          <w:rFonts w:ascii="仿宋_GB2312" w:hAnsi="宋体" w:eastAsia="仿宋_GB2312"/>
          <w:color w:val="auto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28"/>
          <w:szCs w:val="28"/>
        </w:rPr>
        <w:instrText xml:space="preserve">= 1 \* GB3</w:instrText>
      </w:r>
      <w:r>
        <w:rPr>
          <w:rFonts w:ascii="仿宋_GB2312" w:hAnsi="宋体" w:eastAsia="仿宋_GB2312"/>
          <w:color w:val="auto"/>
          <w:sz w:val="28"/>
          <w:szCs w:val="28"/>
        </w:rPr>
        <w:instrText xml:space="preserve"> </w:instrText>
      </w:r>
      <w:r>
        <w:rPr>
          <w:rFonts w:ascii="仿宋_GB2312" w:hAnsi="宋体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color w:val="auto"/>
          <w:sz w:val="28"/>
          <w:szCs w:val="28"/>
        </w:rPr>
        <w:t>①</w:t>
      </w:r>
      <w:r>
        <w:rPr>
          <w:rFonts w:ascii="仿宋_GB2312" w:hAnsi="宋体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color w:val="auto"/>
          <w:sz w:val="28"/>
          <w:szCs w:val="28"/>
        </w:rPr>
        <w:t>项目支出招标情况</w:t>
      </w:r>
    </w:p>
    <w:p>
      <w:pPr>
        <w:snapToGrid w:val="0"/>
        <w:spacing w:line="594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工程项目法人为渝中区滨江建设管理处，并根据发改委要求制定了招投标管理制度，工程经过公开招标确定了EPC单位和监理单位。本处建立了健全的财务管理制度，项目的每一项支出均有合同、预算文件作为支付依据，并建立了合同台帐，每一次付款均需经过项目各层相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关管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理人员的签字确认才能完成，做到层层把关，资料留存。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fldChar w:fldCharType="begin"/>
      </w:r>
      <w:r>
        <w:rPr>
          <w:rFonts w:ascii="仿宋_GB2312" w:hAnsi="宋体" w:eastAsia="仿宋_GB2312"/>
          <w:color w:val="auto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28"/>
          <w:szCs w:val="28"/>
        </w:rPr>
        <w:instrText xml:space="preserve">= 2 \* GB3</w:instrText>
      </w:r>
      <w:r>
        <w:rPr>
          <w:rFonts w:ascii="仿宋_GB2312" w:hAnsi="宋体" w:eastAsia="仿宋_GB2312"/>
          <w:color w:val="auto"/>
          <w:sz w:val="28"/>
          <w:szCs w:val="28"/>
        </w:rPr>
        <w:instrText xml:space="preserve"> </w:instrText>
      </w:r>
      <w:r>
        <w:rPr>
          <w:rFonts w:ascii="仿宋_GB2312" w:hAnsi="宋体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color w:val="auto"/>
          <w:sz w:val="28"/>
          <w:szCs w:val="28"/>
        </w:rPr>
        <w:t>②</w:t>
      </w:r>
      <w:r>
        <w:rPr>
          <w:rFonts w:ascii="仿宋_GB2312" w:hAnsi="宋体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color w:val="auto"/>
          <w:sz w:val="28"/>
          <w:szCs w:val="28"/>
        </w:rPr>
        <w:t>项目完成验收情况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该工程目前正在进行中，还未完工。</w:t>
      </w:r>
    </w:p>
    <w:p>
      <w:pPr>
        <w:spacing w:line="540" w:lineRule="exact"/>
        <w:ind w:firstLine="1120" w:firstLineChars="400"/>
        <w:outlineLvl w:val="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2、项目支出管理情况</w:t>
      </w:r>
    </w:p>
    <w:p>
      <w:pPr>
        <w:spacing w:line="540" w:lineRule="exact"/>
        <w:ind w:firstLine="560" w:firstLineChars="200"/>
        <w:outlineLvl w:val="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项目资金支出均需通过完整的审批流程，监控有效。</w:t>
      </w:r>
    </w:p>
    <w:p>
      <w:pPr>
        <w:numPr>
          <w:numId w:val="0"/>
        </w:numPr>
        <w:spacing w:line="540" w:lineRule="exact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五、主要经验及做法、存在的问题和建议</w:t>
      </w: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该工程总体来说，除按“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两江四岸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”总体规划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求统一实施的生态修复及景观整治工程暂停外，护岸整治工程在参建各方共同努力下推进较为顺利，但因本工程受水情影响大，安全风险高，加之市级方案的不确定，对后续工作的推进带来较大影响。后续施工任务在资金保证的前提下，通过优化施工方案，加大各项投入，我们有信心完成预定工程建设目标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存在的问题：三峡后续资金到位滞后，对工程施工进度影响较大。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其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他需说明的问题：</w:t>
      </w:r>
    </w:p>
    <w:p>
      <w:pPr>
        <w:spacing w:line="540" w:lineRule="exac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无。</w:t>
      </w:r>
    </w:p>
    <w:p>
      <w:pPr>
        <w:pStyle w:val="6"/>
        <w:widowControl/>
        <w:ind w:left="1260" w:leftChars="600" w:firstLine="0" w:firstLineChars="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ind w:firstLine="4060" w:firstLineChars="145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重庆市渝中区滨江建设管理处</w:t>
      </w:r>
    </w:p>
    <w:p>
      <w:pPr>
        <w:snapToGrid w:val="0"/>
        <w:spacing w:line="594" w:lineRule="exact"/>
        <w:jc w:val="righ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2020年4月</w:t>
      </w:r>
    </w:p>
    <w:p>
      <w:pPr>
        <w:ind w:firstLine="280" w:firstLine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</w:p>
    <w:p>
      <w:pP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394726"/>
    <w:rsid w:val="000617D2"/>
    <w:rsid w:val="000A6B07"/>
    <w:rsid w:val="000D36C1"/>
    <w:rsid w:val="002E26D2"/>
    <w:rsid w:val="00380878"/>
    <w:rsid w:val="00505D38"/>
    <w:rsid w:val="005800BB"/>
    <w:rsid w:val="005971DF"/>
    <w:rsid w:val="007B6BB4"/>
    <w:rsid w:val="00847E06"/>
    <w:rsid w:val="009846BC"/>
    <w:rsid w:val="009E607E"/>
    <w:rsid w:val="00A9371E"/>
    <w:rsid w:val="00A95F8D"/>
    <w:rsid w:val="00AE659C"/>
    <w:rsid w:val="00B94DBE"/>
    <w:rsid w:val="00D37EC5"/>
    <w:rsid w:val="00D81E6C"/>
    <w:rsid w:val="00F90697"/>
    <w:rsid w:val="08915C82"/>
    <w:rsid w:val="16EC4F87"/>
    <w:rsid w:val="197167C5"/>
    <w:rsid w:val="1A64754B"/>
    <w:rsid w:val="1C480C7E"/>
    <w:rsid w:val="1FD87738"/>
    <w:rsid w:val="2FA87176"/>
    <w:rsid w:val="4401612D"/>
    <w:rsid w:val="4DB01E60"/>
    <w:rsid w:val="523002EA"/>
    <w:rsid w:val="54521AEA"/>
    <w:rsid w:val="54860525"/>
    <w:rsid w:val="58F11E40"/>
    <w:rsid w:val="70394726"/>
    <w:rsid w:val="727C796F"/>
    <w:rsid w:val="797C64A5"/>
    <w:rsid w:val="7C6517B9"/>
    <w:rsid w:val="7C9B7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508</Words>
  <Characters>2901</Characters>
  <Lines>24</Lines>
  <Paragraphs>6</Paragraphs>
  <TotalTime>205</TotalTime>
  <ScaleCrop>false</ScaleCrop>
  <LinksUpToDate>false</LinksUpToDate>
  <CharactersWithSpaces>3403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2019-07-16T07:41:00Z</dcterms:created>
  <dc:creator>HP003</dc:creator>
  <cp:lastModifiedBy>Administrator</cp:lastModifiedBy>
  <cp:lastPrinted>2019-07-11T08:49:00Z</cp:lastPrinted>
  <dcterms:modified xsi:type="dcterms:W3CDTF">2020-04-14T03:39:37Z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