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60" w:lineRule="exact"/>
        <w:jc w:val="center"/>
        <w:rPr>
          <w:rFonts w:hint="eastAsia" w:ascii="方正小标宋_GBK" w:eastAsia="方正小标宋_GBK"/>
          <w:sz w:val="44"/>
          <w:szCs w:val="44"/>
        </w:rPr>
      </w:pPr>
      <w:r>
        <w:rPr>
          <w:rFonts w:hint="eastAsia" w:ascii="方正小标宋_GBK" w:eastAsia="方正小标宋_GBK"/>
          <w:color w:val="auto"/>
          <w:spacing w:val="80"/>
          <w:kern w:val="0"/>
          <w:sz w:val="44"/>
          <w:szCs w:val="44"/>
          <w:u w:val="none" w:color="auto"/>
          <w:fitText w:val="7040" w:id="0"/>
        </w:rPr>
        <w:t>中共重庆市渝中区委组织</w:t>
      </w:r>
      <w:r>
        <w:rPr>
          <w:rFonts w:hint="eastAsia" w:ascii="方正小标宋_GBK" w:eastAsia="方正小标宋_GBK"/>
          <w:color w:val="auto"/>
          <w:spacing w:val="0"/>
          <w:kern w:val="0"/>
          <w:sz w:val="44"/>
          <w:szCs w:val="44"/>
          <w:u w:val="none" w:color="auto"/>
          <w:fitText w:val="7040" w:id="0"/>
        </w:rPr>
        <w:t>部</w:t>
      </w:r>
    </w:p>
    <w:p>
      <w:pPr>
        <w:spacing w:line="560" w:lineRule="exact"/>
        <w:jc w:val="center"/>
        <w:rPr>
          <w:rFonts w:hint="eastAsia" w:ascii="方正小标宋_GBK" w:hAnsi="Calibri" w:eastAsia="方正小标宋_GBK" w:cs="黑体"/>
          <w:color w:val="auto"/>
          <w:kern w:val="2"/>
          <w:sz w:val="44"/>
          <w:szCs w:val="44"/>
          <w:u w:val="none" w:color="auto"/>
        </w:rPr>
      </w:pPr>
      <w:r>
        <w:rPr>
          <w:rFonts w:hint="eastAsia" w:ascii="方正小标宋_GBK" w:eastAsia="方正小标宋_GBK"/>
          <w:sz w:val="44"/>
          <w:szCs w:val="44"/>
        </w:rPr>
        <w:t>重庆市渝中区人力资源和社会保障局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Fonts w:hint="eastAsia" w:ascii="方正小标宋_GBK" w:eastAsia="方正小标宋_GBK"/>
          <w:color w:val="auto"/>
          <w:spacing w:val="-6"/>
          <w:kern w:val="2"/>
          <w:sz w:val="44"/>
          <w:szCs w:val="44"/>
          <w:u w:val="none" w:color="auto"/>
        </w:rPr>
        <w:t>重庆市渝中区区级技能大师工作室管理办法（试行）</w:t>
      </w:r>
      <w:r>
        <w:rPr>
          <w:rStyle w:val="8"/>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pStyle w:val="11"/>
        <w:widowControl w:val="0"/>
        <w:spacing w:line="594" w:lineRule="exact"/>
        <w:ind w:firstLine="0"/>
        <w:jc w:val="center"/>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渝中人社〔2023〕26号</w:t>
      </w:r>
    </w:p>
    <w:p>
      <w:pPr>
        <w:keepNext w:val="0"/>
        <w:keepLines w:val="0"/>
        <w:pageBreakBefore w:val="0"/>
        <w:kinsoku/>
        <w:overflowPunct/>
        <w:topLinePunct w:val="0"/>
        <w:bidi w:val="0"/>
        <w:spacing w:line="600" w:lineRule="atLeast"/>
        <w:ind w:left="0" w:leftChars="0" w:right="0" w:rightChars="0"/>
        <w:jc w:val="center"/>
        <w:textAlignment w:val="auto"/>
      </w:pPr>
    </w:p>
    <w:p>
      <w:pPr>
        <w:keepNext w:val="0"/>
        <w:keepLines w:val="0"/>
        <w:pageBreakBefore w:val="0"/>
        <w:kinsoku/>
        <w:overflowPunct/>
        <w:topLinePunct w:val="0"/>
        <w:bidi w:val="0"/>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区级各相关部门、街道、管委会：</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现将《重庆市渝中区区级技能大师工作室管理办法（试行）》印发给你们，请结合实际认真贯彻执行。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pacing w:val="-20"/>
          <w:kern w:val="0"/>
          <w:sz w:val="32"/>
          <w:szCs w:val="32"/>
          <w:shd w:val="clear" w:color="auto" w:fill="FFFFFF"/>
          <w:lang w:val="en-US" w:eastAsia="zh-CN" w:bidi="ar-SA"/>
        </w:rPr>
        <w:t>中共重庆市渝中区委组织部  重庆市渝中区人力资源和社会保障局</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2023年3月15日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widowControl w:val="0"/>
        <w:spacing w:line="240" w:lineRule="auto"/>
        <w:jc w:val="center"/>
        <w:textAlignment w:val="auto"/>
        <w:rPr>
          <w:rFonts w:hint="eastAsia" w:ascii="方正小标宋_GBK" w:hAnsi="方正小标宋_GBK" w:eastAsia="方正小标宋_GBK" w:cs="方正小标宋_GBK"/>
          <w:color w:val="auto"/>
          <w:kern w:val="2"/>
          <w:sz w:val="44"/>
          <w:szCs w:val="44"/>
          <w:u w:val="none" w:color="auto"/>
        </w:rPr>
      </w:pPr>
      <w:r>
        <w:rPr>
          <w:rFonts w:hint="eastAsia" w:ascii="方正小标宋_GBK" w:hAnsi="方正小标宋_GBK" w:eastAsia="方正小标宋_GBK" w:cs="方正小标宋_GBK"/>
          <w:color w:val="auto"/>
          <w:kern w:val="2"/>
          <w:sz w:val="44"/>
          <w:szCs w:val="44"/>
          <w:u w:val="none" w:color="auto"/>
        </w:rPr>
        <w:t>重庆市渝中区区级技能大师工作室</w:t>
      </w:r>
    </w:p>
    <w:p>
      <w:pPr>
        <w:widowControl w:val="0"/>
        <w:spacing w:line="240" w:lineRule="auto"/>
        <w:jc w:val="center"/>
        <w:textAlignment w:val="auto"/>
        <w:rPr>
          <w:rFonts w:hint="eastAsia" w:ascii="方正小标宋_GBK" w:hAnsi="方正小标宋_GBK" w:eastAsia="方正小标宋_GBK" w:cs="方正小标宋_GBK"/>
          <w:color w:val="auto"/>
          <w:kern w:val="2"/>
          <w:sz w:val="44"/>
          <w:szCs w:val="44"/>
          <w:u w:val="none" w:color="auto"/>
        </w:rPr>
      </w:pPr>
      <w:r>
        <w:rPr>
          <w:rFonts w:hint="eastAsia" w:ascii="方正小标宋_GBK" w:hAnsi="方正小标宋_GBK" w:eastAsia="方正小标宋_GBK" w:cs="方正小标宋_GBK"/>
          <w:color w:val="auto"/>
          <w:kern w:val="2"/>
          <w:sz w:val="44"/>
          <w:szCs w:val="44"/>
          <w:u w:val="none" w:color="auto"/>
        </w:rPr>
        <w:t>管理办法（试行）</w:t>
      </w:r>
    </w:p>
    <w:p>
      <w:pPr>
        <w:widowControl w:val="0"/>
        <w:spacing w:line="240" w:lineRule="auto"/>
        <w:jc w:val="center"/>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第一章  总 则</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第一条</w:t>
      </w:r>
      <w:r>
        <w:rPr>
          <w:rFonts w:hint="eastAsia" w:ascii="方正仿宋_GBK" w:hAnsi="方正仿宋_GBK" w:eastAsia="方正仿宋_GBK" w:cs="方正仿宋_GBK"/>
          <w:color w:val="auto"/>
          <w:kern w:val="2"/>
          <w:sz w:val="32"/>
          <w:szCs w:val="32"/>
          <w:u w:val="none" w:color="auto"/>
        </w:rPr>
        <w:t xml:space="preserve">  为加快推进我区高技能人才队伍建设，培养造就一大批具有高超技艺、精湛技能和工匠精神的高技能人才，稳步提升我区产业工人队伍的整体素质，发挥高技能专家技术攻坚和技能革新积极作用，根据《“巴渝工匠2025”行动计划实施方案》和《重庆市技能大师工作室管理办法》（</w:t>
      </w:r>
      <w:bookmarkStart w:id="0" w:name="文种"/>
      <w:r>
        <w:rPr>
          <w:rFonts w:hint="eastAsia" w:ascii="方正仿宋_GBK" w:hAnsi="方正仿宋_GBK" w:eastAsia="方正仿宋_GBK" w:cs="方正仿宋_GBK"/>
          <w:color w:val="auto"/>
          <w:kern w:val="2"/>
          <w:sz w:val="32"/>
          <w:szCs w:val="32"/>
          <w:u w:val="none" w:color="auto"/>
        </w:rPr>
        <w:t>渝人社</w:t>
      </w:r>
      <w:bookmarkEnd w:id="0"/>
      <w:r>
        <w:rPr>
          <w:rFonts w:hint="eastAsia" w:ascii="方正仿宋_GBK" w:hAnsi="方正仿宋_GBK" w:eastAsia="方正仿宋_GBK" w:cs="方正仿宋_GBK"/>
          <w:color w:val="auto"/>
          <w:kern w:val="2"/>
          <w:sz w:val="32"/>
          <w:szCs w:val="32"/>
          <w:u w:val="none" w:color="auto"/>
        </w:rPr>
        <w:t>〔</w:t>
      </w:r>
      <w:bookmarkStart w:id="1" w:name="年份"/>
      <w:r>
        <w:rPr>
          <w:rFonts w:hint="eastAsia" w:ascii="方正仿宋_GBK" w:hAnsi="方正仿宋_GBK" w:eastAsia="方正仿宋_GBK" w:cs="方正仿宋_GBK"/>
          <w:color w:val="auto"/>
          <w:kern w:val="2"/>
          <w:sz w:val="32"/>
          <w:szCs w:val="32"/>
          <w:u w:val="none" w:color="auto"/>
        </w:rPr>
        <w:t>2017</w:t>
      </w:r>
      <w:bookmarkEnd w:id="1"/>
      <w:r>
        <w:rPr>
          <w:rFonts w:hint="eastAsia" w:ascii="方正仿宋_GBK" w:hAnsi="方正仿宋_GBK" w:eastAsia="方正仿宋_GBK" w:cs="方正仿宋_GBK"/>
          <w:color w:val="auto"/>
          <w:kern w:val="2"/>
          <w:sz w:val="32"/>
          <w:szCs w:val="32"/>
          <w:u w:val="none" w:color="auto"/>
        </w:rPr>
        <w:t>〕</w:t>
      </w:r>
      <w:bookmarkStart w:id="2" w:name="字号"/>
      <w:r>
        <w:rPr>
          <w:rFonts w:hint="eastAsia" w:ascii="方正仿宋_GBK" w:hAnsi="方正仿宋_GBK" w:eastAsia="方正仿宋_GBK" w:cs="方正仿宋_GBK"/>
          <w:color w:val="auto"/>
          <w:kern w:val="2"/>
          <w:sz w:val="32"/>
          <w:szCs w:val="32"/>
          <w:u w:val="none" w:color="auto"/>
        </w:rPr>
        <w:t>184</w:t>
      </w:r>
      <w:bookmarkEnd w:id="2"/>
      <w:r>
        <w:rPr>
          <w:rFonts w:hint="eastAsia" w:ascii="方正仿宋_GBK" w:hAnsi="方正仿宋_GBK" w:eastAsia="方正仿宋_GBK" w:cs="方正仿宋_GBK"/>
          <w:color w:val="auto"/>
          <w:kern w:val="2"/>
          <w:sz w:val="32"/>
          <w:szCs w:val="32"/>
          <w:u w:val="none" w:color="auto"/>
        </w:rPr>
        <w:t>号），结合我区实际，制定本办法。</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第二条</w:t>
      </w:r>
      <w:r>
        <w:rPr>
          <w:rFonts w:hint="eastAsia" w:ascii="方正仿宋_GBK" w:hAnsi="方正仿宋_GBK" w:eastAsia="方正仿宋_GBK" w:cs="方正仿宋_GBK"/>
          <w:color w:val="auto"/>
          <w:kern w:val="2"/>
          <w:sz w:val="32"/>
          <w:szCs w:val="32"/>
          <w:u w:val="none" w:color="auto"/>
        </w:rPr>
        <w:t xml:space="preserve">  技能大师工作室（以下简称工作室）以国家、重庆市和渝中区表彰的优秀高技能专家名字命名，通过专家团队解决生产中的技术难题，传帮带培养高技能人才。</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第三条</w:t>
      </w:r>
      <w:r>
        <w:rPr>
          <w:rFonts w:hint="eastAsia" w:ascii="方正仿宋_GBK" w:hAnsi="方正仿宋_GBK" w:eastAsia="方正仿宋_GBK" w:cs="方正仿宋_GBK"/>
          <w:color w:val="auto"/>
          <w:kern w:val="2"/>
          <w:sz w:val="32"/>
          <w:szCs w:val="32"/>
          <w:u w:val="none" w:color="auto"/>
        </w:rPr>
        <w:t xml:space="preserve">  在区委人才工作领导小组领导下，建立区委组织部牵头抓总、区人力社保局组织实施、有关部门各司其职、行业企业和社会各方广泛参与的高技能人才工作机制。</w:t>
      </w:r>
    </w:p>
    <w:p>
      <w:pPr>
        <w:widowControl w:val="0"/>
        <w:spacing w:line="540" w:lineRule="exact"/>
        <w:ind w:firstLine="640" w:firstLineChars="200"/>
        <w:textAlignment w:val="auto"/>
        <w:rPr>
          <w:rFonts w:hint="eastAsia" w:ascii="方正黑体_GBK" w:hAnsi="方正黑体_GBK" w:eastAsia="方正黑体_GBK" w:cs="方正黑体_GBK"/>
          <w:color w:val="auto"/>
          <w:kern w:val="2"/>
          <w:sz w:val="32"/>
          <w:szCs w:val="32"/>
          <w:u w:val="none" w:color="auto"/>
        </w:rPr>
      </w:pPr>
    </w:p>
    <w:p>
      <w:pPr>
        <w:widowControl w:val="0"/>
        <w:spacing w:line="540" w:lineRule="exact"/>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第二章  工作室申报和确认</w:t>
      </w:r>
    </w:p>
    <w:p>
      <w:pPr>
        <w:widowControl w:val="0"/>
        <w:spacing w:line="540" w:lineRule="exact"/>
        <w:ind w:firstLine="640" w:firstLineChars="200"/>
        <w:textAlignment w:val="auto"/>
        <w:rPr>
          <w:rFonts w:hint="eastAsia" w:ascii="方正黑体_GBK" w:hAnsi="方正黑体_GBK" w:eastAsia="方正黑体_GBK" w:cs="方正黑体_GBK"/>
          <w:color w:val="auto"/>
          <w:kern w:val="2"/>
          <w:sz w:val="32"/>
          <w:szCs w:val="32"/>
          <w:u w:val="none" w:color="auto"/>
        </w:rPr>
      </w:pP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第四条</w:t>
      </w:r>
      <w:r>
        <w:rPr>
          <w:rFonts w:hint="eastAsia" w:ascii="方正仿宋_GBK" w:hAnsi="方正仿宋_GBK" w:eastAsia="方正仿宋_GBK" w:cs="方正仿宋_GBK"/>
          <w:color w:val="auto"/>
          <w:kern w:val="2"/>
          <w:sz w:val="32"/>
          <w:szCs w:val="32"/>
          <w:u w:val="none" w:color="auto"/>
        </w:rPr>
        <w:t xml:space="preserve">  按照服务发展、按需设立原则，围绕建设“四化”现代都市、打造“四区”首善之地，工作室设在全区六大重点产业（金融、商贸、专业服务、文旅、科创、大健康）及相关领域。</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第五条</w:t>
      </w:r>
      <w:r>
        <w:rPr>
          <w:rFonts w:hint="eastAsia" w:ascii="方正仿宋_GBK" w:hAnsi="方正仿宋_GBK" w:eastAsia="方正仿宋_GBK" w:cs="方正仿宋_GBK"/>
          <w:color w:val="auto"/>
          <w:kern w:val="2"/>
          <w:sz w:val="32"/>
          <w:szCs w:val="32"/>
          <w:u w:val="none" w:color="auto"/>
        </w:rPr>
        <w:t xml:space="preserve">  申报条件</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一）申报单位条件。企事业单位需满足以下条件：拥有符合条件的高技能专家；重视高技能人才队伍建设，高技能人才培养、评价、选拔、使用和激励制度较为完善；能够提供必要资金、场地和设备支持，维持工作室正常运行。</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（二）高技能专家条件。年龄一般在55 周岁及以下，身体健康；为人正派，学风严谨，爱岗敬业，遵纪守法；每年在工作室工作6个月以上；领衔一个3—15人专家团队。</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专家应获重庆市优秀技能人才或市级行业主管部门级以上技能类奖项，具有某一职业（工种）技师及以上技能水平，具备以下部分条件：能够利用绝技绝活进行技术革新和技术改造；攻克技术难题提高生产效率；培养一定数量技艺高超</w:t>
      </w:r>
      <w:r>
        <w:rPr>
          <w:rFonts w:hint="eastAsia" w:ascii="方正仿宋_GBK" w:hAnsi="方正仿宋_GBK" w:eastAsia="方正仿宋_GBK" w:cs="方正仿宋_GBK"/>
          <w:color w:val="auto"/>
          <w:kern w:val="2"/>
          <w:sz w:val="32"/>
          <w:szCs w:val="32"/>
          <w:u w:val="none" w:color="auto"/>
          <w:lang w:eastAsia="zh-CN"/>
        </w:rPr>
        <w:t>的</w:t>
      </w:r>
      <w:r>
        <w:rPr>
          <w:rFonts w:hint="eastAsia" w:ascii="方正仿宋_GBK" w:hAnsi="方正仿宋_GBK" w:eastAsia="方正仿宋_GBK" w:cs="方正仿宋_GBK"/>
          <w:color w:val="auto"/>
          <w:kern w:val="2"/>
          <w:sz w:val="32"/>
          <w:szCs w:val="32"/>
          <w:u w:val="none" w:color="auto"/>
        </w:rPr>
        <w:t>技能人才；发展、挖掘传统工艺并进行传承。</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第六条</w:t>
      </w:r>
      <w:r>
        <w:rPr>
          <w:rFonts w:hint="eastAsia" w:ascii="方正仿宋_GBK" w:hAnsi="方正仿宋_GBK" w:eastAsia="方正仿宋_GBK" w:cs="方正仿宋_GBK"/>
          <w:color w:val="auto"/>
          <w:kern w:val="2"/>
          <w:sz w:val="32"/>
          <w:szCs w:val="32"/>
          <w:u w:val="none" w:color="auto"/>
        </w:rPr>
        <w:t xml:space="preserve">  申报和确认程序</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（一）工作室以企业（行业）、院校为单位组织申报。申报单位向区人力社保局申报，申报材料由行业主管部门初审，无行业主管部门的直接申报。</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申报材料包括：</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1．《重庆市渝中区区级技能大师工作室申报表》；</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2．拟命名专家1500—2000字事迹材料；</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3．工作室申报报告，包括工作室成立的必要性和现有优势、工作室计划目标，本单位加快高技能人才队伍建设的政策措施，能够为工作室提供资金支持以及场所、设备等工作条件的情况说明。</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4．拟命名专家身份证、职业资格证书或职业技能等级证书、学历证书复印件、工作照片；</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5．其他相关材料的复印件，包括区级以上获奖证书和技术认定、技术创新等证明材料和出版物及有关单位的证明等。</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（二）工作室由区人力社保局组织专家综合评审，并在重庆市渝中区人民政府网公示评审结果，公示无异议后，由区委组织部、区人力社保局发文确认，并报市人力社保局备案。</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第七条 </w:t>
      </w:r>
      <w:r>
        <w:rPr>
          <w:rFonts w:hint="eastAsia" w:ascii="方正仿宋_GBK" w:hAnsi="方正仿宋_GBK" w:eastAsia="方正仿宋_GBK" w:cs="方正仿宋_GBK"/>
          <w:color w:val="auto"/>
          <w:kern w:val="2"/>
          <w:sz w:val="32"/>
          <w:szCs w:val="32"/>
          <w:u w:val="none" w:color="auto"/>
        </w:rPr>
        <w:t xml:space="preserve"> 工作室名称为“姓名+职业（工种）+区级技能大师工作室”，同一技能专家只能命名建立一个大师工作室。原则上同一单位只能建立一个相同工种的区级技能大师工作室。</w:t>
      </w:r>
    </w:p>
    <w:p>
      <w:pPr>
        <w:widowControl w:val="0"/>
        <w:spacing w:after="120"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第三章  工作室任务</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第八条</w:t>
      </w:r>
      <w:r>
        <w:rPr>
          <w:rFonts w:hint="eastAsia" w:ascii="方正仿宋_GBK" w:hAnsi="方正仿宋_GBK" w:eastAsia="方正仿宋_GBK" w:cs="方正仿宋_GBK"/>
          <w:color w:val="auto"/>
          <w:kern w:val="2"/>
          <w:sz w:val="32"/>
          <w:szCs w:val="32"/>
          <w:u w:val="none" w:color="auto"/>
        </w:rPr>
        <w:t xml:space="preserve">  工作室主要任务</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解决生产技术难题，推动单位产业升级和技术进步；发挥高技能专家带徒传技作用，为单位培养高技能人才，带动技能人才队伍建设；在单位营造学技能、比技能、研究技能氛围；完成单位确定的其他工作任务；参加高技能人才队伍建设公益活动；组织参加各级各类技能竞赛。</w:t>
      </w:r>
    </w:p>
    <w:p>
      <w:pPr>
        <w:widowControl w:val="0"/>
        <w:spacing w:after="120"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第四章  工作室管理</w:t>
      </w:r>
    </w:p>
    <w:p>
      <w:pPr>
        <w:widowControl w:val="0"/>
        <w:spacing w:line="540" w:lineRule="exact"/>
        <w:ind w:firstLine="640" w:firstLineChars="200"/>
        <w:textAlignment w:val="auto"/>
        <w:rPr>
          <w:rFonts w:hint="eastAsia" w:ascii="方正黑体_GBK" w:hAnsi="方正黑体_GBK" w:eastAsia="方正黑体_GBK" w:cs="方正黑体_GBK"/>
          <w:color w:val="auto"/>
          <w:kern w:val="2"/>
          <w:sz w:val="32"/>
          <w:szCs w:val="32"/>
          <w:u w:val="none" w:color="auto"/>
        </w:rPr>
      </w:pP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第九条</w:t>
      </w:r>
      <w:r>
        <w:rPr>
          <w:rFonts w:hint="eastAsia" w:ascii="方正仿宋_GBK" w:hAnsi="方正仿宋_GBK" w:eastAsia="方正仿宋_GBK" w:cs="方正仿宋_GBK"/>
          <w:color w:val="auto"/>
          <w:kern w:val="2"/>
          <w:sz w:val="32"/>
          <w:szCs w:val="32"/>
          <w:u w:val="none" w:color="auto"/>
        </w:rPr>
        <w:t xml:space="preserve">  工作室实行分级分类管理。所在单位负责日常管理，落实资金、场地和设备，确保政府补助资金合法规范使用，督促完成工作任务。各行业主管部门负责工作协调和推荐申报工作。区委组织部、区人力社保局负责检查评估和宏观指导。</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第十条 </w:t>
      </w:r>
      <w:r>
        <w:rPr>
          <w:rFonts w:hint="eastAsia" w:ascii="方正仿宋_GBK" w:hAnsi="方正仿宋_GBK" w:eastAsia="方正仿宋_GBK" w:cs="方正仿宋_GBK"/>
          <w:color w:val="auto"/>
          <w:kern w:val="2"/>
          <w:sz w:val="32"/>
          <w:szCs w:val="32"/>
          <w:u w:val="none" w:color="auto"/>
        </w:rPr>
        <w:t xml:space="preserve"> 工作室日常管理</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（一）签订责任书。企事业单位与工作室命名专家签订责任书，明确单位给予的支持和工作室的职责、任务、产出等，并报区人力社保局备案。</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（二）配证挂牌。批准建立工作室后以区委组织部、区人力社保局名义统一授予铭牌，区人力社保局配发工作证。</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（三）明确责任。每个工作室明确1名负责人（一般为命名专家本人）和1名联系人，并报区人力社保局备案。</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（四）成员配置。工作室成员由命名技能专家和企事业单位或其主管部门确定，一般应具备相应职业（工种）技师及以上职业资格或中级以上职称，具有5年以上从事本职业（工种）技术技能岗位经历。</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（五）经费管理。建立专门台账，对工作室经费进行专门管理，确保专款专用。</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（六）档案管理。建立专门档案，包括申请表、批文、成员信息、重大活动记录、业绩、工作总结、影像资料等。</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（七）信息报告。工作室开展重大活动或取得重大成果等，应及时向区人力社保局报告。</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（八）总结交流。区人力社保局组织工作室专家参加市、区重要活动，定期开展情况通报和经验交流。</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第十一条</w:t>
      </w:r>
      <w:r>
        <w:rPr>
          <w:rFonts w:hint="eastAsia" w:ascii="方正仿宋_GBK" w:hAnsi="方正仿宋_GBK" w:eastAsia="方正仿宋_GBK" w:cs="方正仿宋_GBK"/>
          <w:color w:val="auto"/>
          <w:kern w:val="2"/>
          <w:sz w:val="32"/>
          <w:szCs w:val="32"/>
          <w:u w:val="none" w:color="auto"/>
        </w:rPr>
        <w:t xml:space="preserve">  建立考核评估制度。每两年对工作室进行一次考核评估，采用120分制，评估结果分合格（考核75分及以上）、不合格（考核74分以下）两个等次，并从合格的工作室中产生一部分优秀奖。优秀奖数量原则上不超过合格等次数量的20%，获优秀奖且符合上一层次工作室条件的优先推荐参评。工作室考核评估“不合格”的，予以三个月限期整改，整改后仍不合格的取消工作室资格及待遇。</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第十二条</w:t>
      </w:r>
      <w:r>
        <w:rPr>
          <w:rFonts w:hint="eastAsia" w:ascii="方正仿宋_GBK" w:hAnsi="方正仿宋_GBK" w:eastAsia="方正仿宋_GBK" w:cs="方正仿宋_GBK"/>
          <w:color w:val="auto"/>
          <w:kern w:val="2"/>
          <w:sz w:val="32"/>
          <w:szCs w:val="32"/>
          <w:u w:val="none" w:color="auto"/>
        </w:rPr>
        <w:t xml:space="preserve">  有下列情形之一，取消工作室资格及待遇。</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（一）弄虚作假，谎报成果的；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（二）违反职业道德和社会道德，产生恶劣影响的；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（三）因违法违纪行为或重大过失给国家、集体和他人造成重大损失或严重后果的；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（四）受到行政记大过、党内严重警告、事业单位降低岗位等级或者撤职及以上处分的；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（五）被依法追究刑事责任的；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仿宋_GBK" w:hAnsi="方正仿宋_GBK" w:eastAsia="方正仿宋_GBK" w:cs="方正仿宋_GBK"/>
          <w:color w:val="auto"/>
          <w:kern w:val="2"/>
          <w:sz w:val="32"/>
          <w:szCs w:val="32"/>
          <w:u w:val="none" w:color="auto"/>
        </w:rPr>
        <w:t>（六）其他应当严肃追究责任的。</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第十三条</w:t>
      </w:r>
      <w:r>
        <w:rPr>
          <w:rFonts w:hint="eastAsia" w:ascii="方正仿宋_GBK" w:hAnsi="方正仿宋_GBK" w:eastAsia="方正仿宋_GBK" w:cs="方正仿宋_GBK"/>
          <w:color w:val="auto"/>
          <w:kern w:val="2"/>
          <w:sz w:val="32"/>
          <w:szCs w:val="32"/>
          <w:u w:val="none" w:color="auto"/>
        </w:rPr>
        <w:t xml:space="preserve">  因命名专家退休、重大疾病及其他不可抗拒因素造成工作室不能继续开展活动的，可予以取消工作室及待遇，也可由原单位申请变更命名专家；因命名专家调离的，可予以取消工作室及待遇，可由原单位申请变更命名专家，也可由原单位和新单位协商合作共建。由区委组织部、区人力社保局按相应条件予以评审认定。</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第十四条</w:t>
      </w:r>
      <w:r>
        <w:rPr>
          <w:rFonts w:hint="eastAsia" w:ascii="方正仿宋_GBK" w:hAnsi="方正仿宋_GBK" w:eastAsia="方正仿宋_GBK" w:cs="方正仿宋_GBK"/>
          <w:color w:val="auto"/>
          <w:kern w:val="2"/>
          <w:sz w:val="32"/>
          <w:szCs w:val="32"/>
          <w:u w:val="none" w:color="auto"/>
        </w:rPr>
        <w:t xml:space="preserve">  工作室每年12 月底前向区人力社保局报送次年工作计划，区人力社保局组织专家进行评议。工作计划实施情况纳入考核评估重要内容。</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第十五条</w:t>
      </w:r>
      <w:r>
        <w:rPr>
          <w:rFonts w:hint="eastAsia" w:ascii="方正仿宋_GBK" w:hAnsi="方正仿宋_GBK" w:eastAsia="方正仿宋_GBK" w:cs="方正仿宋_GBK"/>
          <w:color w:val="auto"/>
          <w:kern w:val="2"/>
          <w:sz w:val="32"/>
          <w:szCs w:val="32"/>
          <w:u w:val="none" w:color="auto"/>
        </w:rPr>
        <w:t xml:space="preserve">  凡属国家规定保密范围的项目，按国家有关保密制度执行。</w:t>
      </w:r>
    </w:p>
    <w:p>
      <w:pPr>
        <w:widowControl w:val="0"/>
        <w:spacing w:after="120"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第五章  政策支持</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第十六条 </w:t>
      </w:r>
      <w:r>
        <w:rPr>
          <w:rFonts w:hint="eastAsia" w:ascii="方正仿宋_GBK" w:hAnsi="方正仿宋_GBK" w:eastAsia="方正仿宋_GBK" w:cs="方正仿宋_GBK"/>
          <w:color w:val="auto"/>
          <w:kern w:val="2"/>
          <w:sz w:val="32"/>
          <w:szCs w:val="32"/>
          <w:u w:val="none" w:color="auto"/>
        </w:rPr>
        <w:t xml:space="preserve"> 对批准建立的技能大师工作室，区级一次性补助5万元，所在单位按不少于5万元配套。补助资金主要用于工作室设备设施建设以及技能培训、技术攻关等，于立项当年一次性发放。所在单位每年均应配套一定的资金，支持工作室正常开展工作。</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第十七条  </w:t>
      </w:r>
      <w:r>
        <w:rPr>
          <w:rFonts w:hint="eastAsia" w:ascii="方正仿宋_GBK" w:hAnsi="方正仿宋_GBK" w:eastAsia="方正仿宋_GBK" w:cs="方正仿宋_GBK"/>
          <w:color w:val="auto"/>
          <w:kern w:val="2"/>
          <w:sz w:val="32"/>
          <w:szCs w:val="32"/>
          <w:u w:val="none" w:color="auto"/>
        </w:rPr>
        <w:t>工作室命名专家由区人力社保局定期组织体检和疗养休假。</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第十八条 </w:t>
      </w:r>
      <w:r>
        <w:rPr>
          <w:rFonts w:hint="eastAsia" w:ascii="方正仿宋_GBK" w:hAnsi="方正仿宋_GBK" w:eastAsia="方正仿宋_GBK" w:cs="方正仿宋_GBK"/>
          <w:color w:val="auto"/>
          <w:kern w:val="2"/>
          <w:sz w:val="32"/>
          <w:szCs w:val="32"/>
          <w:u w:val="none" w:color="auto"/>
        </w:rPr>
        <w:t xml:space="preserve"> 技能大师工作室命名专家，符合相应条件的可优先推荐为“重庆英才”、“渝中英才”、“全国技术能手”、“重庆市技术能手”等候选人。</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第十九条 </w:t>
      </w:r>
      <w:r>
        <w:rPr>
          <w:rFonts w:hint="eastAsia" w:ascii="方正仿宋_GBK" w:hAnsi="方正仿宋_GBK" w:eastAsia="方正仿宋_GBK" w:cs="方正仿宋_GBK"/>
          <w:color w:val="auto"/>
          <w:kern w:val="2"/>
          <w:sz w:val="32"/>
          <w:szCs w:val="32"/>
          <w:u w:val="none" w:color="auto"/>
        </w:rPr>
        <w:t xml:space="preserve"> 各工作室建设单位及其主管部门要加强管理和服务，落实扶持政策，保证配套资金足额到位，为工作室建设创造良好条件。</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第二十条 </w:t>
      </w:r>
      <w:r>
        <w:rPr>
          <w:rFonts w:hint="eastAsia" w:ascii="方正仿宋_GBK" w:hAnsi="方正仿宋_GBK" w:eastAsia="方正仿宋_GBK" w:cs="方正仿宋_GBK"/>
          <w:color w:val="auto"/>
          <w:kern w:val="2"/>
          <w:sz w:val="32"/>
          <w:szCs w:val="32"/>
          <w:u w:val="none" w:color="auto"/>
        </w:rPr>
        <w:t xml:space="preserve"> 各相关单位要大力宣传工作室技能专家及团队作出的重要贡献，营造崇尚技能、鼓励创新、尊重知识、尊重人才的舆论氛围。</w:t>
      </w:r>
    </w:p>
    <w:p>
      <w:pPr>
        <w:widowControl w:val="0"/>
        <w:spacing w:line="540" w:lineRule="exact"/>
        <w:ind w:firstLine="640" w:firstLineChars="200"/>
        <w:textAlignment w:val="auto"/>
        <w:rPr>
          <w:rFonts w:hint="eastAsia" w:ascii="方正黑体_GBK" w:hAnsi="方正黑体_GBK" w:eastAsia="方正黑体_GBK" w:cs="方正黑体_GBK"/>
          <w:color w:val="auto"/>
          <w:kern w:val="2"/>
          <w:sz w:val="32"/>
          <w:szCs w:val="32"/>
          <w:u w:val="none" w:color="auto"/>
        </w:rPr>
      </w:pPr>
    </w:p>
    <w:p>
      <w:pPr>
        <w:widowControl w:val="0"/>
        <w:spacing w:line="540" w:lineRule="exact"/>
        <w:jc w:val="center"/>
        <w:textAlignment w:val="auto"/>
        <w:rPr>
          <w:rFonts w:hint="eastAsia" w:ascii="方正黑体_GBK" w:hAnsi="方正黑体_GBK" w:eastAsia="方正黑体_GBK" w:cs="方正黑体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第六章  附则</w:t>
      </w: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p>
    <w:p>
      <w:pPr>
        <w:widowControl w:val="0"/>
        <w:spacing w:line="540" w:lineRule="exact"/>
        <w:ind w:firstLine="640" w:firstLineChars="200"/>
        <w:textAlignment w:val="auto"/>
        <w:rPr>
          <w:rFonts w:hint="eastAsia" w:ascii="方正仿宋_GBK" w:hAnsi="方正仿宋_GBK" w:eastAsia="方正仿宋_GBK" w:cs="方正仿宋_GBK"/>
          <w:color w:val="auto"/>
          <w:kern w:val="2"/>
          <w:sz w:val="32"/>
          <w:szCs w:val="32"/>
          <w:u w:val="none" w:color="auto"/>
        </w:rPr>
      </w:pPr>
      <w:r>
        <w:rPr>
          <w:rFonts w:hint="eastAsia" w:ascii="方正黑体_GBK" w:hAnsi="方正黑体_GBK" w:eastAsia="方正黑体_GBK" w:cs="方正黑体_GBK"/>
          <w:color w:val="auto"/>
          <w:kern w:val="2"/>
          <w:sz w:val="32"/>
          <w:szCs w:val="32"/>
          <w:u w:val="none" w:color="auto"/>
        </w:rPr>
        <w:t xml:space="preserve">第二十一条 </w:t>
      </w:r>
      <w:r>
        <w:rPr>
          <w:rFonts w:hint="eastAsia" w:ascii="方正仿宋_GBK" w:hAnsi="方正仿宋_GBK" w:eastAsia="方正仿宋_GBK" w:cs="方正仿宋_GBK"/>
          <w:color w:val="auto"/>
          <w:kern w:val="2"/>
          <w:sz w:val="32"/>
          <w:szCs w:val="32"/>
          <w:u w:val="none" w:color="auto"/>
        </w:rPr>
        <w:t xml:space="preserve"> 本办法自印发之日起施行，由重庆市渝中区人力社保局负责解释。</w:t>
      </w:r>
    </w:p>
    <w:p>
      <w:pPr>
        <w:widowControl w:val="0"/>
        <w:spacing w:line="540" w:lineRule="exact"/>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ascii="方正仿宋_GBK" w:hAnsi="方正仿宋_GBK" w:eastAsia="方正仿宋_GBK" w:cs="方正仿宋_GBK"/>
          <w:color w:val="auto"/>
          <w:kern w:val="2"/>
          <w:sz w:val="32"/>
          <w:szCs w:val="32"/>
          <w:u w:val="none" w:color="auto"/>
        </w:rPr>
      </w:pPr>
    </w:p>
    <w:p>
      <w:pPr>
        <w:widowControl w:val="0"/>
        <w:spacing w:line="240" w:lineRule="auto"/>
        <w:textAlignment w:val="auto"/>
        <w:rPr>
          <w:rFonts w:hint="eastAsia" w:eastAsia="方正黑体_GBK"/>
          <w:color w:val="auto"/>
          <w:kern w:val="2"/>
          <w:szCs w:val="32"/>
          <w:u w:val="none" w:color="auto"/>
        </w:rPr>
      </w:pPr>
    </w:p>
    <w:p>
      <w:pPr>
        <w:widowControl w:val="0"/>
        <w:spacing w:line="240" w:lineRule="auto"/>
        <w:textAlignment w:val="auto"/>
        <w:rPr>
          <w:rFonts w:eastAsia="方正黑体_GBK"/>
          <w:color w:val="auto"/>
          <w:kern w:val="2"/>
          <w:sz w:val="32"/>
          <w:szCs w:val="32"/>
          <w:u w:val="none" w:color="auto"/>
        </w:rPr>
      </w:pPr>
      <w:r>
        <w:rPr>
          <w:rFonts w:eastAsia="方正黑体_GBK"/>
          <w:color w:val="auto"/>
          <w:kern w:val="2"/>
          <w:sz w:val="32"/>
          <w:szCs w:val="32"/>
          <w:u w:val="none" w:color="auto"/>
        </w:rPr>
        <w:t>附件</w:t>
      </w:r>
    </w:p>
    <w:p>
      <w:pPr>
        <w:widowControl w:val="0"/>
        <w:spacing w:line="240" w:lineRule="auto"/>
        <w:jc w:val="center"/>
        <w:textAlignment w:val="auto"/>
        <w:rPr>
          <w:rFonts w:ascii="Calibri" w:hAnsi="Calibri" w:eastAsia="创艺简标宋"/>
          <w:color w:val="auto"/>
          <w:kern w:val="2"/>
          <w:sz w:val="48"/>
          <w:szCs w:val="48"/>
          <w:u w:val="none" w:color="auto"/>
        </w:rPr>
      </w:pPr>
    </w:p>
    <w:p>
      <w:pPr>
        <w:widowControl w:val="0"/>
        <w:tabs>
          <w:tab w:val="center" w:pos="4156"/>
          <w:tab w:val="left" w:pos="7140"/>
        </w:tabs>
        <w:snapToGrid w:val="0"/>
        <w:spacing w:line="240" w:lineRule="auto"/>
        <w:jc w:val="center"/>
        <w:textAlignment w:val="auto"/>
        <w:rPr>
          <w:rFonts w:eastAsia="方正小标宋_GBK"/>
          <w:color w:val="auto"/>
          <w:kern w:val="2"/>
          <w:sz w:val="44"/>
          <w:szCs w:val="44"/>
          <w:u w:val="none" w:color="auto"/>
        </w:rPr>
      </w:pPr>
      <w:r>
        <w:rPr>
          <w:rFonts w:eastAsia="方正小标宋_GBK"/>
          <w:color w:val="auto"/>
          <w:kern w:val="2"/>
          <w:sz w:val="44"/>
          <w:szCs w:val="44"/>
          <w:u w:val="none" w:color="auto"/>
        </w:rPr>
        <w:t>重庆市</w:t>
      </w:r>
      <w:r>
        <w:rPr>
          <w:rFonts w:hint="eastAsia" w:eastAsia="方正小标宋_GBK"/>
          <w:color w:val="auto"/>
          <w:kern w:val="2"/>
          <w:sz w:val="44"/>
          <w:szCs w:val="44"/>
          <w:u w:val="none" w:color="auto"/>
        </w:rPr>
        <w:t>渝中区区级</w:t>
      </w:r>
      <w:r>
        <w:rPr>
          <w:rFonts w:eastAsia="方正小标宋_GBK"/>
          <w:color w:val="auto"/>
          <w:kern w:val="2"/>
          <w:sz w:val="44"/>
          <w:szCs w:val="44"/>
          <w:u w:val="none" w:color="auto"/>
        </w:rPr>
        <w:t>技能大师工作室</w:t>
      </w:r>
    </w:p>
    <w:p>
      <w:pPr>
        <w:widowControl w:val="0"/>
        <w:tabs>
          <w:tab w:val="center" w:pos="4156"/>
          <w:tab w:val="left" w:pos="7140"/>
        </w:tabs>
        <w:snapToGrid w:val="0"/>
        <w:spacing w:line="240" w:lineRule="auto"/>
        <w:jc w:val="center"/>
        <w:textAlignment w:val="auto"/>
        <w:rPr>
          <w:rFonts w:eastAsia="方正小标宋_GBK"/>
          <w:color w:val="auto"/>
          <w:kern w:val="2"/>
          <w:sz w:val="44"/>
          <w:szCs w:val="44"/>
          <w:u w:val="none" w:color="auto"/>
        </w:rPr>
      </w:pPr>
      <w:r>
        <w:rPr>
          <w:rFonts w:eastAsia="方正小标宋_GBK"/>
          <w:color w:val="auto"/>
          <w:kern w:val="2"/>
          <w:sz w:val="44"/>
          <w:szCs w:val="44"/>
          <w:u w:val="none" w:color="auto"/>
        </w:rPr>
        <w:t>申  报  表</w:t>
      </w:r>
    </w:p>
    <w:p>
      <w:pPr>
        <w:widowControl w:val="0"/>
        <w:spacing w:line="240" w:lineRule="auto"/>
        <w:jc w:val="center"/>
        <w:textAlignment w:val="auto"/>
        <w:rPr>
          <w:rFonts w:ascii="Calibri" w:hAnsi="Calibri"/>
          <w:b/>
          <w:bCs/>
          <w:color w:val="auto"/>
          <w:kern w:val="2"/>
          <w:sz w:val="48"/>
          <w:szCs w:val="48"/>
          <w:u w:val="none" w:color="auto"/>
        </w:rPr>
      </w:pPr>
    </w:p>
    <w:p>
      <w:pPr>
        <w:widowControl w:val="0"/>
        <w:spacing w:line="240" w:lineRule="auto"/>
        <w:jc w:val="center"/>
        <w:textAlignment w:val="auto"/>
        <w:rPr>
          <w:rFonts w:ascii="Calibri" w:hAnsi="Calibri"/>
          <w:b/>
          <w:bCs/>
          <w:color w:val="auto"/>
          <w:kern w:val="2"/>
          <w:szCs w:val="32"/>
          <w:u w:val="none" w:color="auto"/>
        </w:rPr>
      </w:pPr>
    </w:p>
    <w:p>
      <w:pPr>
        <w:widowControl w:val="0"/>
        <w:spacing w:line="240" w:lineRule="auto"/>
        <w:ind w:firstLine="1049" w:firstLineChars="328"/>
        <w:textAlignment w:val="auto"/>
        <w:rPr>
          <w:rFonts w:hint="eastAsia" w:ascii="Calibri" w:hAnsi="Calibri" w:eastAsia="方正仿宋_GBK"/>
          <w:color w:val="auto"/>
          <w:kern w:val="2"/>
          <w:sz w:val="32"/>
          <w:szCs w:val="32"/>
          <w:u w:val="single" w:color="auto"/>
        </w:rPr>
      </w:pPr>
      <w:r>
        <w:rPr>
          <w:rFonts w:eastAsia="方正仿宋_GBK"/>
          <w:color w:val="auto"/>
          <w:kern w:val="2"/>
          <w:sz w:val="32"/>
          <w:szCs w:val="32"/>
          <w:u w:val="none" w:color="auto"/>
        </w:rPr>
        <w:t>申报单位</w:t>
      </w:r>
      <w:r>
        <w:rPr>
          <w:rFonts w:ascii="Calibri" w:hAnsi="Calibri" w:eastAsia="方正仿宋_GBK"/>
          <w:color w:val="auto"/>
          <w:kern w:val="2"/>
          <w:sz w:val="32"/>
          <w:szCs w:val="32"/>
          <w:u w:val="none" w:color="auto"/>
        </w:rPr>
        <w:t xml:space="preserve"> </w:t>
      </w:r>
      <w:r>
        <w:rPr>
          <w:rFonts w:ascii="Calibri" w:hAnsi="Calibri" w:eastAsia="方正仿宋_GBK"/>
          <w:color w:val="auto"/>
          <w:kern w:val="2"/>
          <w:sz w:val="32"/>
          <w:szCs w:val="32"/>
          <w:u w:val="single" w:color="auto"/>
        </w:rPr>
        <w:t xml:space="preserve">   </w:t>
      </w:r>
      <w:r>
        <w:rPr>
          <w:rFonts w:eastAsia="方正仿宋_GBK"/>
          <w:color w:val="auto"/>
          <w:kern w:val="2"/>
          <w:sz w:val="32"/>
          <w:szCs w:val="32"/>
          <w:u w:val="single" w:color="auto"/>
        </w:rPr>
        <w:t xml:space="preserve">                          </w:t>
      </w:r>
      <w:r>
        <w:rPr>
          <w:rFonts w:hint="eastAsia" w:eastAsia="方正仿宋_GBK"/>
          <w:color w:val="auto"/>
          <w:kern w:val="2"/>
          <w:sz w:val="32"/>
          <w:szCs w:val="32"/>
          <w:u w:val="single" w:color="auto"/>
        </w:rPr>
        <w:t xml:space="preserve"> </w:t>
      </w:r>
    </w:p>
    <w:p>
      <w:pPr>
        <w:widowControl w:val="0"/>
        <w:spacing w:line="240" w:lineRule="auto"/>
        <w:ind w:firstLine="1049" w:firstLineChars="328"/>
        <w:textAlignment w:val="auto"/>
        <w:rPr>
          <w:rFonts w:eastAsia="方正仿宋_GBK"/>
          <w:color w:val="auto"/>
          <w:kern w:val="2"/>
          <w:sz w:val="32"/>
          <w:szCs w:val="32"/>
          <w:u w:val="none" w:color="auto"/>
        </w:rPr>
      </w:pPr>
    </w:p>
    <w:p>
      <w:pPr>
        <w:widowControl w:val="0"/>
        <w:spacing w:line="240" w:lineRule="auto"/>
        <w:ind w:firstLine="1049" w:firstLineChars="328"/>
        <w:textAlignment w:val="auto"/>
        <w:rPr>
          <w:rFonts w:ascii="Calibri" w:hAnsi="Calibri" w:eastAsia="方正仿宋_GBK"/>
          <w:color w:val="auto"/>
          <w:kern w:val="2"/>
          <w:sz w:val="32"/>
          <w:szCs w:val="32"/>
          <w:u w:val="single" w:color="auto"/>
        </w:rPr>
      </w:pPr>
      <w:r>
        <w:rPr>
          <w:rFonts w:eastAsia="方正仿宋_GBK"/>
          <w:color w:val="auto"/>
          <w:kern w:val="2"/>
          <w:sz w:val="32"/>
          <w:szCs w:val="32"/>
          <w:u w:val="none" w:color="auto"/>
        </w:rPr>
        <w:t xml:space="preserve">专家姓名 </w:t>
      </w:r>
      <w:r>
        <w:rPr>
          <w:rFonts w:ascii="Calibri" w:hAnsi="Calibri" w:eastAsia="方正仿宋_GBK"/>
          <w:color w:val="auto"/>
          <w:kern w:val="2"/>
          <w:sz w:val="32"/>
          <w:szCs w:val="32"/>
          <w:u w:val="single" w:color="auto"/>
        </w:rPr>
        <w:t xml:space="preserve">         </w:t>
      </w:r>
      <w:r>
        <w:rPr>
          <w:rFonts w:eastAsia="方正仿宋_GBK"/>
          <w:color w:val="auto"/>
          <w:kern w:val="2"/>
          <w:sz w:val="32"/>
          <w:szCs w:val="32"/>
          <w:u w:val="single" w:color="auto"/>
        </w:rPr>
        <w:t xml:space="preserve">          </w:t>
      </w:r>
      <w:r>
        <w:rPr>
          <w:rFonts w:ascii="Calibri" w:hAnsi="Calibri" w:eastAsia="方正仿宋_GBK"/>
          <w:color w:val="auto"/>
          <w:kern w:val="2"/>
          <w:sz w:val="32"/>
          <w:szCs w:val="32"/>
          <w:u w:val="single" w:color="auto"/>
        </w:rPr>
        <w:t xml:space="preserve">       </w:t>
      </w:r>
      <w:r>
        <w:rPr>
          <w:rFonts w:hint="eastAsia" w:ascii="Calibri" w:hAnsi="Calibri" w:eastAsia="方正仿宋_GBK"/>
          <w:color w:val="auto"/>
          <w:kern w:val="2"/>
          <w:sz w:val="32"/>
          <w:szCs w:val="32"/>
          <w:u w:val="single" w:color="auto"/>
        </w:rPr>
        <w:t xml:space="preserve">     </w:t>
      </w:r>
    </w:p>
    <w:p>
      <w:pPr>
        <w:widowControl w:val="0"/>
        <w:spacing w:line="240" w:lineRule="auto"/>
        <w:ind w:firstLine="1049" w:firstLineChars="328"/>
        <w:textAlignment w:val="auto"/>
        <w:rPr>
          <w:rFonts w:eastAsia="方正仿宋_GBK"/>
          <w:color w:val="auto"/>
          <w:kern w:val="2"/>
          <w:sz w:val="32"/>
          <w:szCs w:val="32"/>
          <w:u w:val="none" w:color="auto"/>
        </w:rPr>
      </w:pPr>
    </w:p>
    <w:p>
      <w:pPr>
        <w:widowControl w:val="0"/>
        <w:spacing w:line="240" w:lineRule="auto"/>
        <w:ind w:firstLine="1049" w:firstLineChars="328"/>
        <w:textAlignment w:val="auto"/>
        <w:rPr>
          <w:rFonts w:ascii="Calibri" w:hAnsi="Calibri" w:eastAsia="方正仿宋_GBK"/>
          <w:color w:val="auto"/>
          <w:kern w:val="2"/>
          <w:sz w:val="32"/>
          <w:szCs w:val="32"/>
          <w:u w:val="single" w:color="auto"/>
        </w:rPr>
      </w:pPr>
      <w:r>
        <w:rPr>
          <w:rFonts w:eastAsia="方正仿宋_GBK"/>
          <w:color w:val="auto"/>
          <w:kern w:val="2"/>
          <w:sz w:val="32"/>
          <w:szCs w:val="32"/>
          <w:u w:val="none" w:color="auto"/>
        </w:rPr>
        <w:t xml:space="preserve">工作室职业（工种）  </w:t>
      </w:r>
      <w:r>
        <w:rPr>
          <w:rFonts w:ascii="Calibri" w:hAnsi="Calibri" w:eastAsia="方正仿宋_GBK"/>
          <w:color w:val="auto"/>
          <w:kern w:val="2"/>
          <w:sz w:val="32"/>
          <w:szCs w:val="32"/>
          <w:u w:val="single" w:color="auto"/>
        </w:rPr>
        <w:t xml:space="preserve">   </w:t>
      </w:r>
      <w:r>
        <w:rPr>
          <w:rFonts w:eastAsia="方正仿宋_GBK"/>
          <w:color w:val="auto"/>
          <w:kern w:val="2"/>
          <w:sz w:val="32"/>
          <w:szCs w:val="32"/>
          <w:u w:val="single" w:color="auto"/>
        </w:rPr>
        <w:t xml:space="preserve">           </w:t>
      </w:r>
      <w:r>
        <w:rPr>
          <w:rFonts w:ascii="Calibri" w:hAnsi="Calibri" w:eastAsia="方正仿宋_GBK"/>
          <w:color w:val="auto"/>
          <w:kern w:val="2"/>
          <w:sz w:val="32"/>
          <w:szCs w:val="32"/>
          <w:u w:val="single" w:color="auto"/>
        </w:rPr>
        <w:t xml:space="preserve">   </w:t>
      </w:r>
      <w:r>
        <w:rPr>
          <w:rFonts w:hint="eastAsia" w:ascii="Calibri" w:hAnsi="Calibri" w:eastAsia="方正仿宋_GBK"/>
          <w:color w:val="auto"/>
          <w:kern w:val="2"/>
          <w:sz w:val="32"/>
          <w:szCs w:val="32"/>
          <w:u w:val="single" w:color="auto"/>
        </w:rPr>
        <w:t xml:space="preserve">   </w:t>
      </w:r>
    </w:p>
    <w:p>
      <w:pPr>
        <w:widowControl w:val="0"/>
        <w:spacing w:line="240" w:lineRule="auto"/>
        <w:textAlignment w:val="auto"/>
        <w:rPr>
          <w:rFonts w:eastAsia="方正仿宋_GBK"/>
          <w:color w:val="auto"/>
          <w:kern w:val="2"/>
          <w:sz w:val="32"/>
          <w:szCs w:val="32"/>
          <w:u w:val="none" w:color="auto"/>
        </w:rPr>
      </w:pPr>
    </w:p>
    <w:p>
      <w:pPr>
        <w:widowControl w:val="0"/>
        <w:spacing w:line="240" w:lineRule="auto"/>
        <w:ind w:firstLine="1049" w:firstLineChars="328"/>
        <w:textAlignment w:val="auto"/>
        <w:rPr>
          <w:rFonts w:ascii="Calibri" w:hAnsi="Calibri" w:eastAsia="方正仿宋_GBK"/>
          <w:b/>
          <w:bCs/>
          <w:color w:val="auto"/>
          <w:kern w:val="2"/>
          <w:sz w:val="32"/>
          <w:szCs w:val="32"/>
          <w:u w:val="none" w:color="auto"/>
        </w:rPr>
      </w:pPr>
      <w:r>
        <w:rPr>
          <w:rFonts w:eastAsia="方正仿宋_GBK"/>
          <w:color w:val="auto"/>
          <w:kern w:val="2"/>
          <w:sz w:val="32"/>
          <w:szCs w:val="32"/>
          <w:u w:val="none" w:color="auto"/>
        </w:rPr>
        <w:t>填报时间</w:t>
      </w:r>
      <w:r>
        <w:rPr>
          <w:rFonts w:ascii="Calibri" w:hAnsi="Calibri" w:eastAsia="方正仿宋_GBK"/>
          <w:color w:val="auto"/>
          <w:kern w:val="2"/>
          <w:sz w:val="32"/>
          <w:szCs w:val="32"/>
          <w:u w:val="none" w:color="auto"/>
        </w:rPr>
        <w:t xml:space="preserve"> </w:t>
      </w:r>
      <w:r>
        <w:rPr>
          <w:rFonts w:eastAsia="方正仿宋_GBK"/>
          <w:color w:val="auto"/>
          <w:kern w:val="2"/>
          <w:sz w:val="32"/>
          <w:szCs w:val="32"/>
          <w:u w:val="single" w:color="auto"/>
        </w:rPr>
        <w:t xml:space="preserve">    </w:t>
      </w:r>
      <w:r>
        <w:rPr>
          <w:rFonts w:hint="eastAsia" w:eastAsia="方正仿宋_GBK"/>
          <w:color w:val="auto"/>
          <w:kern w:val="2"/>
          <w:sz w:val="32"/>
          <w:szCs w:val="32"/>
          <w:u w:val="single" w:color="auto"/>
        </w:rPr>
        <w:t xml:space="preserve">            </w:t>
      </w:r>
      <w:r>
        <w:rPr>
          <w:rFonts w:eastAsia="方正仿宋_GBK"/>
          <w:color w:val="auto"/>
          <w:kern w:val="2"/>
          <w:sz w:val="32"/>
          <w:szCs w:val="32"/>
          <w:u w:val="single" w:color="auto"/>
        </w:rPr>
        <w:t xml:space="preserve"> </w:t>
      </w:r>
      <w:r>
        <w:rPr>
          <w:rFonts w:hint="eastAsia" w:ascii="Calibri" w:hAnsi="Calibri" w:eastAsia="方正仿宋_GBK"/>
          <w:color w:val="auto"/>
          <w:kern w:val="2"/>
          <w:sz w:val="32"/>
          <w:szCs w:val="32"/>
          <w:u w:val="single" w:color="auto"/>
        </w:rPr>
        <w:t xml:space="preserve">    </w:t>
      </w:r>
      <w:r>
        <w:rPr>
          <w:rFonts w:ascii="Calibri" w:hAnsi="Calibri" w:eastAsia="方正仿宋_GBK"/>
          <w:color w:val="auto"/>
          <w:kern w:val="2"/>
          <w:sz w:val="32"/>
          <w:szCs w:val="32"/>
          <w:u w:val="single" w:color="auto"/>
        </w:rPr>
        <w:t xml:space="preserve"> </w:t>
      </w:r>
      <w:r>
        <w:rPr>
          <w:rFonts w:hint="eastAsia" w:ascii="Calibri" w:hAnsi="Calibri" w:eastAsia="方正仿宋_GBK"/>
          <w:color w:val="auto"/>
          <w:kern w:val="2"/>
          <w:sz w:val="32"/>
          <w:szCs w:val="32"/>
          <w:u w:val="single" w:color="auto"/>
        </w:rPr>
        <w:t xml:space="preserve">         </w:t>
      </w:r>
    </w:p>
    <w:p>
      <w:pPr>
        <w:widowControl w:val="0"/>
        <w:spacing w:line="240" w:lineRule="auto"/>
        <w:textAlignment w:val="auto"/>
        <w:rPr>
          <w:rFonts w:ascii="Calibri" w:hAnsi="Calibri"/>
          <w:b/>
          <w:bCs/>
          <w:color w:val="auto"/>
          <w:kern w:val="2"/>
          <w:sz w:val="32"/>
          <w:szCs w:val="32"/>
          <w:u w:val="none" w:color="auto"/>
        </w:rPr>
      </w:pPr>
    </w:p>
    <w:p>
      <w:pPr>
        <w:widowControl w:val="0"/>
        <w:spacing w:line="240" w:lineRule="auto"/>
        <w:textAlignment w:val="auto"/>
        <w:rPr>
          <w:rFonts w:ascii="Calibri" w:hAnsi="Calibri"/>
          <w:b/>
          <w:bCs/>
          <w:color w:val="auto"/>
          <w:kern w:val="2"/>
          <w:sz w:val="32"/>
          <w:szCs w:val="32"/>
          <w:u w:val="none" w:color="auto"/>
        </w:rPr>
      </w:pPr>
    </w:p>
    <w:p>
      <w:pPr>
        <w:widowControl w:val="0"/>
        <w:spacing w:line="240" w:lineRule="auto"/>
        <w:textAlignment w:val="auto"/>
        <w:rPr>
          <w:rFonts w:ascii="Calibri" w:hAnsi="Calibri"/>
          <w:b/>
          <w:bCs/>
          <w:color w:val="auto"/>
          <w:kern w:val="2"/>
          <w:sz w:val="32"/>
          <w:szCs w:val="32"/>
          <w:u w:val="none" w:color="auto"/>
        </w:rPr>
      </w:pPr>
    </w:p>
    <w:p>
      <w:pPr>
        <w:widowControl w:val="0"/>
        <w:spacing w:line="240" w:lineRule="auto"/>
        <w:textAlignment w:val="auto"/>
        <w:rPr>
          <w:rFonts w:ascii="Calibri" w:hAnsi="Calibri"/>
          <w:b/>
          <w:bCs/>
          <w:color w:val="auto"/>
          <w:kern w:val="2"/>
          <w:szCs w:val="32"/>
          <w:u w:val="none" w:color="auto"/>
        </w:rPr>
      </w:pPr>
    </w:p>
    <w:p>
      <w:pPr>
        <w:widowControl w:val="0"/>
        <w:spacing w:line="240" w:lineRule="auto"/>
        <w:textAlignment w:val="auto"/>
        <w:rPr>
          <w:rFonts w:ascii="Calibri" w:hAnsi="Calibri"/>
          <w:b/>
          <w:bCs/>
          <w:color w:val="auto"/>
          <w:kern w:val="2"/>
          <w:szCs w:val="32"/>
          <w:u w:val="none" w:color="auto"/>
        </w:rPr>
      </w:pPr>
    </w:p>
    <w:p>
      <w:pPr>
        <w:widowControl w:val="0"/>
        <w:spacing w:line="240" w:lineRule="auto"/>
        <w:jc w:val="center"/>
        <w:textAlignment w:val="auto"/>
        <w:rPr>
          <w:rFonts w:eastAsia="方正楷体_GBK"/>
          <w:color w:val="auto"/>
          <w:spacing w:val="-11"/>
          <w:kern w:val="2"/>
          <w:sz w:val="32"/>
          <w:szCs w:val="32"/>
          <w:u w:val="none" w:color="auto"/>
        </w:rPr>
      </w:pPr>
      <w:r>
        <w:rPr>
          <w:rFonts w:eastAsia="方正楷体_GBK"/>
          <w:color w:val="auto"/>
          <w:spacing w:val="-11"/>
          <w:kern w:val="2"/>
          <w:sz w:val="32"/>
          <w:szCs w:val="32"/>
          <w:u w:val="none" w:color="auto"/>
        </w:rPr>
        <w:t>中 共</w:t>
      </w:r>
      <w:r>
        <w:rPr>
          <w:rFonts w:ascii="Calibri" w:hAnsi="Calibri" w:eastAsia="方正楷体_GBK"/>
          <w:color w:val="auto"/>
          <w:spacing w:val="-11"/>
          <w:kern w:val="2"/>
          <w:sz w:val="32"/>
          <w:szCs w:val="32"/>
          <w:u w:val="none" w:color="auto"/>
        </w:rPr>
        <w:t xml:space="preserve"> </w:t>
      </w:r>
      <w:r>
        <w:rPr>
          <w:rFonts w:eastAsia="方正楷体_GBK"/>
          <w:color w:val="auto"/>
          <w:spacing w:val="-11"/>
          <w:kern w:val="2"/>
          <w:sz w:val="32"/>
          <w:szCs w:val="32"/>
          <w:u w:val="none" w:color="auto"/>
        </w:rPr>
        <w:t>重 庆 市</w:t>
      </w:r>
      <w:r>
        <w:rPr>
          <w:rFonts w:hint="eastAsia" w:eastAsia="方正楷体_GBK"/>
          <w:color w:val="auto"/>
          <w:spacing w:val="-11"/>
          <w:kern w:val="2"/>
          <w:sz w:val="32"/>
          <w:szCs w:val="32"/>
          <w:u w:val="none" w:color="auto"/>
        </w:rPr>
        <w:t xml:space="preserve"> 渝 中 区</w:t>
      </w:r>
      <w:r>
        <w:rPr>
          <w:rFonts w:eastAsia="方正楷体_GBK"/>
          <w:color w:val="auto"/>
          <w:spacing w:val="-11"/>
          <w:kern w:val="2"/>
          <w:sz w:val="32"/>
          <w:szCs w:val="32"/>
          <w:u w:val="none" w:color="auto"/>
        </w:rPr>
        <w:t xml:space="preserve"> 委 组 织 部</w:t>
      </w:r>
    </w:p>
    <w:p>
      <w:pPr>
        <w:widowControl w:val="0"/>
        <w:spacing w:line="240" w:lineRule="auto"/>
        <w:jc w:val="center"/>
        <w:textAlignment w:val="auto"/>
        <w:rPr>
          <w:rFonts w:eastAsia="方正楷体_GBK"/>
          <w:color w:val="auto"/>
          <w:kern w:val="2"/>
          <w:sz w:val="32"/>
          <w:szCs w:val="32"/>
          <w:u w:val="none" w:color="auto"/>
        </w:rPr>
      </w:pPr>
      <w:r>
        <w:rPr>
          <w:rFonts w:eastAsia="方正楷体_GBK"/>
          <w:color w:val="auto"/>
          <w:kern w:val="2"/>
          <w:sz w:val="32"/>
          <w:szCs w:val="32"/>
          <w:u w:val="none" w:color="auto"/>
        </w:rPr>
        <w:t>重庆市</w:t>
      </w:r>
      <w:r>
        <w:rPr>
          <w:rFonts w:hint="eastAsia" w:eastAsia="方正楷体_GBK"/>
          <w:color w:val="auto"/>
          <w:kern w:val="2"/>
          <w:sz w:val="32"/>
          <w:szCs w:val="32"/>
          <w:u w:val="none" w:color="auto"/>
        </w:rPr>
        <w:t>渝中区</w:t>
      </w:r>
      <w:r>
        <w:rPr>
          <w:rFonts w:eastAsia="方正楷体_GBK"/>
          <w:color w:val="auto"/>
          <w:kern w:val="2"/>
          <w:sz w:val="32"/>
          <w:szCs w:val="32"/>
          <w:u w:val="none" w:color="auto"/>
        </w:rPr>
        <w:t>人力资源和社会保障局</w:t>
      </w:r>
    </w:p>
    <w:p>
      <w:pPr>
        <w:widowControl w:val="0"/>
        <w:spacing w:line="240" w:lineRule="auto"/>
        <w:jc w:val="center"/>
        <w:textAlignment w:val="auto"/>
        <w:rPr>
          <w:rFonts w:eastAsia="方正楷体_GBK"/>
          <w:color w:val="auto"/>
          <w:kern w:val="2"/>
          <w:szCs w:val="32"/>
          <w:u w:val="none" w:color="auto"/>
        </w:rPr>
      </w:pPr>
    </w:p>
    <w:p>
      <w:pPr>
        <w:widowControl w:val="0"/>
        <w:spacing w:line="240" w:lineRule="auto"/>
        <w:textAlignment w:val="auto"/>
        <w:rPr>
          <w:rFonts w:hint="eastAsia" w:eastAsia="方正楷体_GBK"/>
          <w:color w:val="auto"/>
          <w:kern w:val="2"/>
          <w:szCs w:val="32"/>
          <w:u w:val="none" w:color="auto"/>
        </w:rPr>
      </w:pPr>
    </w:p>
    <w:p>
      <w:pPr>
        <w:widowControl w:val="0"/>
        <w:spacing w:line="240" w:lineRule="auto"/>
        <w:textAlignment w:val="auto"/>
        <w:rPr>
          <w:rFonts w:hint="eastAsia" w:eastAsia="方正楷体_GBK"/>
          <w:color w:val="auto"/>
          <w:kern w:val="2"/>
          <w:szCs w:val="32"/>
          <w:u w:val="none" w:color="auto"/>
        </w:rPr>
      </w:pPr>
    </w:p>
    <w:p>
      <w:pPr>
        <w:widowControl w:val="0"/>
        <w:spacing w:line="240" w:lineRule="auto"/>
        <w:textAlignment w:val="auto"/>
        <w:rPr>
          <w:rFonts w:hint="eastAsia" w:eastAsia="方正楷体_GBK"/>
          <w:color w:val="auto"/>
          <w:kern w:val="2"/>
          <w:szCs w:val="32"/>
          <w:u w:val="none" w:color="auto"/>
        </w:rPr>
      </w:pPr>
    </w:p>
    <w:p>
      <w:pPr>
        <w:widowControl w:val="0"/>
        <w:spacing w:line="240" w:lineRule="auto"/>
        <w:textAlignment w:val="auto"/>
        <w:rPr>
          <w:rFonts w:eastAsia="方正楷体_GBK"/>
          <w:color w:val="auto"/>
          <w:kern w:val="2"/>
          <w:szCs w:val="32"/>
          <w:u w:val="none" w:color="auto"/>
        </w:rPr>
      </w:pPr>
    </w:p>
    <w:tbl>
      <w:tblPr>
        <w:tblStyle w:val="9"/>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70"/>
        <w:gridCol w:w="291"/>
        <w:gridCol w:w="444"/>
        <w:gridCol w:w="285"/>
        <w:gridCol w:w="457"/>
        <w:gridCol w:w="728"/>
        <w:gridCol w:w="285"/>
        <w:gridCol w:w="142"/>
        <w:gridCol w:w="175"/>
        <w:gridCol w:w="304"/>
        <w:gridCol w:w="207"/>
        <w:gridCol w:w="948"/>
        <w:gridCol w:w="105"/>
        <w:gridCol w:w="11"/>
        <w:gridCol w:w="87"/>
        <w:gridCol w:w="315"/>
        <w:gridCol w:w="415"/>
        <w:gridCol w:w="110"/>
        <w:gridCol w:w="525"/>
        <w:gridCol w:w="292"/>
        <w:gridCol w:w="249"/>
        <w:gridCol w:w="12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申报单位名称</w:t>
            </w:r>
          </w:p>
        </w:tc>
        <w:tc>
          <w:tcPr>
            <w:tcW w:w="2583"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151"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单位性质</w:t>
            </w:r>
          </w:p>
        </w:tc>
        <w:tc>
          <w:tcPr>
            <w:tcW w:w="3300"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spacing w:val="-20"/>
                <w:kern w:val="2"/>
                <w:sz w:val="24"/>
                <w:szCs w:val="24"/>
                <w:u w:val="none" w:color="auto"/>
              </w:rPr>
              <w:t>负责人</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113"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spacing w:val="-20"/>
                <w:kern w:val="2"/>
                <w:sz w:val="24"/>
                <w:szCs w:val="24"/>
                <w:u w:val="none" w:color="auto"/>
              </w:rPr>
              <w:t>办公电话</w:t>
            </w:r>
          </w:p>
        </w:tc>
        <w:tc>
          <w:tcPr>
            <w:tcW w:w="1466"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手机</w:t>
            </w:r>
          </w:p>
        </w:tc>
        <w:tc>
          <w:tcPr>
            <w:tcW w:w="1935" w:type="dxa"/>
            <w:gridSpan w:val="4"/>
            <w:tcBorders>
              <w:top w:val="single" w:color="auto" w:sz="4" w:space="0"/>
              <w:left w:val="single" w:color="auto" w:sz="4" w:space="0"/>
              <w:bottom w:val="nil"/>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spacing w:val="-20"/>
                <w:kern w:val="2"/>
                <w:sz w:val="24"/>
                <w:szCs w:val="24"/>
                <w:u w:val="none" w:color="auto"/>
              </w:rPr>
            </w:pPr>
            <w:r>
              <w:rPr>
                <w:rFonts w:ascii="Calibri" w:hAnsi="Calibri" w:eastAsia="方正仿宋_GBK"/>
                <w:color w:val="auto"/>
                <w:spacing w:val="-20"/>
                <w:kern w:val="2"/>
                <w:sz w:val="24"/>
                <w:szCs w:val="24"/>
                <w:u w:val="none" w:color="auto"/>
              </w:rPr>
              <w:t>联系人</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113"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spacing w:val="-20"/>
                <w:kern w:val="2"/>
                <w:sz w:val="24"/>
                <w:szCs w:val="24"/>
                <w:u w:val="none" w:color="auto"/>
              </w:rPr>
              <w:t>办公电话</w:t>
            </w:r>
          </w:p>
        </w:tc>
        <w:tc>
          <w:tcPr>
            <w:tcW w:w="1466"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手机</w:t>
            </w:r>
          </w:p>
        </w:tc>
        <w:tc>
          <w:tcPr>
            <w:tcW w:w="1935" w:type="dxa"/>
            <w:gridSpan w:val="4"/>
            <w:tcBorders>
              <w:top w:val="single" w:color="auto" w:sz="4" w:space="0"/>
              <w:left w:val="single" w:color="auto" w:sz="4" w:space="0"/>
              <w:bottom w:val="nil"/>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spacing w:val="-20"/>
                <w:kern w:val="2"/>
                <w:sz w:val="24"/>
                <w:szCs w:val="24"/>
                <w:u w:val="none" w:color="auto"/>
              </w:rPr>
            </w:pPr>
            <w:r>
              <w:rPr>
                <w:rFonts w:ascii="Calibri" w:hAnsi="Calibri" w:eastAsia="方正仿宋_GBK"/>
                <w:color w:val="auto"/>
                <w:spacing w:val="-20"/>
                <w:kern w:val="2"/>
                <w:sz w:val="24"/>
                <w:szCs w:val="24"/>
                <w:u w:val="none" w:color="auto"/>
              </w:rPr>
              <w:t>E-mail</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113"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传真</w:t>
            </w:r>
          </w:p>
        </w:tc>
        <w:tc>
          <w:tcPr>
            <w:tcW w:w="4451"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spacing w:val="-20"/>
                <w:kern w:val="2"/>
                <w:sz w:val="24"/>
                <w:szCs w:val="24"/>
                <w:u w:val="none" w:color="auto"/>
              </w:rPr>
            </w:pPr>
            <w:r>
              <w:rPr>
                <w:rFonts w:ascii="Calibri" w:hAnsi="Calibri" w:eastAsia="方正仿宋_GBK"/>
                <w:color w:val="auto"/>
                <w:spacing w:val="-20"/>
                <w:kern w:val="2"/>
                <w:sz w:val="24"/>
                <w:szCs w:val="24"/>
                <w:u w:val="none" w:color="auto"/>
              </w:rPr>
              <w:t>通信地址</w:t>
            </w:r>
          </w:p>
        </w:tc>
        <w:tc>
          <w:tcPr>
            <w:tcW w:w="3531"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043" w:type="dxa"/>
            <w:gridSpan w:val="6"/>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spacing w:val="-20"/>
                <w:kern w:val="2"/>
                <w:sz w:val="24"/>
                <w:szCs w:val="24"/>
                <w:u w:val="none" w:color="auto"/>
              </w:rPr>
              <w:t>邮政编码</w:t>
            </w:r>
          </w:p>
        </w:tc>
        <w:tc>
          <w:tcPr>
            <w:tcW w:w="2460" w:type="dxa"/>
            <w:gridSpan w:val="5"/>
            <w:tcBorders>
              <w:top w:val="single" w:color="auto" w:sz="4" w:space="0"/>
              <w:left w:val="single" w:color="auto" w:sz="4" w:space="0"/>
              <w:bottom w:val="nil"/>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spacing w:val="-20"/>
                <w:kern w:val="2"/>
                <w:sz w:val="24"/>
                <w:szCs w:val="24"/>
                <w:u w:val="none" w:color="auto"/>
              </w:rPr>
            </w:pPr>
            <w:r>
              <w:rPr>
                <w:rFonts w:ascii="Calibri" w:hAnsi="Calibri" w:eastAsia="方正仿宋_GBK"/>
                <w:color w:val="auto"/>
                <w:spacing w:val="-20"/>
                <w:kern w:val="2"/>
                <w:sz w:val="24"/>
                <w:szCs w:val="24"/>
                <w:u w:val="none" w:color="auto"/>
              </w:rPr>
              <w:t>开户银行及资金账号</w:t>
            </w:r>
          </w:p>
        </w:tc>
        <w:tc>
          <w:tcPr>
            <w:tcW w:w="7034" w:type="dxa"/>
            <w:gridSpan w:val="20"/>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命名专家</w:t>
            </w:r>
          </w:p>
        </w:tc>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性别</w:t>
            </w:r>
          </w:p>
        </w:tc>
        <w:tc>
          <w:tcPr>
            <w:tcW w:w="6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9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民族</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302" w:type="dxa"/>
            <w:gridSpan w:val="5"/>
            <w:tcBorders>
              <w:top w:val="single" w:color="auto" w:sz="4" w:space="0"/>
              <w:left w:val="single" w:color="auto" w:sz="4" w:space="0"/>
              <w:bottom w:val="nil"/>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政治面貌</w:t>
            </w:r>
          </w:p>
        </w:tc>
        <w:tc>
          <w:tcPr>
            <w:tcW w:w="1268" w:type="dxa"/>
            <w:tcBorders>
              <w:top w:val="single" w:color="auto" w:sz="4" w:space="0"/>
              <w:left w:val="single" w:color="auto" w:sz="4" w:space="0"/>
              <w:bottom w:val="nil"/>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身份证号</w:t>
            </w:r>
          </w:p>
        </w:tc>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634"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学历（学位）</w:t>
            </w:r>
          </w:p>
        </w:tc>
        <w:tc>
          <w:tcPr>
            <w:tcW w:w="115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860"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参加工作时间</w:t>
            </w:r>
          </w:p>
        </w:tc>
        <w:tc>
          <w:tcPr>
            <w:tcW w:w="1643" w:type="dxa"/>
            <w:gridSpan w:val="3"/>
            <w:tcBorders>
              <w:top w:val="single" w:color="auto" w:sz="4" w:space="0"/>
              <w:left w:val="single" w:color="auto" w:sz="4" w:space="0"/>
              <w:bottom w:val="nil"/>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职业（工种）</w:t>
            </w:r>
          </w:p>
        </w:tc>
        <w:tc>
          <w:tcPr>
            <w:tcW w:w="2516" w:type="dxa"/>
            <w:gridSpan w:val="7"/>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c>
          <w:tcPr>
            <w:tcW w:w="1564"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职业资格等级</w:t>
            </w:r>
          </w:p>
        </w:tc>
        <w:tc>
          <w:tcPr>
            <w:tcW w:w="3398" w:type="dxa"/>
            <w:gridSpan w:val="10"/>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5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工作室面积</w:t>
            </w:r>
          </w:p>
        </w:tc>
        <w:tc>
          <w:tcPr>
            <w:tcW w:w="2516"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5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工作室地点</w:t>
            </w:r>
          </w:p>
        </w:tc>
        <w:tc>
          <w:tcPr>
            <w:tcW w:w="3387"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25"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命</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名</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专</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家</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获</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奖</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情</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况</w:t>
            </w: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获奖项目及等级/排名</w:t>
            </w: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授予单位</w:t>
            </w: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3360"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3885"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textAlignment w:val="auto"/>
              <w:rPr>
                <w:rFonts w:ascii="Calibri" w:hAnsi="Calibri" w:eastAsia="方正仿宋_GBK"/>
                <w:color w:val="auto"/>
                <w:kern w:val="2"/>
                <w:sz w:val="24"/>
                <w:szCs w:val="24"/>
                <w:u w:val="none" w:color="auto"/>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况</w:t>
            </w: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姓   名</w:t>
            </w: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年龄</w:t>
            </w: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职业资格等级</w:t>
            </w: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2" w:hRule="atLeast"/>
          <w:jc w:val="center"/>
        </w:trPr>
        <w:tc>
          <w:tcPr>
            <w:tcW w:w="425"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Cs w:val="32"/>
                <w:u w:val="none" w:color="auto"/>
              </w:rPr>
            </w:pPr>
          </w:p>
        </w:tc>
        <w:tc>
          <w:tcPr>
            <w:tcW w:w="1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c>
          <w:tcPr>
            <w:tcW w:w="4962" w:type="dxa"/>
            <w:gridSpan w:val="14"/>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1" w:hRule="atLeast"/>
          <w:jc w:val="center"/>
        </w:trPr>
        <w:tc>
          <w:tcPr>
            <w:tcW w:w="15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命名专家主要工作业绩</w:t>
            </w:r>
          </w:p>
          <w:p>
            <w:pPr>
              <w:widowControl w:val="0"/>
              <w:spacing w:line="240" w:lineRule="auto"/>
              <w:jc w:val="center"/>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（300字以内）</w:t>
            </w:r>
          </w:p>
        </w:tc>
        <w:tc>
          <w:tcPr>
            <w:tcW w:w="7478" w:type="dxa"/>
            <w:gridSpan w:val="21"/>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2" w:hRule="atLeast"/>
          <w:jc w:val="center"/>
        </w:trPr>
        <w:tc>
          <w:tcPr>
            <w:tcW w:w="15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所在单位意见</w:t>
            </w:r>
          </w:p>
        </w:tc>
        <w:tc>
          <w:tcPr>
            <w:tcW w:w="7478" w:type="dxa"/>
            <w:gridSpan w:val="21"/>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5280" w:firstLineChars="2200"/>
              <w:textAlignment w:val="auto"/>
              <w:rPr>
                <w:rFonts w:ascii="Calibri" w:hAnsi="Calibri" w:eastAsia="方正仿宋_GBK"/>
                <w:color w:val="auto"/>
                <w:kern w:val="2"/>
                <w:sz w:val="24"/>
                <w:szCs w:val="24"/>
                <w:u w:val="none" w:color="auto"/>
              </w:rPr>
            </w:pPr>
          </w:p>
          <w:p>
            <w:pPr>
              <w:widowControl w:val="0"/>
              <w:spacing w:line="240" w:lineRule="auto"/>
              <w:ind w:firstLine="5280" w:firstLineChars="2200"/>
              <w:textAlignment w:val="auto"/>
              <w:rPr>
                <w:rFonts w:ascii="Calibri" w:hAnsi="Calibri" w:eastAsia="方正仿宋_GBK"/>
                <w:color w:val="auto"/>
                <w:kern w:val="2"/>
                <w:sz w:val="24"/>
                <w:szCs w:val="24"/>
                <w:u w:val="none" w:color="auto"/>
              </w:rPr>
            </w:pPr>
          </w:p>
          <w:p>
            <w:pPr>
              <w:widowControl w:val="0"/>
              <w:spacing w:line="240" w:lineRule="auto"/>
              <w:ind w:firstLine="5760" w:firstLineChars="2400"/>
              <w:jc w:val="both"/>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(签字盖章)</w:t>
            </w:r>
          </w:p>
          <w:p>
            <w:pPr>
              <w:widowControl w:val="0"/>
              <w:spacing w:line="240" w:lineRule="auto"/>
              <w:jc w:val="right"/>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2" w:hRule="atLeast"/>
          <w:jc w:val="center"/>
        </w:trPr>
        <w:tc>
          <w:tcPr>
            <w:tcW w:w="15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r>
              <w:rPr>
                <w:rFonts w:hint="eastAsia" w:ascii="Calibri" w:hAnsi="Calibri" w:eastAsia="方正仿宋_GBK"/>
                <w:color w:val="auto"/>
                <w:kern w:val="2"/>
                <w:sz w:val="24"/>
                <w:szCs w:val="24"/>
                <w:u w:val="none" w:color="auto"/>
              </w:rPr>
              <w:t>行业</w:t>
            </w:r>
            <w:r>
              <w:rPr>
                <w:rFonts w:ascii="Calibri" w:hAnsi="Calibri" w:eastAsia="方正仿宋_GBK"/>
                <w:color w:val="auto"/>
                <w:kern w:val="2"/>
                <w:sz w:val="24"/>
                <w:szCs w:val="24"/>
                <w:u w:val="none" w:color="auto"/>
              </w:rPr>
              <w:t>主管部门意见</w:t>
            </w:r>
          </w:p>
        </w:tc>
        <w:tc>
          <w:tcPr>
            <w:tcW w:w="7478" w:type="dxa"/>
            <w:gridSpan w:val="21"/>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jc w:val="right"/>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 xml:space="preserve">(签字盖章)  </w:t>
            </w:r>
          </w:p>
          <w:p>
            <w:pPr>
              <w:widowControl w:val="0"/>
              <w:spacing w:line="240" w:lineRule="auto"/>
              <w:jc w:val="right"/>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4" w:hRule="atLeast"/>
          <w:jc w:val="center"/>
        </w:trPr>
        <w:tc>
          <w:tcPr>
            <w:tcW w:w="15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auto"/>
              <w:textAlignment w:val="auto"/>
              <w:rPr>
                <w:rFonts w:ascii="Calibri" w:hAnsi="Calibri" w:eastAsia="方正仿宋_GBK"/>
                <w:color w:val="auto"/>
                <w:kern w:val="2"/>
                <w:sz w:val="24"/>
                <w:szCs w:val="24"/>
                <w:u w:val="none" w:color="auto"/>
              </w:rPr>
            </w:pPr>
            <w:r>
              <w:rPr>
                <w:rFonts w:hint="eastAsia" w:ascii="Calibri" w:hAnsi="Calibri" w:eastAsia="方正仿宋_GBK"/>
                <w:color w:val="auto"/>
                <w:kern w:val="2"/>
                <w:sz w:val="24"/>
                <w:szCs w:val="24"/>
                <w:u w:val="none" w:color="auto"/>
              </w:rPr>
              <w:t>区</w:t>
            </w:r>
            <w:r>
              <w:rPr>
                <w:rFonts w:ascii="Calibri" w:hAnsi="Calibri" w:eastAsia="方正仿宋_GBK"/>
                <w:color w:val="auto"/>
                <w:kern w:val="2"/>
                <w:sz w:val="24"/>
                <w:szCs w:val="24"/>
                <w:u w:val="none" w:color="auto"/>
              </w:rPr>
              <w:t>委组织部、</w:t>
            </w:r>
            <w:r>
              <w:rPr>
                <w:rFonts w:hint="eastAsia" w:ascii="Calibri" w:hAnsi="Calibri" w:eastAsia="方正仿宋_GBK"/>
                <w:color w:val="auto"/>
                <w:kern w:val="2"/>
                <w:sz w:val="24"/>
                <w:szCs w:val="24"/>
                <w:u w:val="none" w:color="auto"/>
              </w:rPr>
              <w:t>区</w:t>
            </w:r>
            <w:r>
              <w:rPr>
                <w:rFonts w:ascii="Calibri" w:hAnsi="Calibri" w:eastAsia="方正仿宋_GBK"/>
                <w:color w:val="auto"/>
                <w:kern w:val="2"/>
                <w:sz w:val="24"/>
                <w:szCs w:val="24"/>
                <w:u w:val="none" w:color="auto"/>
              </w:rPr>
              <w:t>人力社保局意见</w:t>
            </w:r>
          </w:p>
        </w:tc>
        <w:tc>
          <w:tcPr>
            <w:tcW w:w="7478" w:type="dxa"/>
            <w:gridSpan w:val="21"/>
            <w:tcBorders>
              <w:top w:val="single" w:color="auto" w:sz="4" w:space="0"/>
              <w:left w:val="single" w:color="auto" w:sz="4" w:space="0"/>
              <w:bottom w:val="single" w:color="auto" w:sz="4" w:space="0"/>
              <w:right w:val="single" w:color="auto" w:sz="4" w:space="0"/>
            </w:tcBorders>
            <w:vAlign w:val="center"/>
          </w:tcPr>
          <w:p>
            <w:pPr>
              <w:widowControl w:val="0"/>
              <w:spacing w:line="240" w:lineRule="auto"/>
              <w:textAlignment w:val="auto"/>
              <w:rPr>
                <w:rFonts w:ascii="Calibri" w:hAnsi="Calibri" w:eastAsia="方正仿宋_GBK"/>
                <w:color w:val="auto"/>
                <w:kern w:val="2"/>
                <w:sz w:val="24"/>
                <w:szCs w:val="24"/>
                <w:u w:val="none" w:color="auto"/>
              </w:rPr>
            </w:pPr>
          </w:p>
          <w:p>
            <w:pPr>
              <w:widowControl w:val="0"/>
              <w:spacing w:line="240" w:lineRule="auto"/>
              <w:jc w:val="right"/>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 xml:space="preserve">(签字盖章)  </w:t>
            </w:r>
          </w:p>
          <w:p>
            <w:pPr>
              <w:widowControl w:val="0"/>
              <w:spacing w:line="240" w:lineRule="auto"/>
              <w:jc w:val="right"/>
              <w:textAlignment w:val="auto"/>
              <w:rPr>
                <w:rFonts w:ascii="Calibri" w:hAnsi="Calibri" w:eastAsia="方正仿宋_GBK"/>
                <w:color w:val="auto"/>
                <w:kern w:val="2"/>
                <w:sz w:val="24"/>
                <w:szCs w:val="24"/>
                <w:u w:val="none" w:color="auto"/>
              </w:rPr>
            </w:pPr>
            <w:r>
              <w:rPr>
                <w:rFonts w:ascii="Calibri" w:hAnsi="Calibri" w:eastAsia="方正仿宋_GBK"/>
                <w:color w:val="auto"/>
                <w:kern w:val="2"/>
                <w:sz w:val="24"/>
                <w:szCs w:val="24"/>
                <w:u w:val="none" w:color="auto"/>
              </w:rPr>
              <w:t xml:space="preserve">年   月   日   </w:t>
            </w:r>
          </w:p>
        </w:tc>
      </w:tr>
    </w:tbl>
    <w:p>
      <w:pPr>
        <w:widowControl w:val="0"/>
        <w:adjustRightInd w:val="0"/>
        <w:snapToGrid w:val="0"/>
        <w:spacing w:line="480" w:lineRule="exact"/>
        <w:rPr>
          <w:rFonts w:hint="eastAsia"/>
          <w:sz w:val="24"/>
          <w:szCs w:val="24"/>
          <w:u w:val="none" w:color="auto"/>
          <w:lang w:eastAsia="zh-CN"/>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宋体"/>
    <w:panose1 w:val="00000000000000000000"/>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重庆市渝中区人力资源和社会保障局发布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bookmarkStart w:id="3" w:name="_GoBack"/>
    <w:bookmarkEnd w:id="3"/>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重庆市渝中区人力资源和社会保障局行政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45C64FC"/>
    <w:rsid w:val="25EB1AF4"/>
    <w:rsid w:val="2C7F2978"/>
    <w:rsid w:val="2DD05FE1"/>
    <w:rsid w:val="2EAE3447"/>
    <w:rsid w:val="31A15F24"/>
    <w:rsid w:val="36FB1DF0"/>
    <w:rsid w:val="395347B5"/>
    <w:rsid w:val="39A232A0"/>
    <w:rsid w:val="39E745AA"/>
    <w:rsid w:val="3B444F61"/>
    <w:rsid w:val="3B5A6BBB"/>
    <w:rsid w:val="3CA154E3"/>
    <w:rsid w:val="3EDA13A6"/>
    <w:rsid w:val="3FF56C14"/>
    <w:rsid w:val="417B75E9"/>
    <w:rsid w:val="42430A63"/>
    <w:rsid w:val="42F058B7"/>
    <w:rsid w:val="436109F6"/>
    <w:rsid w:val="441A38D4"/>
    <w:rsid w:val="4504239D"/>
    <w:rsid w:val="456C5EE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正文文字缩进"/>
    <w:basedOn w:val="1"/>
    <w:qFormat/>
    <w:uiPriority w:val="0"/>
    <w:pPr>
      <w:spacing w:line="1746" w:lineRule="atLeast"/>
      <w:ind w:firstLine="612"/>
    </w:pPr>
    <w:rPr>
      <w:sz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2023-10-30T01:35:53Z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48C61CB29D3F4D9384F5922CF0F7FFB4</vt:lpwstr>
  </property>
</Properties>
</file>