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keepNext w:val="0"/>
        <w:keepLines w:val="0"/>
        <w:widowControl/>
        <w:suppressLineNumbers w:val="0"/>
        <w:spacing w:before="0" w:beforeAutospacing="0" w:after="0" w:afterAutospacing="0"/>
        <w:ind w:left="0" w:right="0"/>
        <w:jc w:val="center"/>
      </w:pPr>
      <w:r>
        <w:rPr>
          <w:rFonts w:ascii="方正小标宋_GBK" w:hAnsi="方正小标宋_GBK" w:eastAsia="方正小标宋_GBK" w:cs="方正小标宋_GBK"/>
          <w:sz w:val="44"/>
          <w:szCs w:val="44"/>
        </w:rPr>
        <w:t>重庆市渝中区退役军人事务局（本级）</w:t>
      </w:r>
    </w:p>
    <w:p>
      <w:pPr>
        <w:pStyle w:val="9"/>
        <w:keepNext w:val="0"/>
        <w:keepLines w:val="0"/>
        <w:widowControl/>
        <w:suppressLineNumbers w:val="0"/>
        <w:spacing w:before="0" w:beforeAutospacing="0" w:after="0" w:afterAutospacing="0"/>
        <w:ind w:left="0" w:right="0"/>
        <w:jc w:val="center"/>
      </w:pPr>
      <w:r>
        <w:rPr>
          <w:rFonts w:hint="default" w:ascii="Times New Roman" w:hAnsi="Times New Roman" w:eastAsia="方正小标宋_GBK" w:cs="Times New Roman"/>
          <w:sz w:val="44"/>
          <w:szCs w:val="44"/>
          <w:shd w:val="clear" w:fill="FFFFFF"/>
        </w:rPr>
        <w:t>2024</w:t>
      </w:r>
      <w:r>
        <w:rPr>
          <w:rFonts w:hint="eastAsia" w:ascii="方正小标宋_GBK" w:hAnsi="方正小标宋_GBK" w:eastAsia="方正小标宋_GBK" w:cs="方正小标宋_GBK"/>
          <w:sz w:val="44"/>
          <w:szCs w:val="44"/>
          <w:shd w:val="clear" w:fill="FFFFFF"/>
        </w:rPr>
        <w:t>年度决算公开说明</w:t>
      </w:r>
    </w:p>
    <w:p>
      <w:pPr>
        <w:pStyle w:val="9"/>
        <w:keepNext w:val="0"/>
        <w:keepLines w:val="0"/>
        <w:widowControl/>
        <w:suppressLineNumbers w:val="0"/>
        <w:shd w:val="clear" w:fill="FFFFFF"/>
        <w:spacing w:before="0" w:beforeAutospacing="0" w:after="0" w:afterAutospacing="0"/>
        <w:ind w:left="0" w:right="0" w:firstLine="643"/>
      </w:pPr>
      <w:r>
        <w:rPr>
          <w:rStyle w:val="12"/>
          <w:rFonts w:ascii="黑体" w:hAnsi="宋体" w:eastAsia="黑体" w:cs="黑体"/>
          <w:sz w:val="32"/>
          <w:szCs w:val="32"/>
          <w:shd w:val="clear" w:fill="FFFFFF"/>
        </w:rPr>
        <w:t>一、单位基本情况</w:t>
      </w:r>
    </w:p>
    <w:p>
      <w:pPr>
        <w:pStyle w:val="9"/>
        <w:keepNext w:val="0"/>
        <w:keepLines w:val="0"/>
        <w:widowControl/>
        <w:suppressLineNumbers w:val="0"/>
        <w:shd w:val="clear" w:fill="FFFFFF"/>
        <w:spacing w:before="0" w:beforeAutospacing="1" w:after="0" w:afterAutospacing="1"/>
        <w:ind w:left="0" w:right="0" w:firstLine="420"/>
      </w:pPr>
      <w:r>
        <w:rPr>
          <w:rStyle w:val="12"/>
          <w:rFonts w:ascii="楷体" w:hAnsi="楷体" w:eastAsia="楷体" w:cs="楷体"/>
          <w:sz w:val="32"/>
          <w:szCs w:val="32"/>
          <w:shd w:val="clear" w:fill="FFFFFF"/>
        </w:rPr>
        <w:t>（一）职能职责</w:t>
      </w:r>
    </w:p>
    <w:p>
      <w:pPr>
        <w:pStyle w:val="9"/>
        <w:keepNext w:val="0"/>
        <w:keepLines w:val="0"/>
        <w:widowControl/>
        <w:suppressLineNumbers w:val="0"/>
        <w:shd w:val="clear" w:fill="FFFFFF"/>
        <w:spacing w:before="0" w:beforeAutospacing="1" w:after="0" w:afterAutospacing="1"/>
        <w:ind w:left="0" w:right="0" w:firstLine="640"/>
      </w:pPr>
      <w:r>
        <w:rPr>
          <w:rFonts w:ascii="方正仿宋_GBK" w:hAnsi="方正仿宋_GBK" w:eastAsia="方正仿宋_GBK" w:cs="方正仿宋_GBK"/>
          <w:sz w:val="32"/>
          <w:szCs w:val="32"/>
          <w:shd w:val="clear" w:fill="FFFFFF"/>
        </w:rPr>
        <w:t>重庆市渝中区</w:t>
      </w:r>
      <w:r>
        <w:rPr>
          <w:rFonts w:hint="eastAsia" w:ascii="方正仿宋_GBK" w:hAnsi="方正仿宋_GBK" w:eastAsia="方正仿宋_GBK" w:cs="方正仿宋_GBK"/>
          <w:sz w:val="32"/>
          <w:szCs w:val="32"/>
          <w:shd w:val="clear" w:fill="FFFFFF"/>
        </w:rPr>
        <w:t>退役军人事务局为正处级区政府工作部门，负责贯彻落实党中央、市委、市政府和区委、区政府关于退役军人工作的部署要求，负责军队转业干部、复员干部、离休退休干部、退役士兵和无军籍退休退职职工的移交安置和自主择业、就业退役军人服务管理，组织开展退役军人教育培训、优待抚恤、帮扶援助、住房以及医疗、社保等待遇保障工作，组织开展全区拥军优属工作，协调扶持退役军人和随军随调家属就业创业，负责烈士及退役军人荣誉激励、纪念活动等工作，开展退役军人权益维护等职责。</w:t>
      </w:r>
    </w:p>
    <w:p>
      <w:pPr>
        <w:pStyle w:val="9"/>
        <w:keepNext w:val="0"/>
        <w:keepLines w:val="0"/>
        <w:widowControl/>
        <w:suppressLineNumbers w:val="0"/>
        <w:shd w:val="clear" w:fill="FFFFFF"/>
        <w:spacing w:before="0" w:beforeAutospacing="1" w:after="0" w:afterAutospacing="1"/>
        <w:ind w:left="0" w:right="0" w:firstLine="420"/>
      </w:pPr>
      <w:r>
        <w:rPr>
          <w:rStyle w:val="12"/>
          <w:rFonts w:hint="eastAsia" w:ascii="楷体" w:hAnsi="楷体" w:eastAsia="楷体" w:cs="楷体"/>
          <w:sz w:val="32"/>
          <w:szCs w:val="32"/>
          <w:shd w:val="clear" w:fill="FFFFFF"/>
        </w:rPr>
        <w:t>（二）机构设置</w:t>
      </w:r>
    </w:p>
    <w:p>
      <w:pPr>
        <w:pStyle w:val="9"/>
        <w:keepNext w:val="0"/>
        <w:keepLines w:val="0"/>
        <w:widowControl/>
        <w:suppressLineNumbers w:val="0"/>
        <w:shd w:val="clear" w:fill="FFFFFF"/>
        <w:spacing w:before="0" w:beforeAutospacing="1" w:after="0" w:afterAutospacing="1"/>
        <w:ind w:left="0" w:right="0" w:firstLine="640"/>
      </w:pPr>
      <w:r>
        <w:rPr>
          <w:rFonts w:hint="eastAsia" w:ascii="方正仿宋_GBK" w:hAnsi="方正仿宋_GBK" w:eastAsia="方正仿宋_GBK" w:cs="方正仿宋_GBK"/>
          <w:sz w:val="32"/>
          <w:szCs w:val="32"/>
          <w:shd w:val="clear" w:fill="FFFFFF"/>
        </w:rPr>
        <w:t>渝中区退役军人事务局机关内设</w:t>
      </w:r>
      <w:r>
        <w:rPr>
          <w:rFonts w:hint="default" w:ascii="Times New Roman" w:hAnsi="Times New Roman" w:eastAsia="方正仿宋_GBK" w:cs="Times New Roman"/>
          <w:sz w:val="32"/>
          <w:szCs w:val="32"/>
          <w:shd w:val="clear" w:fill="FFFFFF"/>
        </w:rPr>
        <w:t>4</w:t>
      </w:r>
      <w:r>
        <w:rPr>
          <w:rFonts w:hint="eastAsia" w:ascii="方正仿宋_GBK" w:hAnsi="方正仿宋_GBK" w:eastAsia="方正仿宋_GBK" w:cs="方正仿宋_GBK"/>
          <w:sz w:val="32"/>
          <w:szCs w:val="32"/>
          <w:shd w:val="clear" w:fill="FFFFFF"/>
        </w:rPr>
        <w:t>个科室（办公室、思想政治和权益维护科、安置就业科、双拥科），</w:t>
      </w:r>
      <w:r>
        <w:rPr>
          <w:rFonts w:hint="default" w:ascii="Times New Roman" w:hAnsi="Times New Roman" w:eastAsia="方正仿宋_GBK" w:cs="Times New Roman"/>
          <w:sz w:val="32"/>
          <w:szCs w:val="32"/>
          <w:shd w:val="clear" w:fill="FFFFFF"/>
        </w:rPr>
        <w:t>2</w:t>
      </w:r>
      <w:r>
        <w:rPr>
          <w:rFonts w:hint="eastAsia" w:ascii="方正仿宋_GBK" w:hAnsi="方正仿宋_GBK" w:eastAsia="方正仿宋_GBK" w:cs="方正仿宋_GBK"/>
          <w:sz w:val="32"/>
          <w:szCs w:val="32"/>
          <w:shd w:val="clear" w:fill="FFFFFF"/>
        </w:rPr>
        <w:t>个直属事业单位（渝中区军队离休退休干部服务管理中心、渝中区退役军人服务中心，均为财政全额拨款单位）。</w:t>
      </w:r>
    </w:p>
    <w:p>
      <w:pPr>
        <w:pStyle w:val="9"/>
        <w:keepNext w:val="0"/>
        <w:keepLines w:val="0"/>
        <w:widowControl/>
        <w:suppressLineNumbers w:val="0"/>
        <w:shd w:val="clear" w:fill="FFFFFF"/>
        <w:spacing w:before="0" w:beforeAutospacing="0" w:after="0" w:afterAutospacing="0"/>
        <w:ind w:left="0" w:right="0" w:firstLine="643"/>
      </w:pPr>
      <w:r>
        <w:rPr>
          <w:rStyle w:val="12"/>
          <w:rFonts w:hint="eastAsia" w:ascii="黑体" w:hAnsi="宋体" w:eastAsia="黑体" w:cs="黑体"/>
          <w:sz w:val="32"/>
          <w:szCs w:val="32"/>
          <w:shd w:val="clear" w:fill="FFFFFF"/>
        </w:rPr>
        <w:t>二、单位决算收支情况说明</w:t>
      </w:r>
    </w:p>
    <w:p>
      <w:pPr>
        <w:pStyle w:val="9"/>
        <w:keepNext w:val="0"/>
        <w:keepLines w:val="0"/>
        <w:widowControl/>
        <w:suppressLineNumbers w:val="0"/>
        <w:spacing w:before="0" w:beforeAutospacing="1" w:after="0" w:afterAutospacing="1"/>
        <w:ind w:left="0" w:right="0" w:firstLine="643"/>
      </w:pPr>
      <w:r>
        <w:rPr>
          <w:rFonts w:hint="eastAsia" w:ascii="楷体" w:hAnsi="楷体" w:eastAsia="楷体" w:cs="楷体"/>
          <w:b/>
          <w:bCs/>
          <w:sz w:val="32"/>
          <w:szCs w:val="32"/>
          <w:shd w:val="clear" w:fill="FFFFFF"/>
        </w:rPr>
        <w:t>（一）收入支出决算总体情况说明。</w:t>
      </w:r>
    </w:p>
    <w:p>
      <w:pPr>
        <w:pStyle w:val="9"/>
        <w:keepNext w:val="0"/>
        <w:keepLines w:val="0"/>
        <w:widowControl/>
        <w:suppressLineNumbers w:val="0"/>
        <w:shd w:val="clear" w:fill="FFFFFF"/>
        <w:spacing w:before="0" w:beforeAutospacing="1" w:after="0" w:afterAutospacing="1"/>
        <w:ind w:left="0" w:right="0" w:firstLine="643"/>
      </w:pPr>
      <w:r>
        <w:rPr>
          <w:rStyle w:val="12"/>
          <w:rFonts w:eastAsia="方正仿宋_GBK"/>
          <w:sz w:val="32"/>
          <w:szCs w:val="32"/>
          <w:shd w:val="clear" w:fill="FFFFFF"/>
        </w:rPr>
        <w:t>1.</w:t>
      </w:r>
      <w:r>
        <w:rPr>
          <w:rStyle w:val="12"/>
          <w:rFonts w:hint="eastAsia" w:ascii="方正仿宋_GBK" w:hAnsi="方正仿宋_GBK" w:eastAsia="方正仿宋_GBK" w:cs="方正仿宋_GBK"/>
          <w:sz w:val="32"/>
          <w:szCs w:val="32"/>
          <w:shd w:val="clear" w:fill="FFFFFF"/>
        </w:rPr>
        <w:t>总体情况。</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年度收入总计</w:t>
      </w:r>
      <w:r>
        <w:rPr>
          <w:rFonts w:hint="default" w:ascii="Times New Roman" w:hAnsi="Times New Roman" w:eastAsia="方正仿宋_GBK" w:cs="Times New Roman"/>
          <w:sz w:val="32"/>
          <w:szCs w:val="32"/>
          <w:shd w:val="clear" w:fill="FFFFFF"/>
        </w:rPr>
        <w:t>7257.15</w:t>
      </w:r>
      <w:r>
        <w:rPr>
          <w:rFonts w:hint="eastAsia" w:ascii="方正仿宋_GBK" w:hAnsi="方正仿宋_GBK" w:eastAsia="方正仿宋_GBK" w:cs="方正仿宋_GBK"/>
          <w:sz w:val="32"/>
          <w:szCs w:val="32"/>
          <w:shd w:val="clear" w:fill="FFFFFF"/>
        </w:rPr>
        <w:t>万元，支出总计</w:t>
      </w:r>
      <w:r>
        <w:rPr>
          <w:rFonts w:hint="default" w:ascii="Times New Roman" w:hAnsi="Times New Roman" w:eastAsia="方正仿宋_GBK" w:cs="Times New Roman"/>
          <w:sz w:val="32"/>
          <w:szCs w:val="32"/>
          <w:shd w:val="clear" w:fill="FFFFFF"/>
        </w:rPr>
        <w:t>7257.15</w:t>
      </w:r>
      <w:r>
        <w:rPr>
          <w:rFonts w:hint="eastAsia" w:ascii="方正仿宋_GBK" w:hAnsi="方正仿宋_GBK" w:eastAsia="方正仿宋_GBK" w:cs="方正仿宋_GBK"/>
          <w:sz w:val="32"/>
          <w:szCs w:val="32"/>
          <w:shd w:val="clear" w:fill="FFFFFF"/>
        </w:rPr>
        <w:t>万元。收、支与</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年度相比，减少</w:t>
      </w:r>
      <w:r>
        <w:rPr>
          <w:rFonts w:hint="default" w:ascii="Times New Roman" w:hAnsi="Times New Roman" w:eastAsia="方正仿宋_GBK" w:cs="Times New Roman"/>
          <w:sz w:val="32"/>
          <w:szCs w:val="32"/>
          <w:shd w:val="clear" w:fill="FFFFFF"/>
        </w:rPr>
        <w:t>2143.23</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22.8%</w:t>
      </w:r>
      <w:r>
        <w:rPr>
          <w:rFonts w:hint="eastAsia" w:ascii="方正仿宋_GBK" w:hAnsi="方正仿宋_GBK" w:eastAsia="方正仿宋_GBK" w:cs="方正仿宋_GBK"/>
          <w:sz w:val="32"/>
          <w:szCs w:val="32"/>
          <w:shd w:val="clear" w:fill="FFFFFF"/>
        </w:rPr>
        <w:t>，主要原因是优抚对象死亡人数减少、部份对象经费调至街道发放。</w:t>
      </w:r>
    </w:p>
    <w:p>
      <w:pPr>
        <w:pStyle w:val="9"/>
        <w:keepNext w:val="0"/>
        <w:keepLines w:val="0"/>
        <w:widowControl/>
        <w:suppressLineNumbers w:val="0"/>
        <w:shd w:val="clear" w:fill="FFFFFF"/>
        <w:spacing w:before="0" w:beforeAutospacing="1" w:after="0" w:afterAutospacing="1"/>
        <w:ind w:left="0" w:right="0" w:firstLine="643"/>
      </w:pPr>
      <w:r>
        <w:rPr>
          <w:rStyle w:val="12"/>
          <w:rFonts w:eastAsia="方正仿宋_GBK"/>
          <w:sz w:val="32"/>
          <w:szCs w:val="32"/>
          <w:shd w:val="clear" w:fill="FFFFFF"/>
        </w:rPr>
        <w:t>2.</w:t>
      </w:r>
      <w:r>
        <w:rPr>
          <w:rStyle w:val="12"/>
          <w:rFonts w:hint="eastAsia" w:ascii="方正仿宋_GBK" w:hAnsi="方正仿宋_GBK" w:eastAsia="方正仿宋_GBK" w:cs="方正仿宋_GBK"/>
          <w:sz w:val="32"/>
          <w:szCs w:val="32"/>
          <w:shd w:val="clear" w:fill="FFFFFF"/>
        </w:rPr>
        <w:t>收入情况。</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年度收入合计</w:t>
      </w:r>
      <w:r>
        <w:rPr>
          <w:rFonts w:hint="default" w:ascii="Times New Roman" w:hAnsi="Times New Roman" w:eastAsia="方正仿宋_GBK" w:cs="Times New Roman"/>
          <w:sz w:val="32"/>
          <w:szCs w:val="32"/>
          <w:shd w:val="clear" w:fill="FFFFFF"/>
        </w:rPr>
        <w:t>7254.65</w:t>
      </w:r>
      <w:r>
        <w:rPr>
          <w:rFonts w:hint="eastAsia" w:ascii="方正仿宋_GBK" w:hAnsi="方正仿宋_GBK" w:eastAsia="方正仿宋_GBK" w:cs="方正仿宋_GBK"/>
          <w:sz w:val="32"/>
          <w:szCs w:val="32"/>
          <w:shd w:val="clear" w:fill="FFFFFF"/>
        </w:rPr>
        <w:t>万元，与</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年度相比，减少</w:t>
      </w:r>
      <w:r>
        <w:rPr>
          <w:rFonts w:hint="default" w:ascii="Times New Roman" w:hAnsi="Times New Roman" w:eastAsia="方正仿宋_GBK" w:cs="Times New Roman"/>
          <w:sz w:val="32"/>
          <w:szCs w:val="32"/>
          <w:shd w:val="clear" w:fill="FFFFFF"/>
        </w:rPr>
        <w:t>2006.77</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21.7%</w:t>
      </w:r>
      <w:r>
        <w:rPr>
          <w:rFonts w:hint="eastAsia" w:ascii="方正仿宋_GBK" w:hAnsi="方正仿宋_GBK" w:eastAsia="方正仿宋_GBK" w:cs="方正仿宋_GBK"/>
          <w:sz w:val="32"/>
          <w:szCs w:val="32"/>
          <w:shd w:val="clear" w:fill="FFFFFF"/>
        </w:rPr>
        <w:t>，主要原因是优抚对象死亡人数减少、部份对象经费调至街道发放。其中：财政拨款收入</w:t>
      </w:r>
      <w:r>
        <w:rPr>
          <w:rFonts w:hint="default" w:ascii="Times New Roman" w:hAnsi="Times New Roman" w:eastAsia="方正仿宋_GBK" w:cs="Times New Roman"/>
          <w:sz w:val="32"/>
          <w:szCs w:val="32"/>
          <w:shd w:val="clear" w:fill="FFFFFF"/>
        </w:rPr>
        <w:t>7254.65</w:t>
      </w:r>
      <w:r>
        <w:rPr>
          <w:rFonts w:hint="eastAsia" w:ascii="方正仿宋_GBK" w:hAnsi="方正仿宋_GBK" w:eastAsia="方正仿宋_GBK" w:cs="方正仿宋_GBK"/>
          <w:sz w:val="32"/>
          <w:szCs w:val="32"/>
          <w:shd w:val="clear" w:fill="FFFFFF"/>
        </w:rPr>
        <w:t>万元，占</w:t>
      </w:r>
      <w:r>
        <w:rPr>
          <w:rFonts w:hint="default" w:ascii="Times New Roman" w:hAnsi="Times New Roman" w:eastAsia="方正仿宋_GBK" w:cs="Times New Roman"/>
          <w:sz w:val="32"/>
          <w:szCs w:val="32"/>
          <w:shd w:val="clear" w:fill="FFFFFF"/>
        </w:rPr>
        <w:t>100.00%</w:t>
      </w:r>
      <w:r>
        <w:rPr>
          <w:rFonts w:hint="eastAsia" w:ascii="方正仿宋_GBK" w:hAnsi="方正仿宋_GBK" w:eastAsia="方正仿宋_GBK" w:cs="方正仿宋_GBK"/>
          <w:sz w:val="32"/>
          <w:szCs w:val="32"/>
          <w:shd w:val="clear" w:fill="FFFFFF"/>
        </w:rPr>
        <w:t>；事业收入</w:t>
      </w:r>
      <w:r>
        <w:rPr>
          <w:rFonts w:hint="default" w:ascii="Times New Roman" w:hAnsi="Times New Roman" w:eastAsia="方正仿宋_GBK" w:cs="Times New Roman"/>
          <w:sz w:val="32"/>
          <w:szCs w:val="32"/>
          <w:shd w:val="clear" w:fill="FFFFFF"/>
        </w:rPr>
        <w:t>0.00</w:t>
      </w:r>
      <w:r>
        <w:rPr>
          <w:rFonts w:hint="eastAsia" w:ascii="方正仿宋_GBK" w:hAnsi="方正仿宋_GBK" w:eastAsia="方正仿宋_GBK" w:cs="方正仿宋_GBK"/>
          <w:sz w:val="32"/>
          <w:szCs w:val="32"/>
          <w:shd w:val="clear" w:fill="FFFFFF"/>
        </w:rPr>
        <w:t>万元，占</w:t>
      </w:r>
      <w:r>
        <w:rPr>
          <w:rFonts w:hint="default" w:ascii="Times New Roman" w:hAnsi="Times New Roman" w:eastAsia="方正仿宋_GBK" w:cs="Times New Roman"/>
          <w:sz w:val="32"/>
          <w:szCs w:val="32"/>
          <w:shd w:val="clear" w:fill="FFFFFF"/>
        </w:rPr>
        <w:t>0.00%</w:t>
      </w:r>
      <w:r>
        <w:rPr>
          <w:rFonts w:hint="eastAsia" w:ascii="方正仿宋_GBK" w:hAnsi="方正仿宋_GBK" w:eastAsia="方正仿宋_GBK" w:cs="方正仿宋_GBK"/>
          <w:sz w:val="32"/>
          <w:szCs w:val="32"/>
          <w:shd w:val="clear" w:fill="FFFFFF"/>
        </w:rPr>
        <w:t>；经营收入</w:t>
      </w:r>
      <w:r>
        <w:rPr>
          <w:rFonts w:hint="default" w:ascii="Times New Roman" w:hAnsi="Times New Roman" w:eastAsia="方正仿宋_GBK" w:cs="Times New Roman"/>
          <w:sz w:val="32"/>
          <w:szCs w:val="32"/>
          <w:shd w:val="clear" w:fill="FFFFFF"/>
        </w:rPr>
        <w:t>0.00</w:t>
      </w:r>
      <w:r>
        <w:rPr>
          <w:rFonts w:hint="eastAsia" w:ascii="方正仿宋_GBK" w:hAnsi="方正仿宋_GBK" w:eastAsia="方正仿宋_GBK" w:cs="方正仿宋_GBK"/>
          <w:sz w:val="32"/>
          <w:szCs w:val="32"/>
          <w:shd w:val="clear" w:fill="FFFFFF"/>
        </w:rPr>
        <w:t>万元，占</w:t>
      </w:r>
      <w:r>
        <w:rPr>
          <w:rFonts w:hint="default" w:ascii="Times New Roman" w:hAnsi="Times New Roman" w:eastAsia="方正仿宋_GBK" w:cs="Times New Roman"/>
          <w:sz w:val="32"/>
          <w:szCs w:val="32"/>
          <w:shd w:val="clear" w:fill="FFFFFF"/>
        </w:rPr>
        <w:t>0.00%</w:t>
      </w:r>
      <w:r>
        <w:rPr>
          <w:rFonts w:hint="eastAsia" w:ascii="方正仿宋_GBK" w:hAnsi="方正仿宋_GBK" w:eastAsia="方正仿宋_GBK" w:cs="方正仿宋_GBK"/>
          <w:sz w:val="32"/>
          <w:szCs w:val="32"/>
          <w:shd w:val="clear" w:fill="FFFFFF"/>
        </w:rPr>
        <w:t>；其他收入</w:t>
      </w:r>
      <w:r>
        <w:rPr>
          <w:rFonts w:hint="default" w:ascii="Times New Roman" w:hAnsi="Times New Roman" w:eastAsia="方正仿宋_GBK" w:cs="Times New Roman"/>
          <w:sz w:val="32"/>
          <w:szCs w:val="32"/>
          <w:shd w:val="clear" w:fill="FFFFFF"/>
        </w:rPr>
        <w:t>0.00</w:t>
      </w:r>
      <w:r>
        <w:rPr>
          <w:rFonts w:hint="eastAsia" w:ascii="方正仿宋_GBK" w:hAnsi="方正仿宋_GBK" w:eastAsia="方正仿宋_GBK" w:cs="方正仿宋_GBK"/>
          <w:sz w:val="32"/>
          <w:szCs w:val="32"/>
          <w:shd w:val="clear" w:fill="FFFFFF"/>
        </w:rPr>
        <w:t>万元，占</w:t>
      </w:r>
      <w:r>
        <w:rPr>
          <w:rFonts w:hint="default" w:ascii="Times New Roman" w:hAnsi="Times New Roman" w:eastAsia="方正仿宋_GBK" w:cs="Times New Roman"/>
          <w:sz w:val="32"/>
          <w:szCs w:val="32"/>
          <w:shd w:val="clear" w:fill="FFFFFF"/>
        </w:rPr>
        <w:t>0.00%</w:t>
      </w:r>
      <w:r>
        <w:rPr>
          <w:rFonts w:hint="eastAsia" w:ascii="方正仿宋_GBK" w:hAnsi="方正仿宋_GBK" w:eastAsia="方正仿宋_GBK" w:cs="方正仿宋_GBK"/>
          <w:sz w:val="32"/>
          <w:szCs w:val="32"/>
          <w:shd w:val="clear" w:fill="FFFFFF"/>
        </w:rPr>
        <w:t>。此外，使用非财政拨款结余和专用结余</w:t>
      </w:r>
      <w:r>
        <w:rPr>
          <w:rFonts w:hint="default" w:ascii="Times New Roman" w:hAnsi="Times New Roman" w:eastAsia="方正仿宋_GBK" w:cs="Times New Roman"/>
          <w:sz w:val="32"/>
          <w:szCs w:val="32"/>
          <w:shd w:val="clear" w:fill="FFFFFF"/>
        </w:rPr>
        <w:t>0.00</w:t>
      </w:r>
      <w:r>
        <w:rPr>
          <w:rFonts w:hint="eastAsia" w:ascii="方正仿宋_GBK" w:hAnsi="方正仿宋_GBK" w:eastAsia="方正仿宋_GBK" w:cs="方正仿宋_GBK"/>
          <w:sz w:val="32"/>
          <w:szCs w:val="32"/>
          <w:shd w:val="clear" w:fill="FFFFFF"/>
        </w:rPr>
        <w:t>万元，年初结转和结余</w:t>
      </w:r>
      <w:r>
        <w:rPr>
          <w:rFonts w:hint="default" w:ascii="Times New Roman" w:hAnsi="Times New Roman" w:eastAsia="方正仿宋_GBK" w:cs="Times New Roman"/>
          <w:sz w:val="32"/>
          <w:szCs w:val="32"/>
          <w:shd w:val="clear" w:fill="FFFFFF"/>
        </w:rPr>
        <w:t>2.51</w:t>
      </w:r>
      <w:r>
        <w:rPr>
          <w:rFonts w:hint="eastAsia" w:ascii="方正仿宋_GBK" w:hAnsi="方正仿宋_GBK" w:eastAsia="方正仿宋_GBK" w:cs="方正仿宋_GBK"/>
          <w:sz w:val="32"/>
          <w:szCs w:val="32"/>
          <w:shd w:val="clear" w:fill="FFFFFF"/>
        </w:rPr>
        <w:t>万元。</w:t>
      </w:r>
    </w:p>
    <w:p>
      <w:pPr>
        <w:pStyle w:val="9"/>
        <w:keepNext w:val="0"/>
        <w:keepLines w:val="0"/>
        <w:widowControl/>
        <w:suppressLineNumbers w:val="0"/>
        <w:shd w:val="clear" w:fill="FFFFFF"/>
        <w:spacing w:before="0" w:beforeAutospacing="1" w:after="0" w:afterAutospacing="1"/>
        <w:ind w:left="0" w:right="0" w:firstLine="643"/>
      </w:pPr>
      <w:r>
        <w:rPr>
          <w:rStyle w:val="12"/>
          <w:rFonts w:eastAsia="方正仿宋_GBK"/>
          <w:sz w:val="32"/>
          <w:szCs w:val="32"/>
          <w:shd w:val="clear" w:fill="FFFFFF"/>
        </w:rPr>
        <w:t>3.</w:t>
      </w:r>
      <w:r>
        <w:rPr>
          <w:rStyle w:val="12"/>
          <w:rFonts w:hint="eastAsia" w:ascii="方正仿宋_GBK" w:hAnsi="方正仿宋_GBK" w:eastAsia="方正仿宋_GBK" w:cs="方正仿宋_GBK"/>
          <w:sz w:val="32"/>
          <w:szCs w:val="32"/>
          <w:shd w:val="clear" w:fill="FFFFFF"/>
        </w:rPr>
        <w:t>支出情况。</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年度支出合计</w:t>
      </w:r>
      <w:r>
        <w:rPr>
          <w:rFonts w:hint="default" w:ascii="Times New Roman" w:hAnsi="Times New Roman" w:eastAsia="方正仿宋_GBK" w:cs="Times New Roman"/>
          <w:sz w:val="32"/>
          <w:szCs w:val="32"/>
          <w:shd w:val="clear" w:fill="FFFFFF"/>
        </w:rPr>
        <w:t>7256.06</w:t>
      </w:r>
      <w:r>
        <w:rPr>
          <w:rFonts w:hint="eastAsia" w:ascii="方正仿宋_GBK" w:hAnsi="方正仿宋_GBK" w:eastAsia="方正仿宋_GBK" w:cs="方正仿宋_GBK"/>
          <w:sz w:val="32"/>
          <w:szCs w:val="32"/>
          <w:shd w:val="clear" w:fill="FFFFFF"/>
        </w:rPr>
        <w:t>万元，与</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年度相比，减少</w:t>
      </w:r>
      <w:r>
        <w:rPr>
          <w:rFonts w:hint="default" w:ascii="Times New Roman" w:hAnsi="Times New Roman" w:eastAsia="方正仿宋_GBK" w:cs="Times New Roman"/>
          <w:sz w:val="32"/>
          <w:szCs w:val="32"/>
          <w:shd w:val="clear" w:fill="FFFFFF"/>
        </w:rPr>
        <w:t>2002.42</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21.6%</w:t>
      </w:r>
      <w:r>
        <w:rPr>
          <w:rFonts w:hint="eastAsia" w:ascii="方正仿宋_GBK" w:hAnsi="方正仿宋_GBK" w:eastAsia="方正仿宋_GBK" w:cs="方正仿宋_GBK"/>
          <w:sz w:val="32"/>
          <w:szCs w:val="32"/>
          <w:shd w:val="clear" w:fill="FFFFFF"/>
        </w:rPr>
        <w:t>，主要原因是优抚对象死亡人数减少、部份对象经费调至街道发放。其中：基本支出</w:t>
      </w:r>
      <w:r>
        <w:rPr>
          <w:rFonts w:hint="default" w:ascii="Times New Roman" w:hAnsi="Times New Roman" w:eastAsia="方正仿宋_GBK" w:cs="Times New Roman"/>
          <w:sz w:val="32"/>
          <w:szCs w:val="32"/>
          <w:shd w:val="clear" w:fill="FFFFFF"/>
        </w:rPr>
        <w:t>212.58</w:t>
      </w:r>
      <w:r>
        <w:rPr>
          <w:rFonts w:hint="eastAsia" w:ascii="方正仿宋_GBK" w:hAnsi="方正仿宋_GBK" w:eastAsia="方正仿宋_GBK" w:cs="方正仿宋_GBK"/>
          <w:sz w:val="32"/>
          <w:szCs w:val="32"/>
          <w:shd w:val="clear" w:fill="FFFFFF"/>
        </w:rPr>
        <w:t>万元，占</w:t>
      </w:r>
      <w:r>
        <w:rPr>
          <w:rFonts w:hint="default" w:ascii="Times New Roman" w:hAnsi="Times New Roman" w:eastAsia="方正仿宋_GBK" w:cs="Times New Roman"/>
          <w:sz w:val="32"/>
          <w:szCs w:val="32"/>
          <w:shd w:val="clear" w:fill="FFFFFF"/>
        </w:rPr>
        <w:t>2.93%</w:t>
      </w:r>
      <w:r>
        <w:rPr>
          <w:rFonts w:hint="eastAsia" w:ascii="方正仿宋_GBK" w:hAnsi="方正仿宋_GBK" w:eastAsia="方正仿宋_GBK" w:cs="方正仿宋_GBK"/>
          <w:sz w:val="32"/>
          <w:szCs w:val="32"/>
          <w:shd w:val="clear" w:fill="FFFFFF"/>
        </w:rPr>
        <w:t>；项目支出</w:t>
      </w:r>
      <w:r>
        <w:rPr>
          <w:rFonts w:hint="default" w:ascii="Times New Roman" w:hAnsi="Times New Roman" w:eastAsia="方正仿宋_GBK" w:cs="Times New Roman"/>
          <w:sz w:val="32"/>
          <w:szCs w:val="32"/>
          <w:shd w:val="clear" w:fill="FFFFFF"/>
        </w:rPr>
        <w:t>7043.48</w:t>
      </w:r>
      <w:r>
        <w:rPr>
          <w:rFonts w:hint="eastAsia" w:ascii="方正仿宋_GBK" w:hAnsi="方正仿宋_GBK" w:eastAsia="方正仿宋_GBK" w:cs="方正仿宋_GBK"/>
          <w:sz w:val="32"/>
          <w:szCs w:val="32"/>
          <w:shd w:val="clear" w:fill="FFFFFF"/>
        </w:rPr>
        <w:t>万元，占</w:t>
      </w:r>
      <w:r>
        <w:rPr>
          <w:rFonts w:hint="default" w:ascii="Times New Roman" w:hAnsi="Times New Roman" w:eastAsia="方正仿宋_GBK" w:cs="Times New Roman"/>
          <w:sz w:val="32"/>
          <w:szCs w:val="32"/>
          <w:shd w:val="clear" w:fill="FFFFFF"/>
        </w:rPr>
        <w:t>97.07%</w:t>
      </w:r>
      <w:r>
        <w:rPr>
          <w:rFonts w:hint="eastAsia" w:ascii="方正仿宋_GBK" w:hAnsi="方正仿宋_GBK" w:eastAsia="方正仿宋_GBK" w:cs="方正仿宋_GBK"/>
          <w:sz w:val="32"/>
          <w:szCs w:val="32"/>
          <w:shd w:val="clear" w:fill="FFFFFF"/>
        </w:rPr>
        <w:t>；经营支出</w:t>
      </w:r>
      <w:r>
        <w:rPr>
          <w:rFonts w:hint="default" w:ascii="Times New Roman" w:hAnsi="Times New Roman" w:eastAsia="方正仿宋_GBK" w:cs="Times New Roman"/>
          <w:sz w:val="32"/>
          <w:szCs w:val="32"/>
          <w:shd w:val="clear" w:fill="FFFFFF"/>
        </w:rPr>
        <w:t>0.00</w:t>
      </w:r>
      <w:r>
        <w:rPr>
          <w:rFonts w:hint="eastAsia" w:ascii="方正仿宋_GBK" w:hAnsi="方正仿宋_GBK" w:eastAsia="方正仿宋_GBK" w:cs="方正仿宋_GBK"/>
          <w:sz w:val="32"/>
          <w:szCs w:val="32"/>
          <w:shd w:val="clear" w:fill="FFFFFF"/>
        </w:rPr>
        <w:t>万元，占</w:t>
      </w:r>
      <w:r>
        <w:rPr>
          <w:rFonts w:hint="default" w:ascii="Times New Roman" w:hAnsi="Times New Roman" w:eastAsia="方正仿宋_GBK" w:cs="Times New Roman"/>
          <w:sz w:val="32"/>
          <w:szCs w:val="32"/>
          <w:shd w:val="clear" w:fill="FFFFFF"/>
        </w:rPr>
        <w:t>0.00%</w:t>
      </w:r>
      <w:r>
        <w:rPr>
          <w:rFonts w:hint="eastAsia" w:ascii="方正仿宋_GBK" w:hAnsi="方正仿宋_GBK" w:eastAsia="方正仿宋_GBK" w:cs="方正仿宋_GBK"/>
          <w:sz w:val="32"/>
          <w:szCs w:val="32"/>
          <w:shd w:val="clear" w:fill="FFFFFF"/>
        </w:rPr>
        <w:t>。此外，结余分配</w:t>
      </w:r>
      <w:r>
        <w:rPr>
          <w:rFonts w:hint="default" w:ascii="Times New Roman" w:hAnsi="Times New Roman" w:eastAsia="方正仿宋_GBK" w:cs="Times New Roman"/>
          <w:sz w:val="32"/>
          <w:szCs w:val="32"/>
          <w:shd w:val="clear" w:fill="FFFFFF"/>
        </w:rPr>
        <w:t>0.00</w:t>
      </w:r>
      <w:r>
        <w:rPr>
          <w:rFonts w:hint="eastAsia" w:ascii="方正仿宋_GBK" w:hAnsi="方正仿宋_GBK" w:eastAsia="方正仿宋_GBK" w:cs="方正仿宋_GBK"/>
          <w:sz w:val="32"/>
          <w:szCs w:val="32"/>
          <w:shd w:val="clear" w:fill="FFFFFF"/>
        </w:rPr>
        <w:t>万元。</w:t>
      </w:r>
    </w:p>
    <w:p>
      <w:pPr>
        <w:pStyle w:val="9"/>
        <w:keepNext w:val="0"/>
        <w:keepLines w:val="0"/>
        <w:widowControl/>
        <w:suppressLineNumbers w:val="0"/>
        <w:spacing w:before="0" w:beforeAutospacing="0" w:after="0" w:afterAutospacing="0"/>
        <w:ind w:left="0" w:right="0" w:firstLine="643"/>
        <w:jc w:val="both"/>
      </w:pPr>
      <w:r>
        <w:rPr>
          <w:rStyle w:val="12"/>
          <w:rFonts w:eastAsia="方正仿宋_GBK"/>
          <w:sz w:val="32"/>
          <w:szCs w:val="32"/>
          <w:shd w:val="clear" w:fill="FFFFFF"/>
        </w:rPr>
        <w:t>4.</w:t>
      </w:r>
      <w:r>
        <w:rPr>
          <w:rStyle w:val="12"/>
          <w:rFonts w:hint="eastAsia" w:ascii="方正仿宋_GBK" w:hAnsi="方正仿宋_GBK" w:eastAsia="方正仿宋_GBK" w:cs="方正仿宋_GBK"/>
          <w:sz w:val="32"/>
          <w:szCs w:val="32"/>
          <w:shd w:val="clear" w:fill="FFFFFF"/>
        </w:rPr>
        <w:t>结转结余情况。</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年度年末结转和结余</w:t>
      </w:r>
      <w:r>
        <w:rPr>
          <w:rFonts w:hint="default" w:ascii="Times New Roman" w:hAnsi="Times New Roman" w:eastAsia="方正仿宋_GBK" w:cs="Times New Roman"/>
          <w:sz w:val="32"/>
          <w:szCs w:val="32"/>
        </w:rPr>
        <w:t>1.09</w:t>
      </w:r>
      <w:r>
        <w:rPr>
          <w:rFonts w:hint="eastAsia" w:ascii="方正仿宋_GBK" w:hAnsi="方正仿宋_GBK" w:eastAsia="方正仿宋_GBK" w:cs="方正仿宋_GBK"/>
          <w:sz w:val="32"/>
          <w:szCs w:val="32"/>
          <w:shd w:val="clear" w:fill="FFFFFF"/>
        </w:rPr>
        <w:t>万元，与</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年度相比，减少</w:t>
      </w:r>
      <w:r>
        <w:rPr>
          <w:rFonts w:hint="default" w:ascii="Times New Roman" w:hAnsi="Times New Roman" w:eastAsia="方正仿宋_GBK" w:cs="Times New Roman"/>
          <w:sz w:val="32"/>
          <w:szCs w:val="32"/>
          <w:shd w:val="clear" w:fill="FFFFFF"/>
        </w:rPr>
        <w:t>140.81</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99.2%</w:t>
      </w:r>
      <w:r>
        <w:rPr>
          <w:rFonts w:hint="eastAsia" w:ascii="方正仿宋_GBK" w:hAnsi="方正仿宋_GBK" w:eastAsia="方正仿宋_GBK" w:cs="方正仿宋_GBK"/>
          <w:sz w:val="32"/>
          <w:szCs w:val="32"/>
          <w:shd w:val="clear" w:fill="FFFFFF"/>
        </w:rPr>
        <w:t>，主要原因是项目结余减少。</w:t>
      </w:r>
    </w:p>
    <w:p>
      <w:pPr>
        <w:pStyle w:val="9"/>
        <w:keepNext w:val="0"/>
        <w:keepLines w:val="0"/>
        <w:widowControl/>
        <w:suppressLineNumbers w:val="0"/>
        <w:spacing w:before="0" w:beforeAutospacing="0" w:after="0" w:afterAutospacing="0"/>
        <w:ind w:left="0" w:right="0" w:firstLine="643"/>
        <w:jc w:val="both"/>
      </w:pPr>
      <w:r>
        <w:rPr>
          <w:rFonts w:hint="eastAsia" w:ascii="楷体" w:hAnsi="楷体" w:eastAsia="楷体" w:cs="楷体"/>
          <w:b/>
          <w:bCs/>
          <w:sz w:val="32"/>
          <w:szCs w:val="32"/>
          <w:shd w:val="clear" w:fill="FFFFFF"/>
        </w:rPr>
        <w:t>（二）财政拨款收入支出决算总体情况说明</w:t>
      </w:r>
    </w:p>
    <w:p>
      <w:pPr>
        <w:pStyle w:val="9"/>
        <w:keepNext w:val="0"/>
        <w:keepLines w:val="0"/>
        <w:widowControl/>
        <w:suppressLineNumbers w:val="0"/>
        <w:spacing w:before="0" w:beforeAutospacing="0" w:after="0" w:afterAutospacing="0"/>
        <w:ind w:left="0" w:right="0" w:firstLine="640"/>
        <w:jc w:val="both"/>
      </w:pP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年度财政拨款收、支总计</w:t>
      </w:r>
      <w:r>
        <w:rPr>
          <w:rFonts w:hint="default" w:ascii="Times New Roman" w:hAnsi="Times New Roman" w:eastAsia="方正仿宋_GBK" w:cs="Times New Roman"/>
          <w:sz w:val="32"/>
          <w:szCs w:val="32"/>
          <w:shd w:val="clear" w:fill="FFFFFF"/>
        </w:rPr>
        <w:t>7257.15</w:t>
      </w:r>
      <w:r>
        <w:rPr>
          <w:rFonts w:hint="eastAsia" w:ascii="方正仿宋_GBK" w:hAnsi="方正仿宋_GBK" w:eastAsia="方正仿宋_GBK" w:cs="方正仿宋_GBK"/>
          <w:sz w:val="32"/>
          <w:szCs w:val="32"/>
          <w:shd w:val="clear" w:fill="FFFFFF"/>
        </w:rPr>
        <w:t>万元。与</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年相比，财政拨款收、支总计各减少</w:t>
      </w:r>
      <w:r>
        <w:rPr>
          <w:rFonts w:hint="default" w:ascii="Times New Roman" w:hAnsi="Times New Roman" w:eastAsia="方正仿宋_GBK" w:cs="Times New Roman"/>
          <w:sz w:val="32"/>
          <w:szCs w:val="32"/>
          <w:shd w:val="clear" w:fill="FFFFFF"/>
        </w:rPr>
        <w:t>2143.23</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22.8%</w:t>
      </w:r>
      <w:r>
        <w:rPr>
          <w:rFonts w:hint="eastAsia" w:ascii="方正仿宋_GBK" w:hAnsi="方正仿宋_GBK" w:eastAsia="方正仿宋_GBK" w:cs="方正仿宋_GBK"/>
          <w:sz w:val="32"/>
          <w:szCs w:val="32"/>
          <w:shd w:val="clear" w:fill="FFFFFF"/>
        </w:rPr>
        <w:t>。主要原因是优抚对象死亡人数减少、部份对象经费调至街道发放。</w:t>
      </w:r>
    </w:p>
    <w:p>
      <w:pPr>
        <w:pStyle w:val="9"/>
        <w:keepNext w:val="0"/>
        <w:keepLines w:val="0"/>
        <w:widowControl/>
        <w:suppressLineNumbers w:val="0"/>
        <w:spacing w:before="0" w:beforeAutospacing="1" w:after="0" w:afterAutospacing="1"/>
        <w:ind w:left="0" w:right="0" w:firstLine="643"/>
      </w:pPr>
      <w:r>
        <w:rPr>
          <w:rFonts w:hint="eastAsia" w:ascii="楷体" w:hAnsi="楷体" w:eastAsia="楷体" w:cs="楷体"/>
          <w:b/>
          <w:bCs/>
          <w:sz w:val="32"/>
          <w:szCs w:val="32"/>
          <w:shd w:val="clear" w:fill="FFFFFF"/>
        </w:rPr>
        <w:t>（三）一般公共预算财政拨款收入支出决算情况说明</w:t>
      </w:r>
    </w:p>
    <w:p>
      <w:pPr>
        <w:pStyle w:val="9"/>
        <w:keepNext w:val="0"/>
        <w:keepLines w:val="0"/>
        <w:widowControl/>
        <w:suppressLineNumbers w:val="0"/>
        <w:spacing w:before="0" w:beforeAutospacing="0" w:after="0" w:afterAutospacing="0"/>
        <w:ind w:left="0" w:right="0" w:firstLine="643"/>
        <w:jc w:val="both"/>
      </w:pPr>
      <w:r>
        <w:rPr>
          <w:rStyle w:val="12"/>
          <w:rFonts w:eastAsia="方正仿宋_GBK"/>
          <w:sz w:val="32"/>
          <w:szCs w:val="32"/>
          <w:shd w:val="clear" w:fill="FFFFFF"/>
        </w:rPr>
        <w:t>1.</w:t>
      </w:r>
      <w:r>
        <w:rPr>
          <w:rStyle w:val="12"/>
          <w:rFonts w:hint="eastAsia" w:ascii="方正仿宋_GBK" w:hAnsi="方正仿宋_GBK" w:eastAsia="方正仿宋_GBK" w:cs="方正仿宋_GBK"/>
          <w:sz w:val="32"/>
          <w:szCs w:val="32"/>
          <w:shd w:val="clear" w:fill="FFFFFF"/>
        </w:rPr>
        <w:t>收入情况。</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年度一般公共预算财政拨款收入</w:t>
      </w:r>
      <w:r>
        <w:rPr>
          <w:rFonts w:hint="default" w:ascii="Times New Roman" w:hAnsi="Times New Roman" w:eastAsia="方正仿宋_GBK" w:cs="Times New Roman"/>
          <w:sz w:val="32"/>
          <w:szCs w:val="32"/>
        </w:rPr>
        <w:t>7254.65</w:t>
      </w:r>
      <w:r>
        <w:rPr>
          <w:rFonts w:hint="eastAsia" w:ascii="方正仿宋_GBK" w:hAnsi="方正仿宋_GBK" w:eastAsia="方正仿宋_GBK" w:cs="方正仿宋_GBK"/>
          <w:sz w:val="32"/>
          <w:szCs w:val="32"/>
          <w:shd w:val="clear" w:fill="FFFFFF"/>
        </w:rPr>
        <w:t>万元，与</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年度相比，减少</w:t>
      </w:r>
      <w:r>
        <w:rPr>
          <w:rFonts w:hint="default" w:ascii="Times New Roman" w:hAnsi="Times New Roman" w:eastAsia="方正仿宋_GBK" w:cs="Times New Roman"/>
          <w:sz w:val="32"/>
          <w:szCs w:val="32"/>
          <w:shd w:val="clear" w:fill="FFFFFF"/>
        </w:rPr>
        <w:t>2006.77</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21.7%</w:t>
      </w:r>
      <w:r>
        <w:rPr>
          <w:rFonts w:hint="eastAsia" w:ascii="方正仿宋_GBK" w:hAnsi="方正仿宋_GBK" w:eastAsia="方正仿宋_GBK" w:cs="方正仿宋_GBK"/>
          <w:sz w:val="32"/>
          <w:szCs w:val="32"/>
          <w:shd w:val="clear" w:fill="FFFFFF"/>
        </w:rPr>
        <w:t>。主要原因是优抚对象死亡人数减少、部份对象经费调至街道发放。较年初预算数减少</w:t>
      </w:r>
      <w:r>
        <w:rPr>
          <w:rFonts w:hint="default" w:ascii="Times New Roman" w:hAnsi="Times New Roman" w:eastAsia="方正仿宋_GBK" w:cs="Times New Roman"/>
          <w:sz w:val="32"/>
          <w:szCs w:val="32"/>
          <w:shd w:val="clear" w:fill="FFFFFF"/>
        </w:rPr>
        <w:t>5856.75</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44.7%</w:t>
      </w:r>
      <w:r>
        <w:rPr>
          <w:rFonts w:hint="eastAsia" w:ascii="方正仿宋_GBK" w:hAnsi="方正仿宋_GBK" w:eastAsia="方正仿宋_GBK" w:cs="方正仿宋_GBK"/>
          <w:sz w:val="32"/>
          <w:szCs w:val="32"/>
          <w:shd w:val="clear" w:fill="FFFFFF"/>
        </w:rPr>
        <w:t>。主要原因是优抚对象死亡人数减少、部份对象经费调至街道发放。此外，年初财政拨款结转和结余</w:t>
      </w:r>
      <w:r>
        <w:rPr>
          <w:rFonts w:hint="default" w:ascii="Times New Roman" w:hAnsi="Times New Roman" w:eastAsia="方正仿宋_GBK" w:cs="Times New Roman"/>
          <w:sz w:val="32"/>
          <w:szCs w:val="32"/>
        </w:rPr>
        <w:t>2.51</w:t>
      </w:r>
      <w:r>
        <w:rPr>
          <w:rFonts w:hint="eastAsia" w:ascii="方正仿宋_GBK" w:hAnsi="方正仿宋_GBK" w:eastAsia="方正仿宋_GBK" w:cs="方正仿宋_GBK"/>
          <w:sz w:val="32"/>
          <w:szCs w:val="32"/>
          <w:shd w:val="clear" w:fill="FFFFFF"/>
        </w:rPr>
        <w:t>万元。</w:t>
      </w:r>
    </w:p>
    <w:p>
      <w:pPr>
        <w:pStyle w:val="9"/>
        <w:keepNext w:val="0"/>
        <w:keepLines w:val="0"/>
        <w:widowControl/>
        <w:suppressLineNumbers w:val="0"/>
        <w:spacing w:before="0" w:beforeAutospacing="0" w:after="0" w:afterAutospacing="0"/>
        <w:ind w:left="0" w:right="0" w:firstLine="643"/>
        <w:jc w:val="both"/>
      </w:pPr>
      <w:r>
        <w:rPr>
          <w:rStyle w:val="12"/>
          <w:rFonts w:eastAsia="方正仿宋_GBK"/>
          <w:sz w:val="32"/>
          <w:szCs w:val="32"/>
          <w:shd w:val="clear" w:fill="FFFFFF"/>
        </w:rPr>
        <w:t>2.</w:t>
      </w:r>
      <w:r>
        <w:rPr>
          <w:rStyle w:val="12"/>
          <w:rFonts w:hint="eastAsia" w:ascii="方正仿宋_GBK" w:hAnsi="方正仿宋_GBK" w:eastAsia="方正仿宋_GBK" w:cs="方正仿宋_GBK"/>
          <w:sz w:val="32"/>
          <w:szCs w:val="32"/>
          <w:shd w:val="clear" w:fill="FFFFFF"/>
        </w:rPr>
        <w:t>支出情况。</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年度一般公共预算财政拨款支出</w:t>
      </w:r>
      <w:r>
        <w:rPr>
          <w:rFonts w:hint="default" w:ascii="Times New Roman" w:hAnsi="Times New Roman" w:eastAsia="方正仿宋_GBK" w:cs="Times New Roman"/>
          <w:sz w:val="32"/>
          <w:szCs w:val="32"/>
        </w:rPr>
        <w:t>7256.06</w:t>
      </w:r>
      <w:r>
        <w:rPr>
          <w:rFonts w:hint="eastAsia" w:ascii="方正仿宋_GBK" w:hAnsi="方正仿宋_GBK" w:eastAsia="方正仿宋_GBK" w:cs="方正仿宋_GBK"/>
          <w:sz w:val="32"/>
          <w:szCs w:val="32"/>
          <w:shd w:val="clear" w:fill="FFFFFF"/>
        </w:rPr>
        <w:t>万元，与</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年度相比，减少</w:t>
      </w:r>
      <w:r>
        <w:rPr>
          <w:rFonts w:hint="default" w:ascii="Times New Roman" w:hAnsi="Times New Roman" w:eastAsia="方正仿宋_GBK" w:cs="Times New Roman"/>
          <w:sz w:val="32"/>
          <w:szCs w:val="32"/>
          <w:shd w:val="clear" w:fill="FFFFFF"/>
        </w:rPr>
        <w:t>2002.42</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21.6%</w:t>
      </w:r>
      <w:r>
        <w:rPr>
          <w:rFonts w:hint="eastAsia" w:ascii="方正仿宋_GBK" w:hAnsi="方正仿宋_GBK" w:eastAsia="方正仿宋_GBK" w:cs="方正仿宋_GBK"/>
          <w:sz w:val="32"/>
          <w:szCs w:val="32"/>
          <w:shd w:val="clear" w:fill="FFFFFF"/>
        </w:rPr>
        <w:t>。主要原因是优抚对象死亡人数减少、部份对象经费调至街道发放。较年初预算数减少</w:t>
      </w:r>
      <w:r>
        <w:rPr>
          <w:rFonts w:hint="default" w:ascii="Times New Roman" w:hAnsi="Times New Roman" w:eastAsia="方正仿宋_GBK" w:cs="Times New Roman"/>
          <w:sz w:val="32"/>
          <w:szCs w:val="32"/>
          <w:shd w:val="clear" w:fill="FFFFFF"/>
        </w:rPr>
        <w:t>5855.34</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44.7%</w:t>
      </w:r>
      <w:r>
        <w:rPr>
          <w:rFonts w:hint="eastAsia" w:ascii="方正仿宋_GBK" w:hAnsi="方正仿宋_GBK" w:eastAsia="方正仿宋_GBK" w:cs="方正仿宋_GBK"/>
          <w:sz w:val="32"/>
          <w:szCs w:val="32"/>
          <w:shd w:val="clear" w:fill="FFFFFF"/>
        </w:rPr>
        <w:t>。主要原因是优抚对象死亡人数减少、部份对象经费调至街道发放。</w:t>
      </w:r>
    </w:p>
    <w:p>
      <w:pPr>
        <w:pStyle w:val="9"/>
        <w:keepNext w:val="0"/>
        <w:keepLines w:val="0"/>
        <w:widowControl/>
        <w:suppressLineNumbers w:val="0"/>
        <w:spacing w:before="0" w:beforeAutospacing="0" w:after="0" w:afterAutospacing="0"/>
        <w:ind w:left="0" w:right="0" w:firstLine="643"/>
        <w:jc w:val="both"/>
      </w:pPr>
      <w:r>
        <w:rPr>
          <w:rStyle w:val="12"/>
          <w:rFonts w:eastAsia="方正仿宋_GBK"/>
          <w:sz w:val="32"/>
          <w:szCs w:val="32"/>
          <w:shd w:val="clear" w:fill="FFFFFF"/>
        </w:rPr>
        <w:t>3.</w:t>
      </w:r>
      <w:r>
        <w:rPr>
          <w:rStyle w:val="12"/>
          <w:rFonts w:hint="eastAsia" w:ascii="方正仿宋_GBK" w:hAnsi="方正仿宋_GBK" w:eastAsia="方正仿宋_GBK" w:cs="方正仿宋_GBK"/>
          <w:sz w:val="32"/>
          <w:szCs w:val="32"/>
          <w:shd w:val="clear" w:fill="FFFFFF"/>
        </w:rPr>
        <w:t>结转结余情况。</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年度年末一般公共预算财政拨款结转和结余</w:t>
      </w:r>
      <w:r>
        <w:rPr>
          <w:rFonts w:hint="default" w:ascii="Times New Roman" w:hAnsi="Times New Roman" w:eastAsia="方正仿宋_GBK" w:cs="Times New Roman"/>
          <w:sz w:val="32"/>
          <w:szCs w:val="32"/>
        </w:rPr>
        <w:t>1.09</w:t>
      </w:r>
      <w:r>
        <w:rPr>
          <w:rFonts w:hint="eastAsia" w:ascii="方正仿宋_GBK" w:hAnsi="方正仿宋_GBK" w:eastAsia="方正仿宋_GBK" w:cs="方正仿宋_GBK"/>
          <w:sz w:val="32"/>
          <w:szCs w:val="32"/>
          <w:shd w:val="clear" w:fill="FFFFFF"/>
        </w:rPr>
        <w:t>万元，与</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年度相比，减少</w:t>
      </w:r>
      <w:r>
        <w:rPr>
          <w:rFonts w:hint="default" w:ascii="Times New Roman" w:hAnsi="Times New Roman" w:eastAsia="方正仿宋_GBK" w:cs="Times New Roman"/>
          <w:sz w:val="32"/>
          <w:szCs w:val="32"/>
          <w:shd w:val="clear" w:fill="FFFFFF"/>
        </w:rPr>
        <w:t>140.81</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99.2%</w:t>
      </w:r>
      <w:r>
        <w:rPr>
          <w:rFonts w:hint="eastAsia" w:ascii="方正仿宋_GBK" w:hAnsi="方正仿宋_GBK" w:eastAsia="方正仿宋_GBK" w:cs="方正仿宋_GBK"/>
          <w:sz w:val="32"/>
          <w:szCs w:val="32"/>
          <w:shd w:val="clear" w:fill="FFFFFF"/>
        </w:rPr>
        <w:t>，主要原因是项目结余减少。</w:t>
      </w:r>
    </w:p>
    <w:p>
      <w:pPr>
        <w:pStyle w:val="9"/>
        <w:keepNext w:val="0"/>
        <w:keepLines w:val="0"/>
        <w:widowControl/>
        <w:suppressLineNumbers w:val="0"/>
        <w:spacing w:before="0" w:beforeAutospacing="0" w:after="0" w:afterAutospacing="0"/>
        <w:ind w:left="0" w:right="0" w:firstLine="643"/>
        <w:jc w:val="both"/>
      </w:pPr>
      <w:r>
        <w:rPr>
          <w:rStyle w:val="12"/>
          <w:rFonts w:eastAsia="方正仿宋_GBK"/>
          <w:sz w:val="32"/>
          <w:szCs w:val="32"/>
          <w:shd w:val="clear" w:fill="FFFFFF"/>
        </w:rPr>
        <w:t> 4.</w:t>
      </w:r>
      <w:r>
        <w:rPr>
          <w:rStyle w:val="12"/>
          <w:rFonts w:hint="eastAsia" w:ascii="方正仿宋_GBK" w:hAnsi="方正仿宋_GBK" w:eastAsia="方正仿宋_GBK" w:cs="方正仿宋_GBK"/>
          <w:sz w:val="32"/>
          <w:szCs w:val="32"/>
          <w:shd w:val="clear" w:fill="FFFFFF"/>
        </w:rPr>
        <w:t>比较情况</w:t>
      </w:r>
      <w:r>
        <w:rPr>
          <w:rFonts w:hint="eastAsia" w:ascii="方正仿宋_GBK" w:hAnsi="方正仿宋_GBK" w:eastAsia="方正仿宋_GBK" w:cs="方正仿宋_GBK"/>
          <w:sz w:val="32"/>
          <w:szCs w:val="32"/>
          <w:shd w:val="clear" w:fill="FFFFFF"/>
        </w:rPr>
        <w:t>。本单位</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年度一般公共预算财政拨款支出主要用于以下几个方面：</w:t>
      </w:r>
    </w:p>
    <w:p>
      <w:pPr>
        <w:pStyle w:val="9"/>
        <w:keepNext w:val="0"/>
        <w:keepLines w:val="0"/>
        <w:widowControl/>
        <w:suppressLineNumbers w:val="0"/>
        <w:spacing w:before="0" w:beforeAutospacing="0" w:after="0" w:afterAutospacing="0"/>
        <w:ind w:left="0" w:right="0" w:firstLine="640"/>
        <w:jc w:val="both"/>
      </w:pPr>
      <w:r>
        <w:rPr>
          <w:rFonts w:hint="eastAsia" w:ascii="方正仿宋_GBK" w:hAnsi="方正仿宋_GBK" w:eastAsia="方正仿宋_GBK" w:cs="方正仿宋_GBK"/>
          <w:sz w:val="32"/>
          <w:szCs w:val="32"/>
          <w:shd w:val="clear" w:fill="FFFFFF"/>
        </w:rPr>
        <w:t>（</w:t>
      </w:r>
      <w:r>
        <w:rPr>
          <w:rFonts w:hint="default" w:ascii="Times New Roman" w:hAnsi="Times New Roman" w:eastAsia="方正仿宋_GBK" w:cs="Times New Roman"/>
          <w:sz w:val="32"/>
          <w:szCs w:val="32"/>
          <w:shd w:val="clear" w:fill="FFFFFF"/>
        </w:rPr>
        <w:t>1</w:t>
      </w:r>
      <w:r>
        <w:rPr>
          <w:rFonts w:hint="eastAsia" w:ascii="方正仿宋_GBK" w:hAnsi="方正仿宋_GBK" w:eastAsia="方正仿宋_GBK" w:cs="方正仿宋_GBK"/>
          <w:sz w:val="32"/>
          <w:szCs w:val="32"/>
          <w:shd w:val="clear" w:fill="FFFFFF"/>
        </w:rPr>
        <w:t>）一般公共服务支出</w:t>
      </w:r>
      <w:r>
        <w:rPr>
          <w:rFonts w:hint="default" w:ascii="Times New Roman" w:hAnsi="Times New Roman" w:eastAsia="方正仿宋_GBK" w:cs="Times New Roman"/>
          <w:sz w:val="32"/>
          <w:szCs w:val="32"/>
        </w:rPr>
        <w:t>4.71</w:t>
      </w:r>
      <w:r>
        <w:rPr>
          <w:rFonts w:hint="eastAsia" w:ascii="方正仿宋_GBK" w:hAnsi="方正仿宋_GBK" w:eastAsia="方正仿宋_GBK" w:cs="方正仿宋_GBK"/>
          <w:sz w:val="32"/>
          <w:szCs w:val="32"/>
          <w:shd w:val="clear" w:fill="FFFFFF"/>
        </w:rPr>
        <w:t>万元，占</w:t>
      </w:r>
      <w:r>
        <w:rPr>
          <w:rFonts w:hint="default" w:ascii="Times New Roman" w:hAnsi="Times New Roman" w:eastAsia="方正仿宋_GBK" w:cs="Times New Roman"/>
          <w:sz w:val="32"/>
          <w:szCs w:val="32"/>
        </w:rPr>
        <w:t>0.06</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，较年初预算数增加</w:t>
      </w:r>
      <w:r>
        <w:rPr>
          <w:rFonts w:hint="default" w:ascii="Times New Roman" w:hAnsi="Times New Roman" w:eastAsia="方正仿宋_GBK" w:cs="Times New Roman"/>
          <w:sz w:val="32"/>
          <w:szCs w:val="32"/>
          <w:shd w:val="clear" w:fill="FFFFFF"/>
        </w:rPr>
        <w:t>4.71</w:t>
      </w:r>
      <w:r>
        <w:rPr>
          <w:rFonts w:hint="eastAsia" w:ascii="方正仿宋_GBK" w:hAnsi="方正仿宋_GBK" w:eastAsia="方正仿宋_GBK" w:cs="方正仿宋_GBK"/>
          <w:sz w:val="32"/>
          <w:szCs w:val="32"/>
          <w:shd w:val="clear" w:fill="FFFFFF"/>
        </w:rPr>
        <w:t>万元，增长</w:t>
      </w:r>
      <w:r>
        <w:rPr>
          <w:rFonts w:hint="default" w:ascii="Times New Roman" w:hAnsi="Times New Roman" w:eastAsia="方正仿宋_GBK" w:cs="Times New Roman"/>
          <w:sz w:val="32"/>
          <w:szCs w:val="32"/>
          <w:shd w:val="clear" w:fill="FFFFFF"/>
        </w:rPr>
        <w:t>100.0%</w:t>
      </w:r>
      <w:r>
        <w:rPr>
          <w:rFonts w:hint="eastAsia" w:ascii="方正仿宋_GBK" w:hAnsi="方正仿宋_GBK" w:eastAsia="方正仿宋_GBK" w:cs="方正仿宋_GBK"/>
          <w:sz w:val="32"/>
          <w:szCs w:val="32"/>
          <w:shd w:val="clear" w:fill="FFFFFF"/>
        </w:rPr>
        <w:t>，主要原因是追加了</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rPr>
        <w:t>年党建工作经费。</w:t>
      </w:r>
    </w:p>
    <w:p>
      <w:pPr>
        <w:pStyle w:val="9"/>
        <w:keepNext w:val="0"/>
        <w:keepLines w:val="0"/>
        <w:widowControl/>
        <w:suppressLineNumbers w:val="0"/>
        <w:spacing w:before="0" w:beforeAutospacing="0" w:after="0" w:afterAutospacing="0"/>
        <w:ind w:left="0" w:right="0" w:firstLine="640"/>
        <w:jc w:val="both"/>
      </w:pPr>
      <w:r>
        <w:rPr>
          <w:rFonts w:hint="eastAsia" w:ascii="方正仿宋_GBK" w:hAnsi="方正仿宋_GBK" w:eastAsia="方正仿宋_GBK" w:cs="方正仿宋_GBK"/>
          <w:sz w:val="32"/>
          <w:szCs w:val="32"/>
          <w:shd w:val="clear" w:fill="FFFFFF"/>
        </w:rPr>
        <w:t>（</w:t>
      </w:r>
      <w:r>
        <w:rPr>
          <w:rFonts w:hint="default" w:ascii="Times New Roman" w:hAnsi="Times New Roman" w:eastAsia="方正仿宋_GBK" w:cs="Times New Roman"/>
          <w:sz w:val="32"/>
          <w:szCs w:val="32"/>
          <w:shd w:val="clear" w:fill="FFFFFF"/>
        </w:rPr>
        <w:t>2</w:t>
      </w:r>
      <w:r>
        <w:rPr>
          <w:rFonts w:hint="eastAsia" w:ascii="方正仿宋_GBK" w:hAnsi="方正仿宋_GBK" w:eastAsia="方正仿宋_GBK" w:cs="方正仿宋_GBK"/>
          <w:sz w:val="32"/>
          <w:szCs w:val="32"/>
          <w:shd w:val="clear" w:fill="FFFFFF"/>
        </w:rPr>
        <w:t>）社会保障与就业支出</w:t>
      </w:r>
      <w:r>
        <w:rPr>
          <w:rFonts w:hint="default" w:ascii="Times New Roman" w:hAnsi="Times New Roman" w:eastAsia="方正仿宋_GBK" w:cs="Times New Roman"/>
          <w:sz w:val="32"/>
          <w:szCs w:val="32"/>
        </w:rPr>
        <w:t>7101.08</w:t>
      </w:r>
      <w:r>
        <w:rPr>
          <w:rFonts w:hint="eastAsia" w:ascii="方正仿宋_GBK" w:hAnsi="方正仿宋_GBK" w:eastAsia="方正仿宋_GBK" w:cs="方正仿宋_GBK"/>
          <w:sz w:val="32"/>
          <w:szCs w:val="32"/>
          <w:shd w:val="clear" w:fill="FFFFFF"/>
        </w:rPr>
        <w:t>万元，占</w:t>
      </w:r>
      <w:r>
        <w:rPr>
          <w:rFonts w:hint="default" w:ascii="Times New Roman" w:hAnsi="Times New Roman" w:eastAsia="方正仿宋_GBK" w:cs="Times New Roman"/>
          <w:sz w:val="32"/>
          <w:szCs w:val="32"/>
        </w:rPr>
        <w:t>97.86</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，较年初预算数减少</w:t>
      </w:r>
      <w:r>
        <w:rPr>
          <w:rFonts w:hint="default" w:ascii="Times New Roman" w:hAnsi="Times New Roman" w:eastAsia="方正仿宋_GBK" w:cs="Times New Roman"/>
          <w:sz w:val="32"/>
          <w:szCs w:val="32"/>
          <w:shd w:val="clear" w:fill="FFFFFF"/>
        </w:rPr>
        <w:t>5520.89</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43.7%</w:t>
      </w:r>
      <w:r>
        <w:rPr>
          <w:rFonts w:hint="eastAsia" w:ascii="方正仿宋_GBK" w:hAnsi="方正仿宋_GBK" w:eastAsia="方正仿宋_GBK" w:cs="方正仿宋_GBK"/>
          <w:sz w:val="32"/>
          <w:szCs w:val="32"/>
          <w:shd w:val="clear" w:fill="FFFFFF"/>
        </w:rPr>
        <w:t>，主要原因是</w:t>
      </w:r>
      <w:r>
        <w:rPr>
          <w:rFonts w:hint="eastAsia" w:ascii="方正仿宋_GBK" w:hAnsi="方正仿宋_GBK" w:eastAsia="方正仿宋_GBK" w:cs="方正仿宋_GBK"/>
          <w:sz w:val="32"/>
          <w:szCs w:val="32"/>
        </w:rPr>
        <w:t>各类优抚对象的部分补助经费调剂至各街道发放。</w:t>
      </w:r>
    </w:p>
    <w:p>
      <w:pPr>
        <w:pStyle w:val="9"/>
        <w:keepNext w:val="0"/>
        <w:keepLines w:val="0"/>
        <w:widowControl/>
        <w:suppressLineNumbers w:val="0"/>
        <w:spacing w:before="0" w:beforeAutospacing="0" w:after="0" w:afterAutospacing="0"/>
        <w:ind w:left="0" w:right="0" w:firstLine="640"/>
        <w:jc w:val="both"/>
      </w:pPr>
      <w:r>
        <w:rPr>
          <w:rFonts w:hint="eastAsia" w:ascii="方正仿宋_GBK" w:hAnsi="方正仿宋_GBK" w:eastAsia="方正仿宋_GBK" w:cs="方正仿宋_GBK"/>
          <w:sz w:val="32"/>
          <w:szCs w:val="32"/>
          <w:shd w:val="clear" w:fill="FFFFFF"/>
        </w:rPr>
        <w:t>（</w:t>
      </w:r>
      <w:r>
        <w:rPr>
          <w:rFonts w:hint="default" w:ascii="Times New Roman" w:hAnsi="Times New Roman" w:eastAsia="方正仿宋_GBK" w:cs="Times New Roman"/>
          <w:sz w:val="32"/>
          <w:szCs w:val="32"/>
          <w:shd w:val="clear" w:fill="FFFFFF"/>
        </w:rPr>
        <w:t>3</w:t>
      </w:r>
      <w:r>
        <w:rPr>
          <w:rFonts w:hint="eastAsia" w:ascii="方正仿宋_GBK" w:hAnsi="方正仿宋_GBK" w:eastAsia="方正仿宋_GBK" w:cs="方正仿宋_GBK"/>
          <w:sz w:val="32"/>
          <w:szCs w:val="32"/>
          <w:shd w:val="clear" w:fill="FFFFFF"/>
        </w:rPr>
        <w:t>）卫生健康支出</w:t>
      </w:r>
      <w:r>
        <w:rPr>
          <w:rFonts w:hint="default" w:ascii="Times New Roman" w:hAnsi="Times New Roman" w:eastAsia="方正仿宋_GBK" w:cs="Times New Roman"/>
          <w:sz w:val="32"/>
          <w:szCs w:val="32"/>
        </w:rPr>
        <w:t>116.38</w:t>
      </w:r>
      <w:r>
        <w:rPr>
          <w:rFonts w:hint="eastAsia" w:ascii="方正仿宋_GBK" w:hAnsi="方正仿宋_GBK" w:eastAsia="方正仿宋_GBK" w:cs="方正仿宋_GBK"/>
          <w:sz w:val="32"/>
          <w:szCs w:val="32"/>
          <w:shd w:val="clear" w:fill="FFFFFF"/>
        </w:rPr>
        <w:t>万元，占</w:t>
      </w:r>
      <w:r>
        <w:rPr>
          <w:rFonts w:hint="default" w:ascii="Times New Roman" w:hAnsi="Times New Roman" w:eastAsia="方正仿宋_GBK" w:cs="Times New Roman"/>
          <w:sz w:val="32"/>
          <w:szCs w:val="32"/>
        </w:rPr>
        <w:t>1.60</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，较年初预算数减少</w:t>
      </w:r>
      <w:r>
        <w:rPr>
          <w:rFonts w:hint="default" w:ascii="Times New Roman" w:hAnsi="Times New Roman" w:eastAsia="方正仿宋_GBK" w:cs="Times New Roman"/>
          <w:sz w:val="32"/>
          <w:szCs w:val="32"/>
          <w:shd w:val="clear" w:fill="FFFFFF"/>
        </w:rPr>
        <w:t>349.63</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75.0%</w:t>
      </w:r>
      <w:r>
        <w:rPr>
          <w:rFonts w:hint="eastAsia" w:ascii="方正仿宋_GBK" w:hAnsi="方正仿宋_GBK" w:eastAsia="方正仿宋_GBK" w:cs="方正仿宋_GBK"/>
          <w:sz w:val="32"/>
          <w:szCs w:val="32"/>
          <w:shd w:val="clear" w:fill="FFFFFF"/>
        </w:rPr>
        <w:t>，主要原因是预算时按照医保部门查询的未参保人数计算所需经费，但实际参保时，经逐一走访查询，发现大部分对象无需参保，故实际参保人数比预算参保人数减少，导致大部分预算资金未使用。</w:t>
      </w:r>
    </w:p>
    <w:p>
      <w:pPr>
        <w:pStyle w:val="9"/>
        <w:keepNext w:val="0"/>
        <w:keepLines w:val="0"/>
        <w:widowControl/>
        <w:suppressLineNumbers w:val="0"/>
        <w:spacing w:before="0" w:beforeAutospacing="1" w:after="0" w:afterAutospacing="1"/>
        <w:ind w:left="0" w:right="0" w:firstLine="640"/>
      </w:pPr>
      <w:r>
        <w:rPr>
          <w:rFonts w:hint="eastAsia" w:ascii="方正仿宋_GBK" w:hAnsi="方正仿宋_GBK" w:eastAsia="方正仿宋_GBK" w:cs="方正仿宋_GBK"/>
          <w:sz w:val="32"/>
          <w:szCs w:val="32"/>
          <w:shd w:val="clear" w:fill="FFFFFF"/>
        </w:rPr>
        <w:t>（</w:t>
      </w:r>
      <w:r>
        <w:rPr>
          <w:rFonts w:hint="default" w:ascii="Times New Roman" w:hAnsi="Times New Roman" w:eastAsia="方正仿宋_GBK" w:cs="Times New Roman"/>
          <w:sz w:val="32"/>
          <w:szCs w:val="32"/>
          <w:shd w:val="clear" w:fill="FFFFFF"/>
        </w:rPr>
        <w:t>4</w:t>
      </w:r>
      <w:r>
        <w:rPr>
          <w:rFonts w:hint="eastAsia" w:ascii="方正仿宋_GBK" w:hAnsi="方正仿宋_GBK" w:eastAsia="方正仿宋_GBK" w:cs="方正仿宋_GBK"/>
          <w:sz w:val="32"/>
          <w:szCs w:val="32"/>
          <w:shd w:val="clear" w:fill="FFFFFF"/>
        </w:rPr>
        <w:t>）</w:t>
      </w:r>
      <w:r>
        <w:rPr>
          <w:rFonts w:hint="eastAsia" w:ascii="方正仿宋_GBK" w:hAnsi="方正仿宋_GBK" w:eastAsia="方正仿宋_GBK" w:cs="方正仿宋_GBK"/>
          <w:sz w:val="32"/>
          <w:szCs w:val="32"/>
        </w:rPr>
        <w:t>住房保障支出</w:t>
      </w:r>
      <w:r>
        <w:rPr>
          <w:rFonts w:hint="default" w:ascii="Times New Roman" w:hAnsi="Times New Roman" w:eastAsia="方正仿宋_GBK" w:cs="Times New Roman"/>
          <w:sz w:val="32"/>
          <w:szCs w:val="32"/>
        </w:rPr>
        <w:t>13.90</w:t>
      </w:r>
      <w:r>
        <w:rPr>
          <w:rFonts w:hint="eastAsia" w:ascii="方正仿宋_GBK" w:hAnsi="方正仿宋_GBK" w:eastAsia="方正仿宋_GBK" w:cs="方正仿宋_GBK"/>
          <w:sz w:val="32"/>
          <w:szCs w:val="32"/>
          <w:shd w:val="clear" w:fill="FFFFFF"/>
        </w:rPr>
        <w:t>万元，占</w:t>
      </w:r>
      <w:r>
        <w:rPr>
          <w:rFonts w:hint="default" w:ascii="Times New Roman" w:hAnsi="Times New Roman" w:eastAsia="方正仿宋_GBK" w:cs="Times New Roman"/>
          <w:sz w:val="32"/>
          <w:szCs w:val="32"/>
        </w:rPr>
        <w:t>0.19</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，较年初预算数减少</w:t>
      </w:r>
      <w:r>
        <w:rPr>
          <w:rFonts w:hint="default" w:ascii="Times New Roman" w:hAnsi="Times New Roman" w:eastAsia="方正仿宋_GBK" w:cs="Times New Roman"/>
          <w:sz w:val="32"/>
          <w:szCs w:val="32"/>
          <w:shd w:val="clear" w:fill="FFFFFF"/>
        </w:rPr>
        <w:t>9.51</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40.6%</w:t>
      </w:r>
      <w:r>
        <w:rPr>
          <w:rFonts w:hint="eastAsia" w:ascii="方正仿宋_GBK" w:hAnsi="方正仿宋_GBK" w:eastAsia="方正仿宋_GBK" w:cs="方正仿宋_GBK"/>
          <w:sz w:val="32"/>
          <w:szCs w:val="32"/>
          <w:shd w:val="clear" w:fill="FFFFFF"/>
        </w:rPr>
        <w:t>，主要原因是人员减少。</w:t>
      </w:r>
    </w:p>
    <w:p>
      <w:pPr>
        <w:pStyle w:val="9"/>
        <w:keepNext w:val="0"/>
        <w:keepLines w:val="0"/>
        <w:widowControl/>
        <w:suppressLineNumbers w:val="0"/>
        <w:spacing w:before="0" w:beforeAutospacing="1" w:after="0" w:afterAutospacing="1"/>
        <w:ind w:left="0" w:right="0" w:firstLine="640"/>
      </w:pPr>
      <w:r>
        <w:rPr>
          <w:rFonts w:hint="eastAsia" w:ascii="方正仿宋_GBK" w:hAnsi="方正仿宋_GBK" w:eastAsia="方正仿宋_GBK" w:cs="方正仿宋_GBK"/>
          <w:sz w:val="32"/>
          <w:szCs w:val="32"/>
          <w:shd w:val="clear" w:fill="FFFFFF"/>
        </w:rPr>
        <w:t>（</w:t>
      </w:r>
      <w:r>
        <w:rPr>
          <w:rFonts w:hint="default" w:ascii="Times New Roman" w:hAnsi="Times New Roman" w:eastAsia="方正仿宋_GBK" w:cs="Times New Roman"/>
          <w:sz w:val="32"/>
          <w:szCs w:val="32"/>
          <w:shd w:val="clear" w:fill="FFFFFF"/>
        </w:rPr>
        <w:t>5</w:t>
      </w:r>
      <w:r>
        <w:rPr>
          <w:rFonts w:hint="eastAsia" w:ascii="方正仿宋_GBK" w:hAnsi="方正仿宋_GBK" w:eastAsia="方正仿宋_GBK" w:cs="方正仿宋_GBK"/>
          <w:sz w:val="32"/>
          <w:szCs w:val="32"/>
          <w:shd w:val="clear" w:fill="FFFFFF"/>
        </w:rPr>
        <w:t>）</w:t>
      </w:r>
      <w:r>
        <w:rPr>
          <w:rFonts w:hint="eastAsia" w:ascii="方正仿宋_GBK" w:hAnsi="方正仿宋_GBK" w:eastAsia="方正仿宋_GBK" w:cs="方正仿宋_GBK"/>
          <w:sz w:val="32"/>
          <w:szCs w:val="32"/>
        </w:rPr>
        <w:t>灾害防治及应急管理支出</w:t>
      </w:r>
      <w:r>
        <w:rPr>
          <w:rFonts w:hint="default" w:ascii="Times New Roman" w:hAnsi="Times New Roman" w:eastAsia="方正仿宋_GBK" w:cs="Times New Roman"/>
          <w:sz w:val="32"/>
          <w:szCs w:val="32"/>
        </w:rPr>
        <w:t>20.00</w:t>
      </w:r>
      <w:r>
        <w:rPr>
          <w:rFonts w:hint="eastAsia" w:ascii="方正仿宋_GBK" w:hAnsi="方正仿宋_GBK" w:eastAsia="方正仿宋_GBK" w:cs="方正仿宋_GBK"/>
          <w:sz w:val="32"/>
          <w:szCs w:val="32"/>
          <w:shd w:val="clear" w:fill="FFFFFF"/>
        </w:rPr>
        <w:t>万元，占</w:t>
      </w:r>
      <w:r>
        <w:rPr>
          <w:rFonts w:hint="default" w:ascii="Times New Roman" w:hAnsi="Times New Roman" w:eastAsia="方正仿宋_GBK" w:cs="Times New Roman"/>
          <w:sz w:val="32"/>
          <w:szCs w:val="32"/>
        </w:rPr>
        <w:t>0.28</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，较年初预算数增加</w:t>
      </w:r>
      <w:r>
        <w:rPr>
          <w:rFonts w:hint="default" w:ascii="Times New Roman" w:hAnsi="Times New Roman" w:eastAsia="方正仿宋_GBK" w:cs="Times New Roman"/>
          <w:sz w:val="32"/>
          <w:szCs w:val="32"/>
          <w:shd w:val="clear" w:fill="FFFFFF"/>
        </w:rPr>
        <w:t>20.00</w:t>
      </w:r>
      <w:r>
        <w:rPr>
          <w:rFonts w:hint="eastAsia" w:ascii="方正仿宋_GBK" w:hAnsi="方正仿宋_GBK" w:eastAsia="方正仿宋_GBK" w:cs="方正仿宋_GBK"/>
          <w:sz w:val="32"/>
          <w:szCs w:val="32"/>
          <w:shd w:val="clear" w:fill="FFFFFF"/>
        </w:rPr>
        <w:t>万元，增长</w:t>
      </w:r>
      <w:r>
        <w:rPr>
          <w:rFonts w:hint="default" w:ascii="Times New Roman" w:hAnsi="Times New Roman" w:eastAsia="方正仿宋_GBK" w:cs="Times New Roman"/>
          <w:sz w:val="32"/>
          <w:szCs w:val="32"/>
          <w:shd w:val="clear" w:fill="FFFFFF"/>
        </w:rPr>
        <w:t>100.0%</w:t>
      </w:r>
      <w:r>
        <w:rPr>
          <w:rFonts w:hint="eastAsia" w:ascii="方正仿宋_GBK" w:hAnsi="方正仿宋_GBK" w:eastAsia="方正仿宋_GBK" w:cs="方正仿宋_GBK"/>
          <w:sz w:val="32"/>
          <w:szCs w:val="32"/>
          <w:shd w:val="clear" w:fill="FFFFFF"/>
        </w:rPr>
        <w:t>，主要原因是追加陆军预备役第三基地线缆安全应急抢险工作经费。</w:t>
      </w:r>
    </w:p>
    <w:p>
      <w:pPr>
        <w:pStyle w:val="9"/>
        <w:keepNext w:val="0"/>
        <w:keepLines w:val="0"/>
        <w:widowControl/>
        <w:suppressLineNumbers w:val="0"/>
        <w:spacing w:before="0" w:beforeAutospacing="1" w:after="0" w:afterAutospacing="1"/>
        <w:ind w:left="0" w:right="0" w:firstLine="643"/>
      </w:pPr>
      <w:r>
        <w:rPr>
          <w:rFonts w:hint="eastAsia" w:ascii="楷体" w:hAnsi="楷体" w:eastAsia="楷体" w:cs="楷体"/>
          <w:b/>
          <w:bCs/>
          <w:sz w:val="32"/>
          <w:szCs w:val="32"/>
          <w:shd w:val="clear" w:fill="FFFFFF"/>
        </w:rPr>
        <w:t>（四）一般公共预算财政拨款基本支出决算情况说明</w:t>
      </w:r>
    </w:p>
    <w:p>
      <w:pPr>
        <w:pStyle w:val="9"/>
        <w:keepNext w:val="0"/>
        <w:keepLines w:val="0"/>
        <w:widowControl/>
        <w:suppressLineNumbers w:val="0"/>
        <w:spacing w:before="0" w:beforeAutospacing="0" w:after="0" w:afterAutospacing="0"/>
        <w:ind w:left="0" w:right="0" w:firstLine="640"/>
        <w:jc w:val="both"/>
      </w:pPr>
      <w:r>
        <w:rPr>
          <w:rFonts w:hint="default" w:ascii="Times New Roman" w:hAnsi="Times New Roman" w:cs="Times New Roman"/>
          <w:sz w:val="32"/>
          <w:szCs w:val="32"/>
          <w:shd w:val="clear" w:fill="FFFFFF"/>
        </w:rPr>
        <w:t> </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年度一般公共财政拨款基本支出</w:t>
      </w:r>
      <w:r>
        <w:rPr>
          <w:rFonts w:hint="default" w:ascii="Times New Roman" w:hAnsi="Times New Roman" w:eastAsia="方正仿宋_GBK" w:cs="Times New Roman"/>
          <w:sz w:val="32"/>
          <w:szCs w:val="32"/>
        </w:rPr>
        <w:t>212.58</w:t>
      </w:r>
      <w:r>
        <w:rPr>
          <w:rFonts w:hint="eastAsia" w:ascii="方正仿宋_GBK" w:hAnsi="方正仿宋_GBK" w:eastAsia="方正仿宋_GBK" w:cs="方正仿宋_GBK"/>
          <w:sz w:val="32"/>
          <w:szCs w:val="32"/>
          <w:shd w:val="clear" w:fill="FFFFFF"/>
        </w:rPr>
        <w:t>万元。其中：人员经费</w:t>
      </w:r>
      <w:r>
        <w:rPr>
          <w:rFonts w:hint="default" w:ascii="Times New Roman" w:hAnsi="Times New Roman" w:eastAsia="方正仿宋_GBK" w:cs="Times New Roman"/>
          <w:sz w:val="32"/>
          <w:szCs w:val="32"/>
        </w:rPr>
        <w:t>188.26</w:t>
      </w:r>
      <w:r>
        <w:rPr>
          <w:rFonts w:hint="eastAsia" w:ascii="方正仿宋_GBK" w:hAnsi="方正仿宋_GBK" w:eastAsia="方正仿宋_GBK" w:cs="方正仿宋_GBK"/>
          <w:sz w:val="32"/>
          <w:szCs w:val="32"/>
          <w:shd w:val="clear" w:fill="FFFFFF"/>
        </w:rPr>
        <w:t>万元，与</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年度相比，减少</w:t>
      </w:r>
      <w:r>
        <w:rPr>
          <w:rFonts w:hint="default" w:ascii="Times New Roman" w:hAnsi="Times New Roman" w:eastAsia="方正仿宋_GBK" w:cs="Times New Roman"/>
          <w:sz w:val="32"/>
          <w:szCs w:val="32"/>
          <w:shd w:val="clear" w:fill="FFFFFF"/>
        </w:rPr>
        <w:t>124.34</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39.8%</w:t>
      </w:r>
      <w:r>
        <w:rPr>
          <w:rFonts w:hint="eastAsia" w:ascii="方正仿宋_GBK" w:hAnsi="方正仿宋_GBK" w:eastAsia="方正仿宋_GBK" w:cs="方正仿宋_GBK"/>
          <w:sz w:val="32"/>
          <w:szCs w:val="32"/>
          <w:shd w:val="clear" w:fill="FFFFFF"/>
        </w:rPr>
        <w:t>，主要原因是</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年区退役军人服务中心独立核算。人员经费用途主要包括</w:t>
      </w:r>
      <w:r>
        <w:rPr>
          <w:rFonts w:hint="eastAsia" w:ascii="方正仿宋_GBK" w:hAnsi="方正仿宋_GBK" w:eastAsia="方正仿宋_GBK" w:cs="方正仿宋_GBK"/>
          <w:sz w:val="32"/>
          <w:szCs w:val="32"/>
        </w:rPr>
        <w:t>保障在职人员工资福利及社会保险缴费，离休人员离休费，退休人员补助等。</w:t>
      </w:r>
      <w:r>
        <w:rPr>
          <w:rFonts w:hint="eastAsia" w:ascii="方正仿宋_GBK" w:hAnsi="方正仿宋_GBK" w:eastAsia="方正仿宋_GBK" w:cs="方正仿宋_GBK"/>
          <w:sz w:val="32"/>
          <w:szCs w:val="32"/>
          <w:shd w:val="clear" w:fill="FFFFFF"/>
        </w:rPr>
        <w:t>公用经费</w:t>
      </w:r>
      <w:r>
        <w:rPr>
          <w:rFonts w:hint="default" w:ascii="Times New Roman" w:hAnsi="Times New Roman" w:eastAsia="方正仿宋_GBK" w:cs="Times New Roman"/>
          <w:sz w:val="32"/>
          <w:szCs w:val="32"/>
        </w:rPr>
        <w:t>24.31</w:t>
      </w:r>
      <w:r>
        <w:rPr>
          <w:rFonts w:hint="eastAsia" w:ascii="方正仿宋_GBK" w:hAnsi="方正仿宋_GBK" w:eastAsia="方正仿宋_GBK" w:cs="方正仿宋_GBK"/>
          <w:sz w:val="32"/>
          <w:szCs w:val="32"/>
          <w:shd w:val="clear" w:fill="FFFFFF"/>
        </w:rPr>
        <w:t>万元，与</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年度相比，减少</w:t>
      </w:r>
      <w:r>
        <w:rPr>
          <w:rFonts w:hint="default" w:ascii="Times New Roman" w:hAnsi="Times New Roman" w:eastAsia="方正仿宋_GBK" w:cs="Times New Roman"/>
          <w:sz w:val="32"/>
          <w:szCs w:val="32"/>
          <w:shd w:val="clear" w:fill="FFFFFF"/>
        </w:rPr>
        <w:t>23.29</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48.9%</w:t>
      </w:r>
      <w:r>
        <w:rPr>
          <w:rFonts w:hint="eastAsia" w:ascii="方正仿宋_GBK" w:hAnsi="方正仿宋_GBK" w:eastAsia="方正仿宋_GBK" w:cs="方正仿宋_GBK"/>
          <w:sz w:val="32"/>
          <w:szCs w:val="32"/>
          <w:shd w:val="clear" w:fill="FFFFFF"/>
        </w:rPr>
        <w:t>，主要原因是</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年区退役军人服务中心独立核算。公用经费用途主要包括</w:t>
      </w:r>
      <w:r>
        <w:rPr>
          <w:rFonts w:hint="eastAsia" w:ascii="方正仿宋_GBK" w:hAnsi="方正仿宋_GBK" w:eastAsia="方正仿宋_GBK" w:cs="方正仿宋_GBK"/>
          <w:sz w:val="32"/>
          <w:szCs w:val="32"/>
        </w:rPr>
        <w:t>保障部门正常运转的各项商品服务支出，如办公费、印刷费、咨询费、手续费等。</w:t>
      </w:r>
    </w:p>
    <w:p>
      <w:pPr>
        <w:pStyle w:val="9"/>
        <w:keepNext w:val="0"/>
        <w:keepLines w:val="0"/>
        <w:widowControl/>
        <w:suppressLineNumbers w:val="0"/>
        <w:spacing w:before="0" w:beforeAutospacing="0" w:after="0" w:afterAutospacing="0"/>
        <w:ind w:left="0" w:right="0" w:firstLine="643"/>
        <w:jc w:val="both"/>
      </w:pPr>
      <w:r>
        <w:rPr>
          <w:rFonts w:hint="eastAsia" w:ascii="楷体" w:hAnsi="楷体" w:eastAsia="楷体" w:cs="楷体"/>
          <w:b/>
          <w:bCs/>
          <w:sz w:val="32"/>
          <w:szCs w:val="32"/>
          <w:shd w:val="clear" w:fill="FFFFFF"/>
        </w:rPr>
        <w:t>（五）政府性基金预算收支决算情况说明</w:t>
      </w:r>
    </w:p>
    <w:p>
      <w:pPr>
        <w:pStyle w:val="9"/>
        <w:keepNext w:val="0"/>
        <w:keepLines w:val="0"/>
        <w:widowControl/>
        <w:suppressLineNumbers w:val="0"/>
        <w:spacing w:before="0" w:beforeAutospacing="0" w:after="0" w:afterAutospacing="0"/>
        <w:ind w:left="0" w:right="0" w:firstLine="640"/>
        <w:jc w:val="both"/>
      </w:pPr>
      <w:r>
        <w:rPr>
          <w:rFonts w:hint="eastAsia" w:ascii="方正仿宋_GBK" w:hAnsi="方正仿宋_GBK" w:eastAsia="方正仿宋_GBK" w:cs="方正仿宋_GBK"/>
          <w:sz w:val="32"/>
          <w:szCs w:val="32"/>
        </w:rPr>
        <w:t>本部门</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年度无政府性基金预算财政拨款收支。</w:t>
      </w:r>
    </w:p>
    <w:p>
      <w:pPr>
        <w:pStyle w:val="9"/>
        <w:keepNext w:val="0"/>
        <w:keepLines w:val="0"/>
        <w:widowControl/>
        <w:suppressLineNumbers w:val="0"/>
        <w:spacing w:before="0" w:beforeAutospacing="1" w:after="0" w:afterAutospacing="1"/>
        <w:ind w:left="0" w:right="0" w:firstLine="643"/>
      </w:pPr>
      <w:r>
        <w:rPr>
          <w:rFonts w:hint="eastAsia" w:ascii="楷体" w:hAnsi="楷体" w:eastAsia="楷体" w:cs="楷体"/>
          <w:b/>
          <w:bCs/>
          <w:sz w:val="32"/>
          <w:szCs w:val="32"/>
          <w:shd w:val="clear" w:fill="FFFFFF"/>
        </w:rPr>
        <w:t>（六）国有资本经营预算财政拨款支出决算情况说明</w:t>
      </w:r>
    </w:p>
    <w:p>
      <w:pPr>
        <w:pStyle w:val="9"/>
        <w:keepNext w:val="0"/>
        <w:keepLines w:val="0"/>
        <w:widowControl/>
        <w:suppressLineNumbers w:val="0"/>
        <w:spacing w:before="0" w:beforeAutospacing="1" w:after="0" w:afterAutospacing="1"/>
        <w:ind w:left="0" w:right="0" w:firstLine="640"/>
      </w:pPr>
      <w:r>
        <w:rPr>
          <w:rFonts w:hint="default" w:ascii="Times New Roman" w:hAnsi="Times New Roman" w:eastAsia="方正仿宋_GBK" w:cs="Times New Roman"/>
          <w:sz w:val="32"/>
          <w:szCs w:val="32"/>
          <w:shd w:val="clear" w:fill="FFFFFF"/>
        </w:rPr>
        <w:t> </w:t>
      </w:r>
      <w:r>
        <w:rPr>
          <w:rFonts w:hint="eastAsia" w:ascii="方正仿宋_GBK" w:hAnsi="方正仿宋_GBK" w:eastAsia="方正仿宋_GBK" w:cs="方正仿宋_GBK"/>
          <w:sz w:val="32"/>
          <w:szCs w:val="32"/>
          <w:shd w:val="clear" w:fill="FFFFFF"/>
        </w:rPr>
        <w:t>本部门</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年度无国有资本经营预算财政拨款支出。</w:t>
      </w:r>
    </w:p>
    <w:p>
      <w:pPr>
        <w:pStyle w:val="9"/>
        <w:keepNext w:val="0"/>
        <w:keepLines w:val="0"/>
        <w:widowControl/>
        <w:suppressLineNumbers w:val="0"/>
        <w:shd w:val="clear" w:fill="FFFFFF"/>
        <w:spacing w:before="0" w:beforeAutospacing="0" w:after="0" w:afterAutospacing="0"/>
        <w:ind w:left="0" w:right="0" w:firstLine="643"/>
      </w:pPr>
      <w:r>
        <w:rPr>
          <w:rStyle w:val="12"/>
          <w:rFonts w:hint="eastAsia" w:ascii="黑体" w:hAnsi="宋体" w:eastAsia="黑体" w:cs="黑体"/>
          <w:sz w:val="32"/>
          <w:szCs w:val="32"/>
          <w:shd w:val="clear" w:fill="FFFFFF"/>
        </w:rPr>
        <w:t>三、财政拨款</w:t>
      </w:r>
      <w:r>
        <w:rPr>
          <w:rStyle w:val="12"/>
          <w:rFonts w:eastAsia="黑体"/>
          <w:sz w:val="32"/>
          <w:szCs w:val="32"/>
          <w:shd w:val="clear" w:fill="FFFFFF"/>
        </w:rPr>
        <w:t>“</w:t>
      </w:r>
      <w:r>
        <w:rPr>
          <w:rStyle w:val="12"/>
          <w:rFonts w:hint="eastAsia" w:ascii="黑体" w:hAnsi="宋体" w:eastAsia="黑体" w:cs="黑体"/>
          <w:sz w:val="32"/>
          <w:szCs w:val="32"/>
          <w:shd w:val="clear" w:fill="FFFFFF"/>
        </w:rPr>
        <w:t>三公</w:t>
      </w:r>
      <w:r>
        <w:rPr>
          <w:rStyle w:val="12"/>
          <w:rFonts w:eastAsia="黑体"/>
          <w:sz w:val="32"/>
          <w:szCs w:val="32"/>
          <w:shd w:val="clear" w:fill="FFFFFF"/>
        </w:rPr>
        <w:t>”</w:t>
      </w:r>
      <w:r>
        <w:rPr>
          <w:rStyle w:val="12"/>
          <w:rFonts w:hint="eastAsia" w:ascii="黑体" w:hAnsi="宋体" w:eastAsia="黑体" w:cs="黑体"/>
          <w:sz w:val="32"/>
          <w:szCs w:val="32"/>
          <w:shd w:val="clear" w:fill="FFFFFF"/>
        </w:rPr>
        <w:t>经费情况说明</w:t>
      </w:r>
    </w:p>
    <w:p>
      <w:pPr>
        <w:pStyle w:val="9"/>
        <w:keepNext w:val="0"/>
        <w:keepLines w:val="0"/>
        <w:widowControl/>
        <w:suppressLineNumbers w:val="0"/>
        <w:spacing w:before="0" w:beforeAutospacing="1" w:after="0" w:afterAutospacing="1"/>
        <w:ind w:left="0" w:right="0" w:firstLine="643"/>
      </w:pPr>
      <w:r>
        <w:rPr>
          <w:rFonts w:hint="eastAsia" w:ascii="楷体" w:hAnsi="楷体" w:eastAsia="楷体" w:cs="楷体"/>
          <w:b/>
          <w:bCs/>
          <w:sz w:val="32"/>
          <w:szCs w:val="32"/>
          <w:shd w:val="clear" w:fill="FFFFFF"/>
        </w:rPr>
        <w:t>（一）</w:t>
      </w:r>
      <w:r>
        <w:rPr>
          <w:rFonts w:hint="default" w:ascii="Times New Roman" w:hAnsi="Times New Roman" w:eastAsia="楷体" w:cs="Times New Roman"/>
          <w:b/>
          <w:bCs/>
          <w:sz w:val="32"/>
          <w:szCs w:val="32"/>
          <w:shd w:val="clear" w:fill="FFFFFF"/>
        </w:rPr>
        <w:t>“</w:t>
      </w:r>
      <w:r>
        <w:rPr>
          <w:rFonts w:hint="eastAsia" w:ascii="楷体" w:hAnsi="楷体" w:eastAsia="楷体" w:cs="楷体"/>
          <w:b/>
          <w:bCs/>
          <w:sz w:val="32"/>
          <w:szCs w:val="32"/>
          <w:shd w:val="clear" w:fill="FFFFFF"/>
        </w:rPr>
        <w:t>三公</w:t>
      </w:r>
      <w:r>
        <w:rPr>
          <w:rFonts w:hint="default" w:ascii="Times New Roman" w:hAnsi="Times New Roman" w:eastAsia="楷体" w:cs="Times New Roman"/>
          <w:b/>
          <w:bCs/>
          <w:sz w:val="32"/>
          <w:szCs w:val="32"/>
          <w:shd w:val="clear" w:fill="FFFFFF"/>
        </w:rPr>
        <w:t>”</w:t>
      </w:r>
      <w:r>
        <w:rPr>
          <w:rFonts w:hint="eastAsia" w:ascii="楷体" w:hAnsi="楷体" w:eastAsia="楷体" w:cs="楷体"/>
          <w:b/>
          <w:bCs/>
          <w:sz w:val="32"/>
          <w:szCs w:val="32"/>
          <w:shd w:val="clear" w:fill="FFFFFF"/>
        </w:rPr>
        <w:t>经费支出总体情况说明</w:t>
      </w:r>
    </w:p>
    <w:p>
      <w:pPr>
        <w:pStyle w:val="9"/>
        <w:keepNext w:val="0"/>
        <w:keepLines w:val="0"/>
        <w:widowControl/>
        <w:suppressLineNumbers w:val="0"/>
        <w:spacing w:before="0" w:beforeAutospacing="0" w:after="0" w:afterAutospacing="0"/>
        <w:ind w:left="0" w:right="0" w:firstLine="640"/>
        <w:jc w:val="both"/>
      </w:pP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三公</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经费支出共计</w:t>
      </w:r>
      <w:r>
        <w:rPr>
          <w:rFonts w:hint="default" w:ascii="Times New Roman" w:hAnsi="Times New Roman" w:eastAsia="方正仿宋_GBK" w:cs="Times New Roman"/>
          <w:sz w:val="32"/>
          <w:szCs w:val="32"/>
        </w:rPr>
        <w:t>4.39</w:t>
      </w:r>
      <w:r>
        <w:rPr>
          <w:rFonts w:hint="eastAsia" w:ascii="方正仿宋_GBK" w:hAnsi="方正仿宋_GBK" w:eastAsia="方正仿宋_GBK" w:cs="方正仿宋_GBK"/>
          <w:sz w:val="32"/>
          <w:szCs w:val="32"/>
          <w:shd w:val="clear" w:fill="FFFFFF"/>
        </w:rPr>
        <w:t>万元，较年初预算数减少</w:t>
      </w:r>
      <w:r>
        <w:rPr>
          <w:rFonts w:hint="default" w:ascii="Times New Roman" w:hAnsi="Times New Roman" w:eastAsia="方正仿宋_GBK" w:cs="Times New Roman"/>
          <w:sz w:val="32"/>
          <w:szCs w:val="32"/>
          <w:shd w:val="clear" w:fill="FFFFFF"/>
        </w:rPr>
        <w:t>2.61</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37.3%</w:t>
      </w:r>
      <w:r>
        <w:rPr>
          <w:rFonts w:hint="eastAsia" w:ascii="方正仿宋_GBK" w:hAnsi="方正仿宋_GBK" w:eastAsia="方正仿宋_GBK" w:cs="方正仿宋_GBK"/>
          <w:sz w:val="32"/>
          <w:szCs w:val="32"/>
          <w:shd w:val="clear" w:fill="FFFFFF"/>
        </w:rPr>
        <w:t>，主要原因是我局励行节约，三公经费减少。较上年支出数减少</w:t>
      </w:r>
      <w:r>
        <w:rPr>
          <w:rFonts w:hint="default" w:ascii="Times New Roman" w:hAnsi="Times New Roman" w:eastAsia="方正仿宋_GBK" w:cs="Times New Roman"/>
          <w:sz w:val="32"/>
          <w:szCs w:val="32"/>
          <w:shd w:val="clear" w:fill="FFFFFF"/>
        </w:rPr>
        <w:t>0.85</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16.2%</w:t>
      </w:r>
      <w:r>
        <w:rPr>
          <w:rFonts w:hint="eastAsia" w:ascii="方正仿宋_GBK" w:hAnsi="方正仿宋_GBK" w:eastAsia="方正仿宋_GBK" w:cs="方正仿宋_GBK"/>
          <w:sz w:val="32"/>
          <w:szCs w:val="32"/>
          <w:shd w:val="clear" w:fill="FFFFFF"/>
        </w:rPr>
        <w:t>，主要原因是本单位励行节约，三公经费减少。</w:t>
      </w:r>
    </w:p>
    <w:p>
      <w:pPr>
        <w:pStyle w:val="9"/>
        <w:keepNext w:val="0"/>
        <w:keepLines w:val="0"/>
        <w:widowControl/>
        <w:suppressLineNumbers w:val="0"/>
        <w:spacing w:before="0" w:beforeAutospacing="0" w:after="0" w:afterAutospacing="0"/>
        <w:ind w:left="0" w:right="0" w:firstLine="643"/>
        <w:jc w:val="both"/>
      </w:pPr>
      <w:r>
        <w:rPr>
          <w:rFonts w:hint="eastAsia" w:ascii="楷体" w:hAnsi="楷体" w:eastAsia="楷体" w:cs="楷体"/>
          <w:b/>
          <w:bCs/>
          <w:sz w:val="32"/>
          <w:szCs w:val="32"/>
          <w:shd w:val="clear" w:fill="FFFFFF"/>
        </w:rPr>
        <w:t>（二）</w:t>
      </w:r>
      <w:r>
        <w:rPr>
          <w:rFonts w:hint="default" w:ascii="Times New Roman" w:hAnsi="Times New Roman" w:eastAsia="楷体" w:cs="Times New Roman"/>
          <w:b/>
          <w:bCs/>
          <w:sz w:val="32"/>
          <w:szCs w:val="32"/>
          <w:shd w:val="clear" w:fill="FFFFFF"/>
        </w:rPr>
        <w:t>“</w:t>
      </w:r>
      <w:r>
        <w:rPr>
          <w:rFonts w:hint="eastAsia" w:ascii="楷体" w:hAnsi="楷体" w:eastAsia="楷体" w:cs="楷体"/>
          <w:b/>
          <w:bCs/>
          <w:sz w:val="32"/>
          <w:szCs w:val="32"/>
          <w:shd w:val="clear" w:fill="FFFFFF"/>
        </w:rPr>
        <w:t>三公</w:t>
      </w:r>
      <w:r>
        <w:rPr>
          <w:rFonts w:hint="default" w:ascii="Times New Roman" w:hAnsi="Times New Roman" w:eastAsia="楷体" w:cs="Times New Roman"/>
          <w:b/>
          <w:bCs/>
          <w:sz w:val="32"/>
          <w:szCs w:val="32"/>
          <w:shd w:val="clear" w:fill="FFFFFF"/>
        </w:rPr>
        <w:t>”</w:t>
      </w:r>
      <w:r>
        <w:rPr>
          <w:rFonts w:hint="eastAsia" w:ascii="楷体" w:hAnsi="楷体" w:eastAsia="楷体" w:cs="楷体"/>
          <w:b/>
          <w:bCs/>
          <w:sz w:val="32"/>
          <w:szCs w:val="32"/>
          <w:shd w:val="clear" w:fill="FFFFFF"/>
        </w:rPr>
        <w:t>经费分项支出情况</w:t>
      </w:r>
    </w:p>
    <w:p>
      <w:pPr>
        <w:pStyle w:val="9"/>
        <w:keepNext w:val="0"/>
        <w:keepLines w:val="0"/>
        <w:widowControl/>
        <w:suppressLineNumbers w:val="0"/>
        <w:spacing w:before="0" w:beforeAutospacing="0" w:after="0" w:afterAutospacing="0"/>
        <w:ind w:left="0" w:right="0" w:firstLine="640"/>
        <w:jc w:val="both"/>
      </w:pP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年度本单位因公出国（境）费用</w:t>
      </w:r>
      <w:r>
        <w:rPr>
          <w:rFonts w:hint="default" w:ascii="Times New Roman" w:hAnsi="Times New Roman" w:eastAsia="方正仿宋_GBK" w:cs="Times New Roman"/>
          <w:sz w:val="32"/>
          <w:szCs w:val="32"/>
        </w:rPr>
        <w:t>0.00</w:t>
      </w:r>
      <w:r>
        <w:rPr>
          <w:rFonts w:hint="eastAsia" w:ascii="方正仿宋_GBK" w:hAnsi="方正仿宋_GBK" w:eastAsia="方正仿宋_GBK" w:cs="方正仿宋_GBK"/>
          <w:sz w:val="32"/>
          <w:szCs w:val="32"/>
          <w:shd w:val="clear" w:fill="FFFFFF"/>
        </w:rPr>
        <w:t>万元，费用支出较年初预算数无增减。较上年支出数无增减。</w:t>
      </w:r>
    </w:p>
    <w:p>
      <w:pPr>
        <w:pStyle w:val="9"/>
        <w:keepNext w:val="0"/>
        <w:keepLines w:val="0"/>
        <w:widowControl/>
        <w:suppressLineNumbers w:val="0"/>
        <w:spacing w:before="0" w:beforeAutospacing="0" w:after="0" w:afterAutospacing="0"/>
        <w:ind w:left="0" w:right="0" w:firstLine="640"/>
        <w:jc w:val="both"/>
      </w:pPr>
      <w:r>
        <w:rPr>
          <w:rFonts w:hint="eastAsia" w:ascii="方正仿宋_GBK" w:hAnsi="方正仿宋_GBK" w:eastAsia="方正仿宋_GBK" w:cs="方正仿宋_GBK"/>
          <w:sz w:val="32"/>
          <w:szCs w:val="32"/>
          <w:shd w:val="clear" w:fill="FFFFFF"/>
        </w:rPr>
        <w:t>公务车购置费</w:t>
      </w:r>
      <w:r>
        <w:rPr>
          <w:rFonts w:hint="default" w:ascii="Times New Roman" w:hAnsi="Times New Roman" w:eastAsia="方正仿宋_GBK" w:cs="Times New Roman"/>
          <w:sz w:val="32"/>
          <w:szCs w:val="32"/>
        </w:rPr>
        <w:t>0.00</w:t>
      </w:r>
      <w:r>
        <w:rPr>
          <w:rFonts w:hint="eastAsia" w:ascii="方正仿宋_GBK" w:hAnsi="方正仿宋_GBK" w:eastAsia="方正仿宋_GBK" w:cs="方正仿宋_GBK"/>
          <w:sz w:val="32"/>
          <w:szCs w:val="32"/>
          <w:shd w:val="clear" w:fill="FFFFFF"/>
        </w:rPr>
        <w:t>万元，费用支出较年初预算数无增减。较上年支出数无增减。</w:t>
      </w:r>
    </w:p>
    <w:p>
      <w:pPr>
        <w:pStyle w:val="9"/>
        <w:keepNext w:val="0"/>
        <w:keepLines w:val="0"/>
        <w:widowControl/>
        <w:suppressLineNumbers w:val="0"/>
        <w:spacing w:before="0" w:beforeAutospacing="0" w:after="0" w:afterAutospacing="0"/>
        <w:ind w:left="0" w:right="0" w:firstLine="640"/>
        <w:jc w:val="both"/>
      </w:pPr>
      <w:r>
        <w:rPr>
          <w:rFonts w:hint="eastAsia" w:ascii="方正仿宋_GBK" w:hAnsi="方正仿宋_GBK" w:eastAsia="方正仿宋_GBK" w:cs="方正仿宋_GBK"/>
          <w:sz w:val="32"/>
          <w:szCs w:val="32"/>
          <w:shd w:val="clear" w:fill="FFFFFF"/>
        </w:rPr>
        <w:t>公务车运行维护费</w:t>
      </w:r>
      <w:r>
        <w:rPr>
          <w:rFonts w:hint="default" w:ascii="Times New Roman" w:hAnsi="Times New Roman" w:eastAsia="方正仿宋_GBK" w:cs="Times New Roman"/>
          <w:sz w:val="32"/>
          <w:szCs w:val="32"/>
        </w:rPr>
        <w:t>4.39</w:t>
      </w:r>
      <w:r>
        <w:rPr>
          <w:rFonts w:hint="eastAsia" w:ascii="方正仿宋_GBK" w:hAnsi="方正仿宋_GBK" w:eastAsia="方正仿宋_GBK" w:cs="方正仿宋_GBK"/>
          <w:sz w:val="32"/>
          <w:szCs w:val="32"/>
          <w:shd w:val="clear" w:fill="FFFFFF"/>
        </w:rPr>
        <w:t>万元，主要用于</w:t>
      </w:r>
      <w:r>
        <w:rPr>
          <w:rFonts w:hint="eastAsia" w:ascii="方正仿宋_GBK" w:hAnsi="方正仿宋_GBK" w:eastAsia="方正仿宋_GBK" w:cs="方正仿宋_GBK"/>
          <w:sz w:val="32"/>
          <w:szCs w:val="32"/>
        </w:rPr>
        <w:t>购买公务车保险、维修保养及油费等。</w:t>
      </w:r>
      <w:r>
        <w:rPr>
          <w:rFonts w:hint="eastAsia" w:ascii="方正仿宋_GBK" w:hAnsi="方正仿宋_GBK" w:eastAsia="方正仿宋_GBK" w:cs="方正仿宋_GBK"/>
          <w:sz w:val="32"/>
          <w:szCs w:val="32"/>
          <w:shd w:val="clear" w:fill="FFFFFF"/>
        </w:rPr>
        <w:t>费用支出较年初预算数减少</w:t>
      </w:r>
      <w:r>
        <w:rPr>
          <w:rFonts w:hint="default" w:ascii="Times New Roman" w:hAnsi="Times New Roman" w:eastAsia="方正仿宋_GBK" w:cs="Times New Roman"/>
          <w:sz w:val="32"/>
          <w:szCs w:val="32"/>
          <w:shd w:val="clear" w:fill="FFFFFF"/>
        </w:rPr>
        <w:t>1.61</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26.8%</w:t>
      </w:r>
      <w:r>
        <w:rPr>
          <w:rFonts w:hint="eastAsia" w:ascii="方正仿宋_GBK" w:hAnsi="方正仿宋_GBK" w:eastAsia="方正仿宋_GBK" w:cs="方正仿宋_GBK"/>
          <w:sz w:val="32"/>
          <w:szCs w:val="32"/>
          <w:shd w:val="clear" w:fill="FFFFFF"/>
        </w:rPr>
        <w:t>，主要原因是我局励行节约，公务车运行维护费减少。较上年支出数增加</w:t>
      </w:r>
      <w:r>
        <w:rPr>
          <w:rFonts w:hint="default" w:ascii="Times New Roman" w:hAnsi="Times New Roman" w:eastAsia="方正仿宋_GBK" w:cs="Times New Roman"/>
          <w:sz w:val="32"/>
          <w:szCs w:val="32"/>
          <w:shd w:val="clear" w:fill="FFFFFF"/>
        </w:rPr>
        <w:t>0.13</w:t>
      </w:r>
      <w:r>
        <w:rPr>
          <w:rFonts w:hint="eastAsia" w:ascii="方正仿宋_GBK" w:hAnsi="方正仿宋_GBK" w:eastAsia="方正仿宋_GBK" w:cs="方正仿宋_GBK"/>
          <w:sz w:val="32"/>
          <w:szCs w:val="32"/>
          <w:shd w:val="clear" w:fill="FFFFFF"/>
        </w:rPr>
        <w:t>万元，增长</w:t>
      </w:r>
      <w:r>
        <w:rPr>
          <w:rFonts w:hint="default" w:ascii="Times New Roman" w:hAnsi="Times New Roman" w:eastAsia="方正仿宋_GBK" w:cs="Times New Roman"/>
          <w:sz w:val="32"/>
          <w:szCs w:val="32"/>
          <w:shd w:val="clear" w:fill="FFFFFF"/>
        </w:rPr>
        <w:t>3.1%</w:t>
      </w:r>
      <w:r>
        <w:rPr>
          <w:rFonts w:hint="eastAsia" w:ascii="方正仿宋_GBK" w:hAnsi="方正仿宋_GBK" w:eastAsia="方正仿宋_GBK" w:cs="方正仿宋_GBK"/>
          <w:sz w:val="32"/>
          <w:szCs w:val="32"/>
          <w:shd w:val="clear" w:fill="FFFFFF"/>
        </w:rPr>
        <w:t>，主要原因是</w:t>
      </w:r>
      <w:r>
        <w:rPr>
          <w:rFonts w:hint="eastAsia" w:ascii="方正仿宋_GBK" w:hAnsi="方正仿宋_GBK" w:eastAsia="方正仿宋_GBK" w:cs="方正仿宋_GBK"/>
          <w:sz w:val="32"/>
          <w:szCs w:val="32"/>
        </w:rPr>
        <w:t>增加了公务用车的维修费。</w:t>
      </w:r>
    </w:p>
    <w:p>
      <w:pPr>
        <w:pStyle w:val="9"/>
        <w:keepNext w:val="0"/>
        <w:keepLines w:val="0"/>
        <w:widowControl/>
        <w:suppressLineNumbers w:val="0"/>
        <w:spacing w:before="0" w:beforeAutospacing="0" w:after="0" w:afterAutospacing="0"/>
        <w:ind w:left="0" w:right="0" w:firstLine="640"/>
        <w:jc w:val="both"/>
      </w:pPr>
      <w:r>
        <w:rPr>
          <w:rFonts w:hint="eastAsia" w:ascii="方正仿宋_GBK" w:hAnsi="方正仿宋_GBK" w:eastAsia="方正仿宋_GBK" w:cs="方正仿宋_GBK"/>
          <w:sz w:val="32"/>
          <w:szCs w:val="32"/>
          <w:shd w:val="clear" w:fill="FFFFFF"/>
        </w:rPr>
        <w:t>公务接待费</w:t>
      </w:r>
      <w:r>
        <w:rPr>
          <w:rFonts w:hint="default" w:ascii="Times New Roman" w:hAnsi="Times New Roman" w:eastAsia="方正仿宋_GBK" w:cs="Times New Roman"/>
          <w:sz w:val="32"/>
          <w:szCs w:val="32"/>
        </w:rPr>
        <w:t>0.00</w:t>
      </w:r>
      <w:r>
        <w:rPr>
          <w:rFonts w:hint="eastAsia" w:ascii="方正仿宋_GBK" w:hAnsi="方正仿宋_GBK" w:eastAsia="方正仿宋_GBK" w:cs="方正仿宋_GBK"/>
          <w:sz w:val="32"/>
          <w:szCs w:val="32"/>
          <w:shd w:val="clear" w:fill="FFFFFF"/>
        </w:rPr>
        <w:t>万元，费用支出较年初预算数减少</w:t>
      </w:r>
      <w:r>
        <w:rPr>
          <w:rFonts w:hint="default" w:ascii="Times New Roman" w:hAnsi="Times New Roman" w:eastAsia="方正仿宋_GBK" w:cs="Times New Roman"/>
          <w:sz w:val="32"/>
          <w:szCs w:val="32"/>
          <w:shd w:val="clear" w:fill="FFFFFF"/>
        </w:rPr>
        <w:t>1.00</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100.0%</w:t>
      </w:r>
      <w:r>
        <w:rPr>
          <w:rFonts w:hint="eastAsia" w:ascii="方正仿宋_GBK" w:hAnsi="方正仿宋_GBK" w:eastAsia="方正仿宋_GBK" w:cs="方正仿宋_GBK"/>
          <w:sz w:val="32"/>
          <w:szCs w:val="32"/>
          <w:shd w:val="clear" w:fill="FFFFFF"/>
        </w:rPr>
        <w:t>，主要原因是我局励行节约，公务接待减少。较上年支出数减少</w:t>
      </w:r>
      <w:r>
        <w:rPr>
          <w:rFonts w:hint="default" w:ascii="Times New Roman" w:hAnsi="Times New Roman" w:eastAsia="方正仿宋_GBK" w:cs="Times New Roman"/>
          <w:sz w:val="32"/>
          <w:szCs w:val="32"/>
          <w:shd w:val="clear" w:fill="FFFFFF"/>
        </w:rPr>
        <w:t>0.98</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100.0%</w:t>
      </w:r>
      <w:r>
        <w:rPr>
          <w:rFonts w:hint="eastAsia" w:ascii="方正仿宋_GBK" w:hAnsi="方正仿宋_GBK" w:eastAsia="方正仿宋_GBK" w:cs="方正仿宋_GBK"/>
          <w:sz w:val="32"/>
          <w:szCs w:val="32"/>
          <w:shd w:val="clear" w:fill="FFFFFF"/>
        </w:rPr>
        <w:t>，主要原因是我局励行节约，公务接待减少。</w:t>
      </w:r>
    </w:p>
    <w:p>
      <w:pPr>
        <w:pStyle w:val="9"/>
        <w:keepNext w:val="0"/>
        <w:keepLines w:val="0"/>
        <w:widowControl/>
        <w:suppressLineNumbers w:val="0"/>
        <w:spacing w:before="0" w:beforeAutospacing="0" w:after="0" w:afterAutospacing="0"/>
        <w:ind w:left="0" w:right="0" w:firstLine="643"/>
        <w:jc w:val="both"/>
      </w:pPr>
      <w:r>
        <w:rPr>
          <w:rFonts w:hint="eastAsia" w:ascii="楷体" w:hAnsi="楷体" w:eastAsia="楷体" w:cs="楷体"/>
          <w:b/>
          <w:bCs/>
          <w:sz w:val="32"/>
          <w:szCs w:val="32"/>
          <w:shd w:val="clear" w:fill="FFFFFF"/>
        </w:rPr>
        <w:t>（三）</w:t>
      </w:r>
      <w:r>
        <w:rPr>
          <w:rFonts w:hint="default" w:ascii="Times New Roman" w:hAnsi="Times New Roman" w:eastAsia="楷体" w:cs="Times New Roman"/>
          <w:b/>
          <w:bCs/>
          <w:sz w:val="32"/>
          <w:szCs w:val="32"/>
          <w:shd w:val="clear" w:fill="FFFFFF"/>
        </w:rPr>
        <w:t>“</w:t>
      </w:r>
      <w:r>
        <w:rPr>
          <w:rFonts w:hint="eastAsia" w:ascii="楷体" w:hAnsi="楷体" w:eastAsia="楷体" w:cs="楷体"/>
          <w:b/>
          <w:bCs/>
          <w:sz w:val="32"/>
          <w:szCs w:val="32"/>
          <w:shd w:val="clear" w:fill="FFFFFF"/>
        </w:rPr>
        <w:t>三公</w:t>
      </w:r>
      <w:r>
        <w:rPr>
          <w:rFonts w:hint="default" w:ascii="Times New Roman" w:hAnsi="Times New Roman" w:eastAsia="楷体" w:cs="Times New Roman"/>
          <w:b/>
          <w:bCs/>
          <w:sz w:val="32"/>
          <w:szCs w:val="32"/>
          <w:shd w:val="clear" w:fill="FFFFFF"/>
        </w:rPr>
        <w:t>”</w:t>
      </w:r>
      <w:r>
        <w:rPr>
          <w:rFonts w:hint="eastAsia" w:ascii="楷体" w:hAnsi="楷体" w:eastAsia="楷体" w:cs="楷体"/>
          <w:b/>
          <w:bCs/>
          <w:sz w:val="32"/>
          <w:szCs w:val="32"/>
          <w:shd w:val="clear" w:fill="FFFFFF"/>
        </w:rPr>
        <w:t>经费实物量情况</w:t>
      </w:r>
    </w:p>
    <w:p>
      <w:pPr>
        <w:pStyle w:val="9"/>
        <w:keepNext w:val="0"/>
        <w:keepLines w:val="0"/>
        <w:widowControl/>
        <w:suppressLineNumbers w:val="0"/>
        <w:spacing w:before="0" w:beforeAutospacing="0" w:after="0" w:afterAutospacing="0"/>
        <w:ind w:left="0" w:right="0" w:firstLine="640"/>
        <w:jc w:val="both"/>
      </w:pPr>
      <w:r>
        <w:rPr>
          <w:rFonts w:hint="default" w:ascii="Times New Roman" w:hAnsi="Times New Roman" w:eastAsia="方正仿宋_GBK" w:cs="Times New Roman"/>
          <w:sz w:val="32"/>
          <w:szCs w:val="32"/>
          <w:shd w:val="clear" w:fill="FFFFFF"/>
        </w:rPr>
        <w:t>  2024</w:t>
      </w:r>
      <w:r>
        <w:rPr>
          <w:rFonts w:hint="eastAsia" w:ascii="方正仿宋_GBK" w:hAnsi="方正仿宋_GBK" w:eastAsia="方正仿宋_GBK" w:cs="方正仿宋_GBK"/>
          <w:sz w:val="32"/>
          <w:szCs w:val="32"/>
          <w:shd w:val="clear" w:fill="FFFFFF"/>
        </w:rPr>
        <w:t>年度本单位因公出国（境）共计</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个团组，</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人；公务用车购置</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辆，公务车保有量为</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shd w:val="clear" w:fill="FFFFFF"/>
        </w:rPr>
        <w:t>辆；国内公务接待</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批次</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人，其中：国内外事接待</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批次，</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人；国（境）外公务接待</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批次，</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人。</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年本单位人均接待费</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元，车均购置费</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万元，车均维护费</w:t>
      </w:r>
      <w:r>
        <w:rPr>
          <w:rFonts w:hint="default" w:ascii="Times New Roman" w:hAnsi="Times New Roman" w:eastAsia="方正仿宋_GBK" w:cs="Times New Roman"/>
          <w:sz w:val="32"/>
          <w:szCs w:val="32"/>
        </w:rPr>
        <w:t>2.20</w:t>
      </w:r>
      <w:r>
        <w:rPr>
          <w:rFonts w:hint="eastAsia" w:ascii="方正仿宋_GBK" w:hAnsi="方正仿宋_GBK" w:eastAsia="方正仿宋_GBK" w:cs="方正仿宋_GBK"/>
          <w:sz w:val="32"/>
          <w:szCs w:val="32"/>
          <w:shd w:val="clear" w:fill="FFFFFF"/>
        </w:rPr>
        <w:t>万元。</w:t>
      </w:r>
    </w:p>
    <w:p>
      <w:pPr>
        <w:pStyle w:val="9"/>
        <w:keepNext w:val="0"/>
        <w:keepLines w:val="0"/>
        <w:widowControl/>
        <w:suppressLineNumbers w:val="0"/>
        <w:shd w:val="clear" w:fill="FFFFFF"/>
        <w:spacing w:before="0" w:beforeAutospacing="0" w:after="0" w:afterAutospacing="0"/>
        <w:ind w:left="0" w:right="0" w:firstLine="643"/>
      </w:pPr>
      <w:r>
        <w:rPr>
          <w:rStyle w:val="12"/>
          <w:rFonts w:hint="eastAsia" w:ascii="黑体" w:hAnsi="宋体" w:eastAsia="黑体" w:cs="黑体"/>
          <w:sz w:val="32"/>
          <w:szCs w:val="32"/>
          <w:shd w:val="clear" w:fill="FFFFFF"/>
        </w:rPr>
        <w:t>四、其他需要说明的事项</w:t>
      </w:r>
    </w:p>
    <w:p>
      <w:pPr>
        <w:pStyle w:val="9"/>
        <w:keepNext w:val="0"/>
        <w:keepLines w:val="0"/>
        <w:widowControl/>
        <w:suppressLineNumbers w:val="0"/>
        <w:spacing w:before="0" w:beforeAutospacing="1" w:after="0" w:afterAutospacing="1"/>
        <w:ind w:left="0" w:right="0" w:firstLine="643"/>
      </w:pPr>
      <w:r>
        <w:rPr>
          <w:rFonts w:hint="default" w:ascii="Times New Roman" w:hAnsi="Times New Roman" w:eastAsia="楷体" w:cs="Times New Roman"/>
          <w:b/>
          <w:bCs/>
          <w:sz w:val="32"/>
          <w:szCs w:val="32"/>
          <w:shd w:val="clear" w:fill="FFFFFF"/>
        </w:rPr>
        <w:t> </w:t>
      </w:r>
      <w:r>
        <w:rPr>
          <w:rFonts w:hint="eastAsia" w:ascii="楷体" w:hAnsi="楷体" w:eastAsia="楷体" w:cs="楷体"/>
          <w:b/>
          <w:bCs/>
          <w:sz w:val="32"/>
          <w:szCs w:val="32"/>
          <w:shd w:val="clear" w:fill="FFFFFF"/>
        </w:rPr>
        <w:t>（一）财政拨款会议费和培训费情况说明</w:t>
      </w:r>
    </w:p>
    <w:p>
      <w:pPr>
        <w:pStyle w:val="9"/>
        <w:keepNext w:val="0"/>
        <w:keepLines w:val="0"/>
        <w:widowControl/>
        <w:suppressLineNumbers w:val="0"/>
        <w:spacing w:before="0" w:beforeAutospacing="0" w:after="0" w:afterAutospacing="0"/>
        <w:ind w:left="0" w:right="0" w:firstLine="640"/>
        <w:jc w:val="both"/>
      </w:pPr>
      <w:r>
        <w:rPr>
          <w:rFonts w:hint="eastAsia" w:ascii="方正仿宋_GBK" w:hAnsi="方正仿宋_GBK" w:eastAsia="方正仿宋_GBK" w:cs="方正仿宋_GBK"/>
          <w:sz w:val="32"/>
          <w:szCs w:val="32"/>
          <w:shd w:val="clear" w:fill="FFFFFF"/>
        </w:rPr>
        <w:t>本年度会议费支出</w:t>
      </w:r>
      <w:r>
        <w:rPr>
          <w:rFonts w:hint="default" w:ascii="Times New Roman" w:hAnsi="Times New Roman" w:eastAsia="方正仿宋_GBK" w:cs="Times New Roman"/>
          <w:sz w:val="32"/>
          <w:szCs w:val="32"/>
        </w:rPr>
        <w:t>0.00</w:t>
      </w:r>
      <w:r>
        <w:rPr>
          <w:rFonts w:hint="eastAsia" w:ascii="方正仿宋_GBK" w:hAnsi="方正仿宋_GBK" w:eastAsia="方正仿宋_GBK" w:cs="方正仿宋_GBK"/>
          <w:sz w:val="32"/>
          <w:szCs w:val="32"/>
          <w:shd w:val="clear" w:fill="FFFFFF"/>
        </w:rPr>
        <w:t>万元，与</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年度相比，减少</w:t>
      </w:r>
      <w:r>
        <w:rPr>
          <w:rFonts w:hint="default" w:ascii="Times New Roman" w:hAnsi="Times New Roman" w:eastAsia="方正仿宋_GBK" w:cs="Times New Roman"/>
          <w:sz w:val="32"/>
          <w:szCs w:val="32"/>
          <w:shd w:val="clear" w:fill="FFFFFF"/>
        </w:rPr>
        <w:t>1.00</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100.0%</w:t>
      </w:r>
      <w:r>
        <w:rPr>
          <w:rFonts w:hint="eastAsia" w:ascii="方正仿宋_GBK" w:hAnsi="方正仿宋_GBK" w:eastAsia="方正仿宋_GBK" w:cs="方正仿宋_GBK"/>
          <w:sz w:val="32"/>
          <w:szCs w:val="32"/>
          <w:shd w:val="clear" w:fill="FFFFFF"/>
        </w:rPr>
        <w:t>。本年度培训费支出</w:t>
      </w:r>
      <w:r>
        <w:rPr>
          <w:rFonts w:hint="default" w:ascii="Times New Roman" w:hAnsi="Times New Roman" w:eastAsia="方正仿宋_GBK" w:cs="Times New Roman"/>
          <w:sz w:val="32"/>
          <w:szCs w:val="32"/>
        </w:rPr>
        <w:t>0.00</w:t>
      </w:r>
      <w:r>
        <w:rPr>
          <w:rFonts w:hint="eastAsia" w:ascii="方正仿宋_GBK" w:hAnsi="方正仿宋_GBK" w:eastAsia="方正仿宋_GBK" w:cs="方正仿宋_GBK"/>
          <w:sz w:val="32"/>
          <w:szCs w:val="32"/>
          <w:shd w:val="clear" w:fill="FFFFFF"/>
        </w:rPr>
        <w:t>万元，与</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年度相比，无变化。</w:t>
      </w:r>
    </w:p>
    <w:p>
      <w:pPr>
        <w:pStyle w:val="9"/>
        <w:keepNext w:val="0"/>
        <w:keepLines w:val="0"/>
        <w:widowControl/>
        <w:suppressLineNumbers w:val="0"/>
        <w:spacing w:before="0" w:beforeAutospacing="1" w:after="0" w:afterAutospacing="1"/>
        <w:ind w:left="0" w:right="0" w:firstLine="643"/>
      </w:pPr>
      <w:r>
        <w:rPr>
          <w:rFonts w:hint="eastAsia" w:ascii="楷体" w:hAnsi="楷体" w:eastAsia="楷体" w:cs="楷体"/>
          <w:b/>
          <w:bCs/>
          <w:sz w:val="32"/>
          <w:szCs w:val="32"/>
          <w:shd w:val="clear" w:fill="FFFFFF"/>
        </w:rPr>
        <w:t>（二）机关运行经费情况说明</w:t>
      </w:r>
    </w:p>
    <w:p>
      <w:pPr>
        <w:pStyle w:val="9"/>
        <w:keepNext w:val="0"/>
        <w:keepLines w:val="0"/>
        <w:widowControl/>
        <w:suppressLineNumbers w:val="0"/>
        <w:spacing w:before="0" w:beforeAutospacing="0" w:after="0" w:afterAutospacing="0"/>
        <w:ind w:left="0" w:right="0" w:firstLine="640"/>
        <w:jc w:val="both"/>
      </w:pP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年度本单位机关运行经费支出</w:t>
      </w:r>
      <w:r>
        <w:rPr>
          <w:rFonts w:hint="default" w:ascii="Times New Roman" w:hAnsi="Times New Roman" w:eastAsia="方正仿宋_GBK" w:cs="Times New Roman"/>
          <w:sz w:val="32"/>
          <w:szCs w:val="32"/>
        </w:rPr>
        <w:t>24.31</w:t>
      </w:r>
      <w:r>
        <w:rPr>
          <w:rFonts w:hint="eastAsia" w:ascii="方正仿宋_GBK" w:hAnsi="方正仿宋_GBK" w:eastAsia="方正仿宋_GBK" w:cs="方正仿宋_GBK"/>
          <w:sz w:val="32"/>
          <w:szCs w:val="32"/>
          <w:shd w:val="clear" w:fill="FFFFFF"/>
        </w:rPr>
        <w:t>万元，机关运行经费主要用于开支开支</w:t>
      </w:r>
      <w:r>
        <w:rPr>
          <w:rFonts w:hint="eastAsia" w:ascii="方正仿宋_GBK" w:hAnsi="方正仿宋_GBK" w:eastAsia="方正仿宋_GBK" w:cs="方正仿宋_GBK"/>
          <w:sz w:val="32"/>
          <w:szCs w:val="32"/>
        </w:rPr>
        <w:t>办公费、印刷费、办公设备购置、公务车运行维护费等。</w:t>
      </w:r>
      <w:r>
        <w:rPr>
          <w:rFonts w:hint="eastAsia" w:ascii="方正仿宋_GBK" w:hAnsi="方正仿宋_GBK" w:eastAsia="方正仿宋_GBK" w:cs="方正仿宋_GBK"/>
          <w:sz w:val="32"/>
          <w:szCs w:val="32"/>
          <w:shd w:val="clear" w:fill="FFFFFF"/>
        </w:rPr>
        <w:t>机关运行经费较上年支出数减少</w:t>
      </w:r>
      <w:r>
        <w:rPr>
          <w:rFonts w:hint="default" w:ascii="Times New Roman" w:hAnsi="Times New Roman" w:eastAsia="方正仿宋_GBK" w:cs="Times New Roman"/>
          <w:sz w:val="32"/>
          <w:szCs w:val="32"/>
          <w:shd w:val="clear" w:fill="FFFFFF"/>
        </w:rPr>
        <w:t>23.29</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48.9%</w:t>
      </w:r>
      <w:r>
        <w:rPr>
          <w:rFonts w:hint="eastAsia" w:ascii="方正仿宋_GBK" w:hAnsi="方正仿宋_GBK" w:eastAsia="方正仿宋_GBK" w:cs="方正仿宋_GBK"/>
          <w:sz w:val="32"/>
          <w:szCs w:val="32"/>
          <w:shd w:val="clear" w:fill="FFFFFF"/>
        </w:rPr>
        <w:t>，主要原因是</w:t>
      </w:r>
      <w:r>
        <w:rPr>
          <w:rFonts w:hint="eastAsia" w:ascii="方正仿宋_GBK" w:hAnsi="方正仿宋_GBK" w:eastAsia="方正仿宋_GBK" w:cs="方正仿宋_GBK"/>
          <w:sz w:val="32"/>
          <w:szCs w:val="32"/>
        </w:rPr>
        <w:t>我局厉行节约，公用支出减少。</w:t>
      </w:r>
    </w:p>
    <w:p>
      <w:pPr>
        <w:pStyle w:val="9"/>
        <w:keepNext w:val="0"/>
        <w:keepLines w:val="0"/>
        <w:widowControl/>
        <w:suppressLineNumbers w:val="0"/>
        <w:spacing w:before="0" w:beforeAutospacing="1" w:after="0" w:afterAutospacing="1"/>
        <w:ind w:left="0" w:right="0" w:firstLine="643"/>
      </w:pPr>
      <w:r>
        <w:rPr>
          <w:rFonts w:hint="eastAsia" w:ascii="楷体" w:hAnsi="楷体" w:eastAsia="楷体" w:cs="楷体"/>
          <w:b/>
          <w:bCs/>
          <w:sz w:val="32"/>
          <w:szCs w:val="32"/>
          <w:shd w:val="clear" w:fill="FFFFFF"/>
        </w:rPr>
        <w:t>（三）国有资产占用情况说明</w:t>
      </w:r>
    </w:p>
    <w:p>
      <w:pPr>
        <w:pStyle w:val="9"/>
        <w:keepNext w:val="0"/>
        <w:keepLines w:val="0"/>
        <w:widowControl/>
        <w:suppressLineNumbers w:val="0"/>
        <w:spacing w:before="0" w:beforeAutospacing="0" w:after="0" w:afterAutospacing="0"/>
        <w:ind w:left="0" w:right="0" w:firstLine="640"/>
        <w:jc w:val="both"/>
      </w:pPr>
      <w:r>
        <w:rPr>
          <w:rFonts w:hint="eastAsia" w:ascii="方正仿宋_GBK" w:hAnsi="方正仿宋_GBK" w:eastAsia="方正仿宋_GBK" w:cs="方正仿宋_GBK"/>
          <w:sz w:val="32"/>
          <w:szCs w:val="32"/>
          <w:shd w:val="clear" w:fill="FFFFFF"/>
        </w:rPr>
        <w:t>截至</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w:t>
      </w:r>
      <w:r>
        <w:rPr>
          <w:rFonts w:hint="default" w:ascii="Times New Roman" w:hAnsi="Times New Roman" w:eastAsia="方正仿宋_GBK" w:cs="Times New Roman"/>
          <w:sz w:val="32"/>
          <w:szCs w:val="32"/>
          <w:shd w:val="clear" w:fill="FFFFFF"/>
        </w:rPr>
        <w:t>12</w:t>
      </w:r>
      <w:r>
        <w:rPr>
          <w:rFonts w:hint="eastAsia" w:ascii="方正仿宋_GBK" w:hAnsi="方正仿宋_GBK" w:eastAsia="方正仿宋_GBK" w:cs="方正仿宋_GBK"/>
          <w:sz w:val="32"/>
          <w:szCs w:val="32"/>
          <w:shd w:val="clear" w:fill="FFFFFF"/>
        </w:rPr>
        <w:t>月</w:t>
      </w:r>
      <w:r>
        <w:rPr>
          <w:rFonts w:hint="default" w:ascii="Times New Roman" w:hAnsi="Times New Roman" w:eastAsia="方正仿宋_GBK" w:cs="Times New Roman"/>
          <w:sz w:val="32"/>
          <w:szCs w:val="32"/>
          <w:shd w:val="clear" w:fill="FFFFFF"/>
        </w:rPr>
        <w:t>31</w:t>
      </w:r>
      <w:r>
        <w:rPr>
          <w:rFonts w:hint="eastAsia" w:ascii="方正仿宋_GBK" w:hAnsi="方正仿宋_GBK" w:eastAsia="方正仿宋_GBK" w:cs="方正仿宋_GBK"/>
          <w:sz w:val="32"/>
          <w:szCs w:val="32"/>
          <w:shd w:val="clear" w:fill="FFFFFF"/>
        </w:rPr>
        <w:t>日，本单位共有车辆</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shd w:val="clear" w:fill="FFFFFF"/>
        </w:rPr>
        <w:t>辆，其中，副部（省）级及以上领导用车</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辆、主要负责人用车</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辆、机要通信用车</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辆、应急保障用车</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shd w:val="clear" w:fill="FFFFFF"/>
        </w:rPr>
        <w:t>辆、执法执勤用车</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辆，特种专业技术用车</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辆，离退休干部用车</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辆。单价</w:t>
      </w:r>
      <w:r>
        <w:rPr>
          <w:rFonts w:hint="default" w:ascii="Times New Roman" w:hAnsi="Times New Roman" w:eastAsia="方正仿宋_GBK" w:cs="Times New Roman"/>
          <w:sz w:val="32"/>
          <w:szCs w:val="32"/>
          <w:shd w:val="clear" w:fill="FFFFFF"/>
        </w:rPr>
        <w:t>100</w:t>
      </w:r>
      <w:r>
        <w:rPr>
          <w:rFonts w:hint="eastAsia" w:ascii="方正仿宋_GBK" w:hAnsi="方正仿宋_GBK" w:eastAsia="方正仿宋_GBK" w:cs="方正仿宋_GBK"/>
          <w:sz w:val="32"/>
          <w:szCs w:val="32"/>
          <w:shd w:val="clear" w:fill="FFFFFF"/>
        </w:rPr>
        <w:t>万元（含）以上专用设备</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台（套）。</w:t>
      </w:r>
    </w:p>
    <w:p>
      <w:pPr>
        <w:pStyle w:val="9"/>
        <w:keepNext w:val="0"/>
        <w:keepLines w:val="0"/>
        <w:widowControl/>
        <w:suppressLineNumbers w:val="0"/>
        <w:spacing w:before="0" w:beforeAutospacing="1" w:after="0" w:afterAutospacing="1"/>
        <w:ind w:left="0" w:right="0" w:firstLine="643"/>
      </w:pPr>
      <w:r>
        <w:rPr>
          <w:rFonts w:hint="eastAsia" w:ascii="楷体" w:hAnsi="楷体" w:eastAsia="楷体" w:cs="楷体"/>
          <w:b/>
          <w:bCs/>
          <w:sz w:val="32"/>
          <w:szCs w:val="32"/>
          <w:shd w:val="clear" w:fill="FFFFFF"/>
        </w:rPr>
        <w:t>（四）政府采购支出情况说明</w:t>
      </w:r>
    </w:p>
    <w:p>
      <w:pPr>
        <w:pStyle w:val="9"/>
        <w:keepNext w:val="0"/>
        <w:keepLines w:val="0"/>
        <w:widowControl/>
        <w:suppressLineNumbers w:val="0"/>
        <w:spacing w:before="0" w:beforeAutospacing="0" w:after="0" w:afterAutospacing="0"/>
        <w:ind w:left="0" w:right="0" w:firstLine="640"/>
        <w:jc w:val="both"/>
      </w:pP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年度本单位政府采购支出总额</w:t>
      </w:r>
      <w:r>
        <w:rPr>
          <w:rFonts w:hint="default" w:ascii="Times New Roman" w:hAnsi="Times New Roman" w:eastAsia="方正仿宋_GBK" w:cs="Times New Roman"/>
          <w:sz w:val="32"/>
          <w:szCs w:val="32"/>
        </w:rPr>
        <w:t>8.07</w:t>
      </w:r>
      <w:r>
        <w:rPr>
          <w:rFonts w:hint="eastAsia" w:ascii="方正仿宋_GBK" w:hAnsi="方正仿宋_GBK" w:eastAsia="方正仿宋_GBK" w:cs="方正仿宋_GBK"/>
          <w:sz w:val="32"/>
          <w:szCs w:val="32"/>
          <w:shd w:val="clear" w:fill="FFFFFF"/>
        </w:rPr>
        <w:t>万元，其中：政府采购货物支出</w:t>
      </w:r>
      <w:r>
        <w:rPr>
          <w:rFonts w:hint="default" w:ascii="Times New Roman" w:hAnsi="Times New Roman" w:eastAsia="方正仿宋_GBK" w:cs="Times New Roman"/>
          <w:sz w:val="32"/>
          <w:szCs w:val="32"/>
        </w:rPr>
        <w:t>8.07</w:t>
      </w:r>
      <w:r>
        <w:rPr>
          <w:rFonts w:hint="eastAsia" w:ascii="方正仿宋_GBK" w:hAnsi="方正仿宋_GBK" w:eastAsia="方正仿宋_GBK" w:cs="方正仿宋_GBK"/>
          <w:sz w:val="32"/>
          <w:szCs w:val="32"/>
          <w:shd w:val="clear" w:fill="FFFFFF"/>
        </w:rPr>
        <w:t>万元、政府采购工程支出</w:t>
      </w:r>
      <w:r>
        <w:rPr>
          <w:rFonts w:hint="default" w:ascii="Times New Roman" w:hAnsi="Times New Roman" w:eastAsia="方正仿宋_GBK" w:cs="Times New Roman"/>
          <w:sz w:val="32"/>
          <w:szCs w:val="32"/>
        </w:rPr>
        <w:t>0.00</w:t>
      </w:r>
      <w:r>
        <w:rPr>
          <w:rFonts w:hint="eastAsia" w:ascii="方正仿宋_GBK" w:hAnsi="方正仿宋_GBK" w:eastAsia="方正仿宋_GBK" w:cs="方正仿宋_GBK"/>
          <w:sz w:val="32"/>
          <w:szCs w:val="32"/>
          <w:shd w:val="clear" w:fill="FFFFFF"/>
        </w:rPr>
        <w:t>万元、政府采购服务支出</w:t>
      </w:r>
      <w:r>
        <w:rPr>
          <w:rFonts w:hint="default" w:ascii="Times New Roman" w:hAnsi="Times New Roman" w:eastAsia="方正仿宋_GBK" w:cs="Times New Roman"/>
          <w:sz w:val="32"/>
          <w:szCs w:val="32"/>
        </w:rPr>
        <w:t>0.00</w:t>
      </w:r>
      <w:r>
        <w:rPr>
          <w:rFonts w:hint="eastAsia" w:ascii="方正仿宋_GBK" w:hAnsi="方正仿宋_GBK" w:eastAsia="方正仿宋_GBK" w:cs="方正仿宋_GBK"/>
          <w:sz w:val="32"/>
          <w:szCs w:val="32"/>
          <w:shd w:val="clear" w:fill="FFFFFF"/>
        </w:rPr>
        <w:t>万元。授予中小企业合同金额</w:t>
      </w:r>
      <w:r>
        <w:rPr>
          <w:rFonts w:hint="default" w:ascii="Times New Roman" w:hAnsi="Times New Roman" w:eastAsia="方正仿宋_GBK" w:cs="Times New Roman"/>
          <w:sz w:val="32"/>
          <w:szCs w:val="32"/>
        </w:rPr>
        <w:t>8.07</w:t>
      </w:r>
      <w:r>
        <w:rPr>
          <w:rFonts w:hint="eastAsia" w:ascii="方正仿宋_GBK" w:hAnsi="方正仿宋_GBK" w:eastAsia="方正仿宋_GBK" w:cs="方正仿宋_GBK"/>
          <w:sz w:val="32"/>
          <w:szCs w:val="32"/>
        </w:rPr>
        <w:t>万</w:t>
      </w:r>
      <w:r>
        <w:rPr>
          <w:rFonts w:hint="eastAsia" w:ascii="方正仿宋_GBK" w:hAnsi="方正仿宋_GBK" w:eastAsia="方正仿宋_GBK" w:cs="方正仿宋_GBK"/>
          <w:sz w:val="32"/>
          <w:szCs w:val="32"/>
          <w:shd w:val="clear"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，其中：授予小微企业合同金额</w:t>
      </w:r>
      <w:r>
        <w:rPr>
          <w:rFonts w:hint="default" w:ascii="Times New Roman" w:hAnsi="Times New Roman" w:eastAsia="方正仿宋_GBK" w:cs="Times New Roman"/>
          <w:sz w:val="32"/>
          <w:szCs w:val="32"/>
        </w:rPr>
        <w:t>8.07</w:t>
      </w:r>
      <w:r>
        <w:rPr>
          <w:rFonts w:hint="eastAsia" w:ascii="方正仿宋_GBK" w:hAnsi="方正仿宋_GBK" w:eastAsia="方正仿宋_GBK" w:cs="方正仿宋_GBK"/>
          <w:sz w:val="32"/>
          <w:szCs w:val="32"/>
          <w:shd w:val="clear"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fill="FFFFFF"/>
        </w:rPr>
        <w:t> %</w:t>
      </w:r>
      <w:r>
        <w:rPr>
          <w:rFonts w:hint="eastAsia" w:ascii="方正仿宋_GBK" w:hAnsi="方正仿宋_GBK" w:eastAsia="方正仿宋_GBK" w:cs="方正仿宋_GBK"/>
          <w:sz w:val="32"/>
          <w:szCs w:val="32"/>
          <w:shd w:val="clear" w:fill="FFFFFF"/>
        </w:rPr>
        <w:t>。主要用于采购采购</w:t>
      </w:r>
      <w:r>
        <w:rPr>
          <w:rFonts w:hint="eastAsia" w:ascii="方正仿宋_GBK" w:hAnsi="方正仿宋_GBK" w:eastAsia="方正仿宋_GBK" w:cs="方正仿宋_GBK"/>
          <w:sz w:val="32"/>
          <w:szCs w:val="32"/>
        </w:rPr>
        <w:t>办公家具、电脑、打印机等办公设备等。</w:t>
      </w:r>
    </w:p>
    <w:p>
      <w:pPr>
        <w:pStyle w:val="9"/>
        <w:keepNext w:val="0"/>
        <w:keepLines w:val="0"/>
        <w:widowControl/>
        <w:suppressLineNumbers w:val="0"/>
        <w:spacing w:before="0" w:beforeAutospacing="0" w:after="0" w:afterAutospacing="0"/>
        <w:ind w:left="0" w:right="0" w:firstLine="643"/>
        <w:jc w:val="both"/>
      </w:pPr>
      <w:r>
        <w:rPr>
          <w:rStyle w:val="12"/>
          <w:rFonts w:hint="eastAsia" w:ascii="黑体" w:hAnsi="宋体" w:eastAsia="黑体" w:cs="黑体"/>
          <w:sz w:val="32"/>
          <w:szCs w:val="32"/>
          <w:shd w:val="clear" w:fill="FFFFFF"/>
        </w:rPr>
        <w:t>五、</w:t>
      </w:r>
      <w:r>
        <w:rPr>
          <w:rStyle w:val="12"/>
          <w:rFonts w:eastAsia="黑体"/>
          <w:sz w:val="32"/>
          <w:szCs w:val="32"/>
          <w:shd w:val="clear" w:fill="FFFFFF"/>
        </w:rPr>
        <w:t>2024</w:t>
      </w:r>
      <w:r>
        <w:rPr>
          <w:rStyle w:val="12"/>
          <w:rFonts w:hint="eastAsia" w:ascii="黑体" w:hAnsi="宋体" w:eastAsia="黑体" w:cs="黑体"/>
          <w:sz w:val="32"/>
          <w:szCs w:val="32"/>
          <w:shd w:val="clear" w:fill="FFFFFF"/>
        </w:rPr>
        <w:t>年度预算绩效管理情况说明</w:t>
      </w:r>
    </w:p>
    <w:p>
      <w:pPr>
        <w:pStyle w:val="9"/>
        <w:keepNext w:val="0"/>
        <w:keepLines w:val="0"/>
        <w:widowControl/>
        <w:suppressLineNumbers w:val="0"/>
        <w:spacing w:before="0" w:beforeAutospacing="0" w:after="0" w:afterAutospacing="0" w:line="596" w:lineRule="atLeast"/>
        <w:ind w:left="0" w:right="0" w:firstLine="643"/>
      </w:pPr>
      <w:r>
        <w:rPr>
          <w:rFonts w:hint="eastAsia" w:ascii="楷体" w:hAnsi="楷体" w:eastAsia="楷体" w:cs="楷体"/>
          <w:b/>
          <w:bCs/>
          <w:sz w:val="32"/>
          <w:szCs w:val="32"/>
          <w:shd w:val="clear" w:fill="FFFFFF"/>
        </w:rPr>
        <w:t>（一）单位自评情况</w:t>
      </w:r>
    </w:p>
    <w:p>
      <w:pPr>
        <w:pStyle w:val="9"/>
        <w:keepNext w:val="0"/>
        <w:keepLines w:val="0"/>
        <w:widowControl/>
        <w:suppressLineNumbers w:val="0"/>
        <w:spacing w:before="0" w:beforeAutospacing="1" w:after="0" w:afterAutospacing="1" w:line="600" w:lineRule="atLeast"/>
        <w:ind w:left="0" w:right="0" w:firstLine="640"/>
      </w:pPr>
      <w:r>
        <w:rPr>
          <w:rFonts w:hint="eastAsia" w:ascii="方正仿宋_GBK" w:hAnsi="方正仿宋_GBK" w:eastAsia="方正仿宋_GBK" w:cs="方正仿宋_GBK"/>
          <w:sz w:val="32"/>
          <w:szCs w:val="32"/>
        </w:rPr>
        <w:t>应当参照如下格式说明：根据预算绩效管理要求，我单位对</w:t>
      </w:r>
      <w:r>
        <w:rPr>
          <w:rFonts w:hint="default" w:ascii="Times New Roman" w:hAnsi="Times New Roman" w:eastAsia="方正仿宋_GBK" w:cs="Times New Roman"/>
          <w:sz w:val="32"/>
          <w:szCs w:val="32"/>
        </w:rPr>
        <w:t>28</w:t>
      </w:r>
      <w:r>
        <w:rPr>
          <w:rFonts w:hint="eastAsia" w:ascii="方正仿宋_GBK" w:hAnsi="方正仿宋_GBK" w:eastAsia="方正仿宋_GBK" w:cs="方正仿宋_GBK"/>
          <w:sz w:val="32"/>
          <w:szCs w:val="32"/>
        </w:rPr>
        <w:t>个项目开展了绩效自评，其中，以填报目标自评表形式开展自评</w:t>
      </w:r>
      <w:r>
        <w:rPr>
          <w:rFonts w:hint="default" w:ascii="Times New Roman" w:hAnsi="Times New Roman" w:eastAsia="方正仿宋_GBK" w:cs="Times New Roman"/>
          <w:sz w:val="32"/>
          <w:szCs w:val="32"/>
        </w:rPr>
        <w:t>28</w:t>
      </w:r>
      <w:r>
        <w:rPr>
          <w:rFonts w:hint="eastAsia" w:ascii="方正仿宋_GBK" w:hAnsi="方正仿宋_GBK" w:eastAsia="方正仿宋_GBK" w:cs="方正仿宋_GBK"/>
          <w:sz w:val="32"/>
          <w:szCs w:val="32"/>
        </w:rPr>
        <w:t>项，涉及资金</w:t>
      </w:r>
      <w:r>
        <w:rPr>
          <w:rFonts w:hint="default" w:ascii="Times New Roman" w:hAnsi="Times New Roman" w:eastAsia="方正仿宋_GBK" w:cs="Times New Roman"/>
          <w:sz w:val="32"/>
          <w:szCs w:val="32"/>
        </w:rPr>
        <w:t>7043.48</w:t>
      </w:r>
      <w:r>
        <w:rPr>
          <w:rFonts w:hint="eastAsia" w:ascii="方正仿宋_GBK" w:hAnsi="方正仿宋_GBK" w:eastAsia="方正仿宋_GBK" w:cs="方正仿宋_GBK"/>
          <w:sz w:val="32"/>
          <w:szCs w:val="32"/>
        </w:rPr>
        <w:t>万元。</w:t>
      </w:r>
    </w:p>
    <w:p>
      <w:pPr>
        <w:pStyle w:val="9"/>
        <w:keepNext w:val="0"/>
        <w:keepLines w:val="0"/>
        <w:widowControl/>
        <w:suppressLineNumbers w:val="0"/>
        <w:spacing w:before="0" w:beforeAutospacing="0" w:after="0" w:afterAutospacing="0" w:line="596" w:lineRule="atLeast"/>
        <w:ind w:left="0" w:right="0"/>
      </w:pPr>
      <w:r>
        <w:rPr>
          <w:rFonts w:hint="default" w:ascii="Times New Roman" w:hAnsi="Times New Roman" w:eastAsia="方正仿宋_GBK" w:cs="Times New Roman"/>
          <w:sz w:val="32"/>
          <w:szCs w:val="32"/>
          <w:shd w:val="clear" w:fill="FFFFFF"/>
        </w:rPr>
        <w:t>   </w:t>
      </w:r>
      <w:r>
        <w:rPr>
          <w:rStyle w:val="12"/>
          <w:rFonts w:eastAsia="黑体"/>
          <w:sz w:val="32"/>
          <w:szCs w:val="32"/>
          <w:shd w:val="clear" w:fill="FFFFFF"/>
        </w:rPr>
        <w:t> </w:t>
      </w:r>
      <w:r>
        <w:rPr>
          <w:rStyle w:val="12"/>
          <w:rFonts w:hint="eastAsia" w:ascii="黑体" w:hAnsi="宋体" w:eastAsia="黑体" w:cs="黑体"/>
          <w:sz w:val="32"/>
          <w:szCs w:val="32"/>
          <w:shd w:val="clear" w:fill="FFFFFF"/>
        </w:rPr>
        <w:t>六、专业名词解释</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（一）财政拨款收入：</w:t>
      </w:r>
      <w:r>
        <w:rPr>
          <w:rFonts w:hint="eastAsia" w:ascii="方正仿宋_GBK" w:hAnsi="方正仿宋_GBK" w:eastAsia="方正仿宋_GBK" w:cs="方正仿宋_GBK"/>
          <w:sz w:val="32"/>
          <w:szCs w:val="32"/>
          <w:shd w:val="clear" w:fill="FFFFFF"/>
        </w:rPr>
        <w:t>指本年度从本级财政部门取得的财政拨款，包括一般公共预算财政拨款和政府性基金预算财政拨款。</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（二）事业收入：</w:t>
      </w:r>
      <w:r>
        <w:rPr>
          <w:rFonts w:hint="eastAsia" w:ascii="方正仿宋_GBK" w:hAnsi="方正仿宋_GBK" w:eastAsia="方正仿宋_GBK" w:cs="方正仿宋_GBK"/>
          <w:sz w:val="32"/>
          <w:szCs w:val="32"/>
          <w:shd w:val="clear" w:fill="FFFFFF"/>
        </w:rPr>
        <w:t>指事业单位开展专业业务活动及其辅助活动取得的现金流入；事业单位收到的财政专户实际核拨的教育收费等资金在此反映。</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（三）经营收入：</w:t>
      </w:r>
      <w:r>
        <w:rPr>
          <w:rFonts w:hint="eastAsia" w:ascii="方正仿宋_GBK" w:hAnsi="方正仿宋_GBK" w:eastAsia="方正仿宋_GBK" w:cs="方正仿宋_GBK"/>
          <w:sz w:val="32"/>
          <w:szCs w:val="32"/>
          <w:shd w:val="clear" w:fill="FFFFFF"/>
        </w:rPr>
        <w:t>指事业单位在专业业务活动及其辅助活动之外开展非独立核算经营活动取得的现金流入。</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（四）其他收入：</w:t>
      </w:r>
      <w:r>
        <w:rPr>
          <w:rFonts w:hint="eastAsia" w:ascii="方正仿宋_GBK" w:hAnsi="方正仿宋_GBK" w:eastAsia="方正仿宋_GBK" w:cs="方正仿宋_GBK"/>
          <w:sz w:val="32"/>
          <w:szCs w:val="32"/>
          <w:shd w:val="clear" w:fill="FFFFFF"/>
        </w:rPr>
        <w:t>指单位取得的除</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财政拨款收入</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事业收入</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经营收入</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（五）使用非财政拨款结余：</w:t>
      </w:r>
      <w:r>
        <w:rPr>
          <w:rFonts w:hint="eastAsia" w:ascii="方正仿宋_GBK" w:hAnsi="方正仿宋_GBK" w:eastAsia="方正仿宋_GBK" w:cs="方正仿宋_GBK"/>
          <w:sz w:val="32"/>
          <w:szCs w:val="32"/>
          <w:shd w:val="clear" w:fill="FFFFFF"/>
        </w:rPr>
        <w:t>指单位在当年的</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财政拨款收入</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事业收入</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经营收入</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其他收入</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等不足以安排当年支出的情况下，使用以前年度积累的非财政拨款结余弥补本年度收支缺口的资金。</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（六）年初结转和结余：</w:t>
      </w:r>
      <w:r>
        <w:rPr>
          <w:rFonts w:hint="eastAsia" w:ascii="方正仿宋_GBK" w:hAnsi="方正仿宋_GBK" w:eastAsia="方正仿宋_GBK" w:cs="方正仿宋_GBK"/>
          <w:sz w:val="32"/>
          <w:szCs w:val="32"/>
          <w:shd w:val="clear" w:fill="FFFFFF"/>
        </w:rPr>
        <w:t>指单位上年结转本年使用的基本支出结转、项目支出结转和结余、经营结余。</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（七）结余分配：</w:t>
      </w:r>
      <w:r>
        <w:rPr>
          <w:rFonts w:hint="eastAsia" w:ascii="方正仿宋_GBK" w:hAnsi="方正仿宋_GBK" w:eastAsia="方正仿宋_GBK" w:cs="方正仿宋_GBK"/>
          <w:sz w:val="32"/>
          <w:szCs w:val="32"/>
          <w:shd w:val="clear" w:fill="FFFFFF"/>
        </w:rPr>
        <w:t>指单位按照国家有关规定，缴纳所得税、提取专用基金、转入非财政拨款结余等当年结余的分配情况。</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（八）年末结转和结余：</w:t>
      </w:r>
      <w:r>
        <w:rPr>
          <w:rFonts w:hint="eastAsia" w:ascii="方正仿宋_GBK" w:hAnsi="方正仿宋_GBK" w:eastAsia="方正仿宋_GBK" w:cs="方正仿宋_GBK"/>
          <w:sz w:val="32"/>
          <w:szCs w:val="32"/>
          <w:shd w:val="clear" w:fill="FFFFFF"/>
        </w:rPr>
        <w:t>指单位结转下年的基本支出结转、项目支出结转和结余、经营结余。</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（九）基本支出：</w:t>
      </w:r>
      <w:r>
        <w:rPr>
          <w:rFonts w:hint="eastAsia" w:ascii="方正仿宋_GBK" w:hAnsi="方正仿宋_GBK" w:eastAsia="方正仿宋_GBK" w:cs="方正仿宋_GBK"/>
          <w:sz w:val="32"/>
          <w:szCs w:val="32"/>
          <w:shd w:val="clear" w:fill="FFFFFF"/>
        </w:rPr>
        <w:t>指为保障机构正常运转、完成日常工作任务而发生的人员经费和公用经费。其中：人员经费指政府收支分类经济科目中的</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工资福利支出</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和</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对个人和家庭的补助</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；公用经费指政府收支分类经济科目中除</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工资福利支出</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和</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对个人和家庭的补助</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外的其他支出。</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（十）项目支出：</w:t>
      </w:r>
      <w:r>
        <w:rPr>
          <w:rFonts w:hint="eastAsia" w:ascii="方正仿宋_GBK" w:hAnsi="方正仿宋_GBK" w:eastAsia="方正仿宋_GBK" w:cs="方正仿宋_GBK"/>
          <w:sz w:val="32"/>
          <w:szCs w:val="32"/>
          <w:shd w:val="clear" w:fill="FFFFFF"/>
        </w:rPr>
        <w:t>指在基本支出之外为完成特定行政任务和事业发展目标所发生的支出。</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（十一）经营支出：</w:t>
      </w:r>
      <w:r>
        <w:rPr>
          <w:rFonts w:hint="eastAsia" w:ascii="方正仿宋_GBK" w:hAnsi="方正仿宋_GBK" w:eastAsia="方正仿宋_GBK" w:cs="方正仿宋_GBK"/>
          <w:sz w:val="32"/>
          <w:szCs w:val="32"/>
          <w:shd w:val="clear" w:fill="FFFFFF"/>
        </w:rPr>
        <w:t>指事业单位在专业业务活动及其辅助活动之外开展非独立核算经营活动发生的支出。</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（十二）</w:t>
      </w:r>
      <w:r>
        <w:rPr>
          <w:rStyle w:val="12"/>
          <w:rFonts w:eastAsia="楷体"/>
          <w:sz w:val="32"/>
          <w:szCs w:val="32"/>
          <w:shd w:val="clear" w:fill="FFFFFF"/>
        </w:rPr>
        <w:t>“</w:t>
      </w:r>
      <w:r>
        <w:rPr>
          <w:rStyle w:val="12"/>
          <w:rFonts w:hint="eastAsia" w:ascii="楷体" w:hAnsi="楷体" w:eastAsia="楷体" w:cs="楷体"/>
          <w:sz w:val="32"/>
          <w:szCs w:val="32"/>
          <w:shd w:val="clear" w:fill="FFFFFF"/>
        </w:rPr>
        <w:t>三公</w:t>
      </w:r>
      <w:r>
        <w:rPr>
          <w:rStyle w:val="12"/>
          <w:rFonts w:eastAsia="楷体"/>
          <w:sz w:val="32"/>
          <w:szCs w:val="32"/>
          <w:shd w:val="clear" w:fill="FFFFFF"/>
        </w:rPr>
        <w:t>”</w:t>
      </w:r>
      <w:r>
        <w:rPr>
          <w:rStyle w:val="12"/>
          <w:rFonts w:hint="eastAsia" w:ascii="楷体" w:hAnsi="楷体" w:eastAsia="楷体" w:cs="楷体"/>
          <w:sz w:val="32"/>
          <w:szCs w:val="32"/>
          <w:shd w:val="clear" w:fill="FFFFFF"/>
        </w:rPr>
        <w:t>经费：</w:t>
      </w:r>
      <w:r>
        <w:rPr>
          <w:rFonts w:hint="eastAsia" w:ascii="方正仿宋_GBK" w:hAnsi="方正仿宋_GBK" w:eastAsia="方正仿宋_GBK" w:cs="方正仿宋_GBK"/>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（十三）机关运行经费：</w:t>
      </w:r>
      <w:r>
        <w:rPr>
          <w:rFonts w:hint="eastAsia" w:ascii="方正仿宋_GBK" w:hAnsi="方正仿宋_GBK" w:eastAsia="方正仿宋_GBK" w:cs="方正仿宋_GBK"/>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（十四）工资福利支出（支出经济分类科目类级）：</w:t>
      </w:r>
      <w:r>
        <w:rPr>
          <w:rFonts w:hint="eastAsia" w:ascii="方正仿宋_GBK" w:hAnsi="方正仿宋_GBK" w:eastAsia="方正仿宋_GBK" w:cs="方正仿宋_GBK"/>
          <w:sz w:val="32"/>
          <w:szCs w:val="32"/>
          <w:shd w:val="clear" w:fill="FFFFFF"/>
        </w:rPr>
        <w:t>反映单位开支的在职职工和编制外长期聘用人员的各类劳动报酬，以及为上述人员缴纳的各项社会保险费等。</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（十五）商品和服务支出（支出经济分类科目类级）：</w:t>
      </w:r>
      <w:r>
        <w:rPr>
          <w:rFonts w:hint="eastAsia" w:ascii="方正仿宋_GBK" w:hAnsi="方正仿宋_GBK" w:eastAsia="方正仿宋_GBK" w:cs="方正仿宋_GBK"/>
          <w:sz w:val="32"/>
          <w:szCs w:val="32"/>
          <w:shd w:val="clear" w:fill="FFFFFF"/>
        </w:rPr>
        <w:t>反映单位购买商品和服务的支出（不包括用于购置固定资产的支出、战略性和应急储备支出）。</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（十六）对个人和家庭的补助（支出经济分类科目类级）：</w:t>
      </w:r>
      <w:r>
        <w:rPr>
          <w:rFonts w:hint="eastAsia" w:ascii="方正仿宋_GBK" w:hAnsi="方正仿宋_GBK" w:eastAsia="方正仿宋_GBK" w:cs="方正仿宋_GBK"/>
          <w:sz w:val="32"/>
          <w:szCs w:val="32"/>
          <w:shd w:val="clear" w:fill="FFFFFF"/>
        </w:rPr>
        <w:t>反映用于对个人和家庭的补助支出。</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（十七）其他资本性支出（支出经济分类科目类级）：</w:t>
      </w:r>
      <w:r>
        <w:rPr>
          <w:rFonts w:hint="eastAsia" w:ascii="方正仿宋_GBK" w:hAnsi="方正仿宋_GBK" w:eastAsia="方正仿宋_GBK" w:cs="方正仿宋_GBK"/>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黑体" w:hAnsi="宋体" w:eastAsia="黑体" w:cs="黑体"/>
          <w:sz w:val="32"/>
          <w:szCs w:val="32"/>
          <w:shd w:val="clear" w:fill="FFFFFF"/>
        </w:rPr>
        <w:t>七、决算公开联系方式及信息反馈渠道</w:t>
      </w:r>
    </w:p>
    <w:p>
      <w:pPr>
        <w:pStyle w:val="9"/>
        <w:keepNext w:val="0"/>
        <w:keepLines w:val="0"/>
        <w:widowControl/>
        <w:suppressLineNumbers w:val="0"/>
        <w:spacing w:before="0" w:beforeAutospacing="0" w:after="0" w:afterAutospacing="0" w:line="596" w:lineRule="atLeast"/>
        <w:ind w:left="0" w:right="0"/>
      </w:pPr>
      <w:r>
        <w:rPr>
          <w:rFonts w:hint="eastAsia" w:ascii="方正仿宋_GBK" w:hAnsi="方正仿宋_GBK" w:eastAsia="方正仿宋_GBK" w:cs="方正仿宋_GBK"/>
          <w:sz w:val="32"/>
          <w:szCs w:val="32"/>
          <w:shd w:val="clear" w:fill="FFFFFF"/>
        </w:rPr>
        <w:t>本单位决算公开</w:t>
      </w:r>
      <w:r>
        <w:rPr>
          <w:rFonts w:hint="eastAsia" w:ascii="方正仿宋_GBK" w:hAnsi="方正仿宋_GBK" w:eastAsia="方正仿宋_GBK" w:cs="方正仿宋_GBK"/>
          <w:sz w:val="32"/>
          <w:szCs w:val="32"/>
          <w:shd w:val="clear" w:fill="FFE5BF"/>
        </w:rPr>
        <w:t>信息反馈</w:t>
      </w:r>
      <w:r>
        <w:rPr>
          <w:rFonts w:hint="eastAsia" w:ascii="方正仿宋_GBK" w:hAnsi="方正仿宋_GBK" w:eastAsia="方正仿宋_GBK" w:cs="方正仿宋_GBK"/>
          <w:sz w:val="32"/>
          <w:szCs w:val="32"/>
          <w:shd w:val="clear" w:fill="FFFFFF"/>
        </w:rPr>
        <w:t>和联系方式：</w:t>
      </w:r>
    </w:p>
    <w:p>
      <w:pPr>
        <w:pStyle w:val="9"/>
        <w:keepNext w:val="0"/>
        <w:keepLines w:val="0"/>
        <w:widowControl/>
        <w:suppressLineNumbers w:val="0"/>
        <w:spacing w:before="0" w:beforeAutospacing="0" w:after="0" w:afterAutospacing="0" w:line="596" w:lineRule="atLeast"/>
        <w:ind w:left="0" w:right="0"/>
      </w:pPr>
      <w:r>
        <w:rPr>
          <w:rFonts w:hint="eastAsia" w:ascii="方正仿宋_GBK" w:hAnsi="方正仿宋_GBK" w:eastAsia="方正仿宋_GBK" w:cs="方正仿宋_GBK"/>
          <w:sz w:val="32"/>
          <w:szCs w:val="32"/>
          <w:shd w:val="clear" w:fill="FFFFFF"/>
        </w:rPr>
        <w:t>伍俊斐</w:t>
      </w:r>
      <w:r>
        <w:rPr>
          <w:rFonts w:hint="default" w:ascii="Times New Roman" w:hAnsi="Times New Roman" w:eastAsia="方正仿宋_GBK" w:cs="Times New Roman"/>
          <w:sz w:val="32"/>
          <w:szCs w:val="32"/>
          <w:shd w:val="clear" w:fill="FFFFFF"/>
        </w:rPr>
        <w:t>   023-60335442</w:t>
      </w:r>
    </w:p>
    <w:tbl>
      <w:tblPr>
        <w:tblW w:w="480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336"/>
        <w:gridCol w:w="1936"/>
        <w:gridCol w:w="2200"/>
        <w:gridCol w:w="1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55" w:hRule="atLeast"/>
        </w:trPr>
        <w:tc>
          <w:tcPr>
            <w:tcW w:w="0" w:type="auto"/>
            <w:gridSpan w:val="4"/>
            <w:shd w:val="clear"/>
            <w:tcMar>
              <w:bottom w:w="0" w:type="dxa"/>
            </w:tcMar>
            <w:vAlign w:val="bottom"/>
          </w:tcPr>
          <w:p>
            <w:pPr>
              <w:pStyle w:val="9"/>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cs="Times New Roman"/>
                <w:b/>
                <w:bCs/>
                <w:color w:val="000000"/>
                <w:sz w:val="32"/>
                <w:szCs w:val="32"/>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 w:hRule="atLeast"/>
        </w:trPr>
        <w:tc>
          <w:tcPr>
            <w:tcW w:w="1457" w:type="pct"/>
            <w:shd w:val="clear"/>
            <w:tcMar>
              <w:bottom w:w="0" w:type="dxa"/>
            </w:tcMar>
            <w:vAlign w:val="bottom"/>
          </w:tcPr>
          <w:p>
            <w:pPr>
              <w:rPr>
                <w:rFonts w:hint="eastAsia" w:ascii="宋体"/>
                <w:sz w:val="24"/>
                <w:szCs w:val="24"/>
              </w:rPr>
            </w:pPr>
          </w:p>
        </w:tc>
        <w:tc>
          <w:tcPr>
            <w:tcW w:w="1207" w:type="pct"/>
            <w:shd w:val="clear"/>
            <w:tcMar>
              <w:bottom w:w="0" w:type="dxa"/>
            </w:tcMar>
            <w:vAlign w:val="bottom"/>
          </w:tcPr>
          <w:p>
            <w:pPr>
              <w:rPr>
                <w:rFonts w:hint="eastAsia" w:ascii="宋体"/>
                <w:sz w:val="24"/>
                <w:szCs w:val="24"/>
              </w:rPr>
            </w:pPr>
          </w:p>
        </w:tc>
        <w:tc>
          <w:tcPr>
            <w:tcW w:w="1372" w:type="pct"/>
            <w:shd w:val="clear"/>
            <w:tcMar>
              <w:bottom w:w="0" w:type="dxa"/>
            </w:tcMar>
            <w:vAlign w:val="bottom"/>
          </w:tcPr>
          <w:p>
            <w:pPr>
              <w:rPr>
                <w:rFonts w:hint="eastAsia" w:ascii="宋体"/>
                <w:sz w:val="24"/>
                <w:szCs w:val="24"/>
              </w:rPr>
            </w:pPr>
          </w:p>
        </w:tc>
        <w:tc>
          <w:tcPr>
            <w:tcW w:w="964"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公开</w:t>
            </w:r>
            <w:r>
              <w:rPr>
                <w:rFonts w:hint="default" w:ascii="Times New Roman" w:hAnsi="Times New Roman" w:cs="Times New Roman"/>
                <w:color w:val="000000"/>
                <w:sz w:val="20"/>
                <w:szCs w:val="20"/>
              </w:rPr>
              <w:t>01</w:t>
            </w:r>
            <w:r>
              <w:rPr>
                <w:rFonts w:hint="eastAsia" w:ascii="宋体" w:hAnsi="宋体" w:eastAsia="宋体"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 w:hRule="atLeast"/>
        </w:trPr>
        <w:tc>
          <w:tcPr>
            <w:tcW w:w="0" w:type="auto"/>
            <w:gridSpan w:val="2"/>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sz w:val="20"/>
                <w:szCs w:val="20"/>
              </w:rPr>
              <w:t>单位：重庆市渝中区退役军人事务局（本级）</w:t>
            </w:r>
          </w:p>
        </w:tc>
        <w:tc>
          <w:tcPr>
            <w:tcW w:w="1372" w:type="pct"/>
            <w:shd w:val="clear"/>
            <w:tcMar>
              <w:bottom w:w="0" w:type="dxa"/>
            </w:tcMar>
            <w:vAlign w:val="bottom"/>
          </w:tcPr>
          <w:p>
            <w:pPr>
              <w:rPr>
                <w:rFonts w:hint="eastAsia" w:ascii="宋体"/>
                <w:sz w:val="24"/>
                <w:szCs w:val="24"/>
              </w:rPr>
            </w:pPr>
          </w:p>
        </w:tc>
        <w:tc>
          <w:tcPr>
            <w:tcW w:w="964"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单位：</w:t>
            </w:r>
            <w:r>
              <w:rPr>
                <w:rFonts w:hint="eastAsia" w:ascii="宋体" w:hAnsi="宋体" w:eastAsia="宋体"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2"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b/>
                <w:bCs/>
                <w:color w:val="000000"/>
                <w:sz w:val="20"/>
                <w:szCs w:val="20"/>
              </w:rPr>
              <w:t>收入</w:t>
            </w:r>
          </w:p>
        </w:tc>
        <w:tc>
          <w:tcPr>
            <w:tcW w:w="0" w:type="auto"/>
            <w:gridSpan w:val="2"/>
            <w:tcBorders>
              <w:top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b/>
                <w:bCs/>
                <w:color w:val="000000"/>
                <w:sz w:val="20"/>
                <w:szCs w:val="2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b/>
                <w:bCs/>
                <w:color w:val="000000"/>
                <w:sz w:val="20"/>
                <w:szCs w:val="20"/>
              </w:rPr>
              <w:t>项目</w:t>
            </w:r>
          </w:p>
        </w:tc>
        <w:tc>
          <w:tcPr>
            <w:tcW w:w="120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b/>
                <w:bCs/>
                <w:color w:val="000000"/>
                <w:sz w:val="20"/>
                <w:szCs w:val="20"/>
              </w:rPr>
              <w:t>决算数</w:t>
            </w: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b/>
                <w:bCs/>
                <w:color w:val="000000"/>
                <w:sz w:val="20"/>
                <w:szCs w:val="20"/>
              </w:rPr>
              <w:t>功能分类科目</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b/>
                <w:bCs/>
                <w:color w:val="00000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一、一般公共预算财政拨款收入</w:t>
            </w:r>
          </w:p>
        </w:tc>
        <w:tc>
          <w:tcPr>
            <w:tcW w:w="120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7,254.65 </w:t>
            </w: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一、一般公共服务支出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4.71 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二、政府性基金预算财政拨款收入</w:t>
            </w:r>
          </w:p>
        </w:tc>
        <w:tc>
          <w:tcPr>
            <w:tcW w:w="120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二、外交支出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三、国有资本经营预算财政拨款收入</w:t>
            </w:r>
          </w:p>
        </w:tc>
        <w:tc>
          <w:tcPr>
            <w:tcW w:w="120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三、国防支出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四、上级补助收入</w:t>
            </w:r>
          </w:p>
        </w:tc>
        <w:tc>
          <w:tcPr>
            <w:tcW w:w="120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四、公共安全支出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五、事业收入</w:t>
            </w:r>
          </w:p>
        </w:tc>
        <w:tc>
          <w:tcPr>
            <w:tcW w:w="120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五、教育支出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六、经营收入</w:t>
            </w:r>
          </w:p>
        </w:tc>
        <w:tc>
          <w:tcPr>
            <w:tcW w:w="120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六、科学技术支出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七、附属单位上缴收入</w:t>
            </w:r>
          </w:p>
        </w:tc>
        <w:tc>
          <w:tcPr>
            <w:tcW w:w="120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七、文化旅游体育与传媒支出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八、其他收入</w:t>
            </w:r>
          </w:p>
        </w:tc>
        <w:tc>
          <w:tcPr>
            <w:tcW w:w="1207" w:type="pct"/>
            <w:tcBorders>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八、社会保障和就业支出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7,101.08 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九、卫生健康支出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116.38 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十、节能环保支出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十一、城乡社区支出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十二、农林水支出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十三、交通运输支出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十四、资源勘探工业信息等支出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十五、商业服务业等支出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十六、金融支出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十七、援助其他地区支出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十八、自然资源海洋气象等支出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十九、住房保障支出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13.90 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二十、粮油物资储备支出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二十一、国有资本经营预算支出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二十二、灾害防治及应急管理支出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二十三、其他支出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二十四、债务还本支出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二十五、债务付息支出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二十六、抗疫特别国债安排的支出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b/>
                <w:bCs/>
                <w:color w:val="000000"/>
                <w:sz w:val="20"/>
                <w:szCs w:val="20"/>
              </w:rPr>
              <w:t>本年收入合计</w:t>
            </w:r>
          </w:p>
        </w:tc>
        <w:tc>
          <w:tcPr>
            <w:tcW w:w="120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7,254.65 </w:t>
            </w: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b/>
                <w:bCs/>
                <w:color w:val="000000"/>
                <w:sz w:val="20"/>
                <w:szCs w:val="20"/>
              </w:rPr>
              <w:t>本年支出合计</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7,256.06 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使用非财政拨款结余和专用结余</w:t>
            </w:r>
          </w:p>
        </w:tc>
        <w:tc>
          <w:tcPr>
            <w:tcW w:w="120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结余分配</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年初结转和结余</w:t>
            </w:r>
          </w:p>
        </w:tc>
        <w:tc>
          <w:tcPr>
            <w:tcW w:w="120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2.51 </w:t>
            </w: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年末结转和结余</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1.09 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b/>
                <w:bCs/>
                <w:color w:val="000000"/>
                <w:sz w:val="20"/>
                <w:szCs w:val="20"/>
              </w:rPr>
              <w:t>总计</w:t>
            </w:r>
          </w:p>
        </w:tc>
        <w:tc>
          <w:tcPr>
            <w:tcW w:w="120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7,257.15 </w:t>
            </w: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b/>
                <w:bCs/>
                <w:color w:val="000000"/>
                <w:sz w:val="20"/>
                <w:szCs w:val="20"/>
              </w:rPr>
              <w:t>总计</w:t>
            </w:r>
          </w:p>
        </w:tc>
        <w:tc>
          <w:tcPr>
            <w:tcW w:w="96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7,257.15 </w:t>
            </w:r>
          </w:p>
        </w:tc>
      </w:tr>
    </w:tbl>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sz w:val="20"/>
          <w:szCs w:val="20"/>
        </w:rPr>
        <w:t>备注：1.本表反映单位本年度的总收支和年末结转结余情况。</w:t>
      </w:r>
      <w:r>
        <w:br w:type="textWrapping"/>
      </w:r>
      <w:r>
        <w:rPr>
          <w:rFonts w:hint="eastAsia" w:ascii="宋体" w:hAnsi="宋体" w:eastAsia="宋体" w:cs="宋体"/>
          <w:sz w:val="20"/>
          <w:szCs w:val="20"/>
        </w:rPr>
        <w:t>      2.本套报表金额单位转换时可能存在尾数误差。</w:t>
      </w:r>
    </w:p>
    <w:p>
      <w:pPr>
        <w:keepNext w:val="0"/>
        <w:keepLines w:val="0"/>
        <w:widowControl/>
        <w:suppressLineNumbers w:val="0"/>
        <w:pBdr>
          <w:top w:val="none" w:color="auto" w:sz="0" w:space="0"/>
          <w:left w:val="none" w:color="auto" w:sz="0" w:space="0"/>
          <w:bottom w:val="none" w:color="auto" w:sz="0" w:space="0"/>
          <w:right w:val="none" w:color="auto" w:sz="0" w:space="0"/>
        </w:pBdr>
        <w:jc w:val="left"/>
      </w:pPr>
    </w:p>
    <w:tbl>
      <w:tblPr>
        <w:tblW w:w="505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77"/>
        <w:gridCol w:w="1587"/>
        <w:gridCol w:w="859"/>
        <w:gridCol w:w="788"/>
        <w:gridCol w:w="683"/>
        <w:gridCol w:w="781"/>
        <w:gridCol w:w="793"/>
        <w:gridCol w:w="793"/>
        <w:gridCol w:w="793"/>
        <w:gridCol w:w="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7" w:hRule="atLeast"/>
        </w:trPr>
        <w:tc>
          <w:tcPr>
            <w:tcW w:w="0" w:type="auto"/>
            <w:gridSpan w:val="10"/>
            <w:shd w:val="clear"/>
            <w:tcMar>
              <w:bottom w:w="0" w:type="dxa"/>
            </w:tcMar>
            <w:vAlign w:val="bottom"/>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32"/>
                <w:szCs w:val="32"/>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9" w:hRule="atLeast"/>
        </w:trPr>
        <w:tc>
          <w:tcPr>
            <w:tcW w:w="0" w:type="auto"/>
            <w:gridSpan w:val="3"/>
            <w:vMerge w:val="restar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sz w:val="20"/>
                <w:szCs w:val="20"/>
              </w:rPr>
              <w:t>单位：重庆市渝中区退役军人事务局（本级）</w:t>
            </w:r>
          </w:p>
        </w:tc>
        <w:tc>
          <w:tcPr>
            <w:tcW w:w="467" w:type="pct"/>
            <w:shd w:val="clear"/>
            <w:tcMar>
              <w:bottom w:w="0" w:type="dxa"/>
            </w:tcMar>
            <w:vAlign w:val="bottom"/>
          </w:tcPr>
          <w:p>
            <w:pPr>
              <w:rPr>
                <w:rFonts w:hint="eastAsia" w:ascii="宋体"/>
                <w:sz w:val="24"/>
                <w:szCs w:val="24"/>
              </w:rPr>
            </w:pPr>
          </w:p>
        </w:tc>
        <w:tc>
          <w:tcPr>
            <w:tcW w:w="405" w:type="pct"/>
            <w:shd w:val="clear"/>
            <w:tcMar>
              <w:bottom w:w="0" w:type="dxa"/>
            </w:tcMar>
            <w:vAlign w:val="bottom"/>
          </w:tcPr>
          <w:p>
            <w:pPr>
              <w:rPr>
                <w:rFonts w:hint="eastAsia" w:ascii="宋体"/>
                <w:sz w:val="24"/>
                <w:szCs w:val="24"/>
              </w:rPr>
            </w:pPr>
          </w:p>
        </w:tc>
        <w:tc>
          <w:tcPr>
            <w:tcW w:w="463" w:type="pct"/>
            <w:shd w:val="clear"/>
            <w:tcMar>
              <w:bottom w:w="0" w:type="dxa"/>
            </w:tcMar>
            <w:vAlign w:val="bottom"/>
          </w:tcPr>
          <w:p>
            <w:pPr>
              <w:rPr>
                <w:rFonts w:hint="eastAsia" w:ascii="宋体"/>
                <w:sz w:val="24"/>
                <w:szCs w:val="24"/>
              </w:rPr>
            </w:pPr>
          </w:p>
        </w:tc>
        <w:tc>
          <w:tcPr>
            <w:tcW w:w="470" w:type="pct"/>
            <w:shd w:val="clear"/>
            <w:tcMar>
              <w:bottom w:w="0" w:type="dxa"/>
            </w:tcMar>
            <w:vAlign w:val="bottom"/>
          </w:tcPr>
          <w:p>
            <w:pPr>
              <w:rPr>
                <w:rFonts w:hint="eastAsia" w:ascii="宋体"/>
                <w:sz w:val="24"/>
                <w:szCs w:val="24"/>
              </w:rPr>
            </w:pPr>
          </w:p>
        </w:tc>
        <w:tc>
          <w:tcPr>
            <w:tcW w:w="417" w:type="pct"/>
            <w:shd w:val="clear"/>
            <w:tcMar>
              <w:bottom w:w="0" w:type="dxa"/>
            </w:tcMar>
            <w:vAlign w:val="bottom"/>
          </w:tcPr>
          <w:p>
            <w:pPr>
              <w:rPr>
                <w:rFonts w:hint="eastAsia" w:ascii="宋体"/>
                <w:sz w:val="24"/>
                <w:szCs w:val="24"/>
              </w:rPr>
            </w:pPr>
          </w:p>
        </w:tc>
        <w:tc>
          <w:tcPr>
            <w:tcW w:w="434" w:type="pct"/>
            <w:shd w:val="clear"/>
            <w:tcMar>
              <w:bottom w:w="0" w:type="dxa"/>
            </w:tcMar>
            <w:vAlign w:val="bottom"/>
          </w:tcPr>
          <w:p>
            <w:pPr>
              <w:rPr>
                <w:rFonts w:hint="eastAsia" w:ascii="宋体"/>
                <w:sz w:val="24"/>
                <w:szCs w:val="24"/>
              </w:rPr>
            </w:pPr>
          </w:p>
        </w:tc>
        <w:tc>
          <w:tcPr>
            <w:tcW w:w="426"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公开</w:t>
            </w:r>
            <w:r>
              <w:rPr>
                <w:rFonts w:hint="default" w:ascii="Times New Roman" w:hAnsi="Times New Roman" w:cs="Times New Roman"/>
                <w:color w:val="000000"/>
                <w:sz w:val="20"/>
                <w:szCs w:val="20"/>
              </w:rPr>
              <w:t>02</w:t>
            </w:r>
            <w:r>
              <w:rPr>
                <w:rFonts w:hint="eastAsia" w:ascii="宋体" w:hAnsi="宋体" w:eastAsia="宋体"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9" w:hRule="atLeast"/>
        </w:trPr>
        <w:tc>
          <w:tcPr>
            <w:tcW w:w="0" w:type="auto"/>
            <w:gridSpan w:val="3"/>
            <w:vMerge w:val="continue"/>
            <w:shd w:val="clear"/>
            <w:tcMar>
              <w:bottom w:w="0" w:type="dxa"/>
            </w:tcMar>
            <w:vAlign w:val="bottom"/>
          </w:tcPr>
          <w:p>
            <w:pPr>
              <w:rPr>
                <w:rFonts w:hint="eastAsia" w:ascii="宋体"/>
                <w:sz w:val="24"/>
                <w:szCs w:val="24"/>
              </w:rPr>
            </w:pPr>
          </w:p>
        </w:tc>
        <w:tc>
          <w:tcPr>
            <w:tcW w:w="467" w:type="pct"/>
            <w:shd w:val="clear"/>
            <w:tcMar>
              <w:bottom w:w="0" w:type="dxa"/>
            </w:tcMar>
            <w:vAlign w:val="bottom"/>
          </w:tcPr>
          <w:p>
            <w:pPr>
              <w:rPr>
                <w:rFonts w:hint="eastAsia" w:ascii="宋体"/>
                <w:sz w:val="24"/>
                <w:szCs w:val="24"/>
              </w:rPr>
            </w:pPr>
          </w:p>
        </w:tc>
        <w:tc>
          <w:tcPr>
            <w:tcW w:w="405" w:type="pct"/>
            <w:shd w:val="clear"/>
            <w:tcMar>
              <w:bottom w:w="0" w:type="dxa"/>
            </w:tcMar>
            <w:vAlign w:val="bottom"/>
          </w:tcPr>
          <w:p>
            <w:pPr>
              <w:rPr>
                <w:rFonts w:hint="eastAsia" w:ascii="宋体"/>
                <w:sz w:val="24"/>
                <w:szCs w:val="24"/>
              </w:rPr>
            </w:pPr>
          </w:p>
        </w:tc>
        <w:tc>
          <w:tcPr>
            <w:tcW w:w="463" w:type="pct"/>
            <w:shd w:val="clear"/>
            <w:tcMar>
              <w:bottom w:w="0" w:type="dxa"/>
            </w:tcMar>
            <w:vAlign w:val="bottom"/>
          </w:tcPr>
          <w:p>
            <w:pPr>
              <w:rPr>
                <w:rFonts w:hint="eastAsia" w:ascii="宋体"/>
                <w:sz w:val="24"/>
                <w:szCs w:val="24"/>
              </w:rPr>
            </w:pPr>
          </w:p>
        </w:tc>
        <w:tc>
          <w:tcPr>
            <w:tcW w:w="470" w:type="pct"/>
            <w:shd w:val="clear"/>
            <w:tcMar>
              <w:bottom w:w="0" w:type="dxa"/>
            </w:tcMar>
            <w:vAlign w:val="bottom"/>
          </w:tcPr>
          <w:p>
            <w:pPr>
              <w:rPr>
                <w:rFonts w:hint="eastAsia" w:ascii="宋体"/>
                <w:sz w:val="24"/>
                <w:szCs w:val="24"/>
              </w:rPr>
            </w:pPr>
          </w:p>
        </w:tc>
        <w:tc>
          <w:tcPr>
            <w:tcW w:w="417" w:type="pct"/>
            <w:shd w:val="clear"/>
            <w:tcMar>
              <w:bottom w:w="0" w:type="dxa"/>
            </w:tcMar>
            <w:vAlign w:val="bottom"/>
          </w:tcPr>
          <w:p>
            <w:pPr>
              <w:rPr>
                <w:rFonts w:hint="eastAsia" w:ascii="宋体"/>
                <w:sz w:val="24"/>
                <w:szCs w:val="24"/>
              </w:rPr>
            </w:pPr>
          </w:p>
        </w:tc>
        <w:tc>
          <w:tcPr>
            <w:tcW w:w="434" w:type="pct"/>
            <w:shd w:val="clear"/>
            <w:tcMar>
              <w:bottom w:w="0" w:type="dxa"/>
            </w:tcMar>
            <w:vAlign w:val="bottom"/>
          </w:tcPr>
          <w:p>
            <w:pPr>
              <w:rPr>
                <w:rFonts w:hint="eastAsia" w:ascii="宋体"/>
                <w:sz w:val="24"/>
                <w:szCs w:val="24"/>
              </w:rPr>
            </w:pPr>
          </w:p>
        </w:tc>
        <w:tc>
          <w:tcPr>
            <w:tcW w:w="426"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单位：</w:t>
            </w:r>
            <w:r>
              <w:rPr>
                <w:rFonts w:hint="eastAsia" w:ascii="宋体" w:hAnsi="宋体" w:eastAsia="宋体"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trPr>
        <w:tc>
          <w:tcPr>
            <w:tcW w:w="0" w:type="auto"/>
            <w:gridSpan w:val="2"/>
            <w:tcBorders>
              <w:top w:val="single" w:color="000000" w:sz="2" w:space="0"/>
              <w:left w:val="single" w:color="000000" w:sz="2" w:space="0"/>
              <w:bottom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项目</w:t>
            </w:r>
          </w:p>
        </w:tc>
        <w:tc>
          <w:tcPr>
            <w:tcW w:w="509" w:type="pct"/>
            <w:vMerge w:val="restar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本年收入合计</w:t>
            </w:r>
          </w:p>
        </w:tc>
        <w:tc>
          <w:tcPr>
            <w:tcW w:w="467" w:type="pct"/>
            <w:vMerge w:val="restar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财政拨款收入</w:t>
            </w:r>
          </w:p>
        </w:tc>
        <w:tc>
          <w:tcPr>
            <w:tcW w:w="405" w:type="pct"/>
            <w:vMerge w:val="restar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上级补助收入</w:t>
            </w:r>
          </w:p>
        </w:tc>
        <w:tc>
          <w:tcPr>
            <w:tcW w:w="0" w:type="auto"/>
            <w:gridSpan w:val="2"/>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事业收入</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经营收入</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附属单位上缴收入</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 w:hRule="atLeast"/>
        </w:trPr>
        <w:tc>
          <w:tcPr>
            <w:tcW w:w="461" w:type="pct"/>
            <w:vMerge w:val="restar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功能分类科目编码</w:t>
            </w:r>
          </w:p>
        </w:tc>
        <w:tc>
          <w:tcPr>
            <w:tcW w:w="941" w:type="pct"/>
            <w:vMerge w:val="restart"/>
            <w:tcBorders>
              <w:bottom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项目（按“项”级功能分类科目）</w:t>
            </w:r>
          </w:p>
        </w:tc>
        <w:tc>
          <w:tcPr>
            <w:tcW w:w="509"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67"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05"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63" w:type="pct"/>
            <w:vMerge w:val="restar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小计</w:t>
            </w:r>
          </w:p>
        </w:tc>
        <w:tc>
          <w:tcPr>
            <w:tcW w:w="470" w:type="pct"/>
            <w:vMerge w:val="restar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其中：教育收费</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 w:hRule="atLeast"/>
        </w:trPr>
        <w:tc>
          <w:tcPr>
            <w:tcW w:w="461"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941" w:type="pct"/>
            <w:vMerge w:val="continue"/>
            <w:tcBorders>
              <w:bottom w:val="single" w:color="000000" w:sz="2" w:space="0"/>
            </w:tcBorders>
            <w:shd w:val="clear"/>
            <w:tcMar>
              <w:bottom w:w="0" w:type="dxa"/>
            </w:tcMar>
            <w:vAlign w:val="center"/>
          </w:tcPr>
          <w:p>
            <w:pPr>
              <w:rPr>
                <w:rFonts w:hint="eastAsia" w:ascii="宋体"/>
                <w:sz w:val="24"/>
                <w:szCs w:val="24"/>
              </w:rPr>
            </w:pPr>
          </w:p>
        </w:tc>
        <w:tc>
          <w:tcPr>
            <w:tcW w:w="509"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67"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05"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63"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70"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 w:hRule="atLeast"/>
        </w:trPr>
        <w:tc>
          <w:tcPr>
            <w:tcW w:w="461"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941" w:type="pct"/>
            <w:vMerge w:val="continue"/>
            <w:tcBorders>
              <w:bottom w:val="single" w:color="000000" w:sz="2" w:space="0"/>
            </w:tcBorders>
            <w:shd w:val="clear"/>
            <w:tcMar>
              <w:bottom w:w="0" w:type="dxa"/>
            </w:tcMar>
            <w:vAlign w:val="center"/>
          </w:tcPr>
          <w:p>
            <w:pPr>
              <w:rPr>
                <w:rFonts w:hint="eastAsia" w:ascii="宋体"/>
                <w:sz w:val="24"/>
                <w:szCs w:val="24"/>
              </w:rPr>
            </w:pPr>
          </w:p>
        </w:tc>
        <w:tc>
          <w:tcPr>
            <w:tcW w:w="509"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67"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05"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63"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70"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 w:hRule="atLeast"/>
        </w:trPr>
        <w:tc>
          <w:tcPr>
            <w:tcW w:w="461"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941" w:type="pct"/>
            <w:vMerge w:val="continue"/>
            <w:tcBorders>
              <w:bottom w:val="single" w:color="000000" w:sz="2" w:space="0"/>
            </w:tcBorders>
            <w:shd w:val="clear"/>
            <w:tcMar>
              <w:bottom w:w="0" w:type="dxa"/>
            </w:tcMar>
            <w:vAlign w:val="center"/>
          </w:tcPr>
          <w:p>
            <w:pPr>
              <w:rPr>
                <w:rFonts w:hint="eastAsia" w:ascii="宋体"/>
                <w:sz w:val="24"/>
                <w:szCs w:val="24"/>
              </w:rPr>
            </w:pPr>
          </w:p>
        </w:tc>
        <w:tc>
          <w:tcPr>
            <w:tcW w:w="509"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67"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05"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63"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70"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5"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合计</w:t>
            </w:r>
          </w:p>
        </w:tc>
        <w:tc>
          <w:tcPr>
            <w:tcW w:w="50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7,254.65 </w:t>
            </w:r>
          </w:p>
        </w:tc>
        <w:tc>
          <w:tcPr>
            <w:tcW w:w="46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7,254.65 </w:t>
            </w:r>
          </w:p>
        </w:tc>
        <w:tc>
          <w:tcPr>
            <w:tcW w:w="40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63"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70"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1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2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201</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一般公共服务支出</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4.71 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4.71 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20132</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组织事务</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4.71 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4.71 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2013202</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一般行政管理事务</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4.71 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4.71 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社会保障和就业支出</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7,101.28 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7,101.28 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20805</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行政事业单位养老支出</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40.08 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40.08 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2080501</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行政单位离退休</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16.15 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16.15 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2080505</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机关事业单位基本养老保险缴费支出</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15.85 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15.85 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2080506</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机关事业单位职业年金缴费支出</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8.09 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8.09 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20808</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抚恤</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3,907.89 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3,907.89 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2080801</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死亡抚恤</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1,778.72 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1,778.72 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2080802</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伤残抚恤</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1,935.61 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1,935.61 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2080805</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义务兵优待</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5.50 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5.50 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2080808</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褒扬纪念</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95.76 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95.76 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2080899</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其他优抚支出</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92.30 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92.30 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20809</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退役安置</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2,366.47 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2,366.47 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2080901</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退役士兵安置</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421.56 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421.56 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2080902</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军队移交政府的离退休人员安置</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791.51 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791.51 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2080903</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军队移交政府离退休干部管理机构</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53.12 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53.12 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2080905</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军队转业干部安置</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1,091.74 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1,091.74 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2080999</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其他退役安置支出</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8.54 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8.54 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20811</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残疾人事业</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357.74 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357.74 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2081199</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其他残疾人事业支出</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357.74 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357.74 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20828</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退役军人管理事务</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429.09 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429.09 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2082801</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行政运行</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148.16 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148.16 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2082804</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拥军优属</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218.48 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218.48 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2082899</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其他退役军人事务管理支出</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62.46 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62.46 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210</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卫生健康支出</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116.38 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116.38 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21011</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行政事业单位医疗</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10.43 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10.43 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2101101</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行政单位医疗</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10.43 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10.43 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21014</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优抚对象医疗</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105.94 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105.94 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2101401</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优抚对象医疗补助</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105.94 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105.94 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221</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住房保障支出</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12.29 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12.29 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22102</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住房改革支出</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12.29 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12.29 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2210201</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住房公积金</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11.21 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11.21 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2210203</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购房补贴</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1.07 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1.07 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224</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灾害防治及应急管理支出</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20.00 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22401</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应急管理事务</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20.00 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6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2240106</w:t>
            </w:r>
          </w:p>
        </w:tc>
        <w:tc>
          <w:tcPr>
            <w:tcW w:w="94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安全监管</w:t>
            </w:r>
          </w:p>
        </w:tc>
        <w:tc>
          <w:tcPr>
            <w:tcW w:w="50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20.00 </w:t>
            </w:r>
          </w:p>
        </w:tc>
        <w:tc>
          <w:tcPr>
            <w:tcW w:w="4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7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2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bl>
    <w:p>
      <w:pPr>
        <w:pStyle w:val="9"/>
        <w:keepNext w:val="0"/>
        <w:keepLines w:val="0"/>
        <w:widowControl/>
        <w:suppressLineNumbers w:val="0"/>
        <w:spacing w:before="0" w:beforeAutospacing="1" w:after="0" w:afterAutospacing="1"/>
        <w:ind w:left="0" w:right="0"/>
      </w:pPr>
      <w:r>
        <w:rPr>
          <w:rFonts w:hint="eastAsia" w:ascii="宋体" w:hAnsi="宋体" w:eastAsia="宋体" w:cs="宋体"/>
          <w:sz w:val="20"/>
          <w:szCs w:val="20"/>
        </w:rPr>
        <w:t>备注：1.本表反映单位本年度取得的各项收入情况。</w:t>
      </w:r>
      <w:r>
        <w:br w:type="textWrapping"/>
      </w:r>
      <w:r>
        <w:rPr>
          <w:rFonts w:hint="eastAsia" w:ascii="宋体" w:hAnsi="宋体" w:eastAsia="宋体" w:cs="宋体"/>
          <w:sz w:val="20"/>
          <w:szCs w:val="20"/>
        </w:rPr>
        <w:t>2.本套报表金额单位转换时可能存在尾数误差。</w:t>
      </w:r>
    </w:p>
    <w:p>
      <w:pPr>
        <w:keepNext w:val="0"/>
        <w:keepLines w:val="0"/>
        <w:widowControl/>
        <w:suppressLineNumbers w:val="0"/>
        <w:spacing w:after="240" w:afterAutospacing="0"/>
        <w:jc w:val="left"/>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99"/>
        <w:gridCol w:w="1951"/>
        <w:gridCol w:w="1951"/>
        <w:gridCol w:w="1951"/>
        <w:gridCol w:w="1600"/>
        <w:gridCol w:w="50"/>
        <w:gridCol w:w="50"/>
        <w:gridCol w:w="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6" w:hRule="atLeast"/>
        </w:trPr>
        <w:tc>
          <w:tcPr>
            <w:tcW w:w="0" w:type="auto"/>
            <w:gridSpan w:val="8"/>
            <w:shd w:val="clear"/>
            <w:tcMar>
              <w:bottom w:w="0" w:type="dxa"/>
            </w:tcMar>
            <w:vAlign w:val="bottom"/>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32"/>
                <w:szCs w:val="32"/>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0" w:type="auto"/>
            <w:gridSpan w:val="3"/>
            <w:vMerge w:val="restart"/>
            <w:shd w:val="clear"/>
            <w:tcMar>
              <w:bottom w:w="0" w:type="dxa"/>
            </w:tcMar>
            <w:vAlign w:val="bottom"/>
          </w:tcPr>
          <w:p>
            <w:pPr>
              <w:pStyle w:val="9"/>
              <w:keepNext w:val="0"/>
              <w:keepLines w:val="0"/>
              <w:widowControl/>
              <w:suppressLineNumbers w:val="0"/>
              <w:spacing w:before="0" w:beforeAutospacing="1" w:after="0" w:afterAutospacing="1"/>
              <w:ind w:left="0" w:right="0"/>
            </w:pPr>
            <w:r>
              <w:rPr>
                <w:rFonts w:hint="eastAsia" w:ascii="宋体" w:hAnsi="宋体" w:eastAsia="宋体" w:cs="宋体"/>
                <w:sz w:val="20"/>
                <w:szCs w:val="20"/>
              </w:rPr>
              <w:t>单位</w:t>
            </w:r>
            <w:r>
              <w:rPr>
                <w:rFonts w:hint="eastAsia" w:ascii="宋体" w:hAnsi="宋体" w:eastAsia="宋体" w:cs="宋体"/>
                <w:color w:val="000000"/>
                <w:sz w:val="20"/>
                <w:szCs w:val="20"/>
              </w:rPr>
              <w:t>：重庆市渝中区退役军人事务局（本级） </w:t>
            </w:r>
          </w:p>
        </w:tc>
        <w:tc>
          <w:tcPr>
            <w:tcW w:w="575" w:type="pct"/>
            <w:shd w:val="clear"/>
            <w:tcMar>
              <w:bottom w:w="0" w:type="dxa"/>
            </w:tcMar>
            <w:vAlign w:val="bottom"/>
          </w:tcPr>
          <w:p>
            <w:pPr>
              <w:rPr>
                <w:rFonts w:hint="eastAsia" w:ascii="宋体"/>
                <w:sz w:val="24"/>
                <w:szCs w:val="24"/>
              </w:rPr>
            </w:pPr>
          </w:p>
        </w:tc>
        <w:tc>
          <w:tcPr>
            <w:tcW w:w="529" w:type="pct"/>
            <w:shd w:val="clear"/>
            <w:tcMar>
              <w:bottom w:w="0" w:type="dxa"/>
            </w:tcMar>
            <w:vAlign w:val="bottom"/>
          </w:tcPr>
          <w:p>
            <w:pPr>
              <w:rPr>
                <w:rFonts w:hint="eastAsia" w:ascii="宋体"/>
                <w:sz w:val="24"/>
                <w:szCs w:val="24"/>
              </w:rPr>
            </w:pPr>
          </w:p>
        </w:tc>
        <w:tc>
          <w:tcPr>
            <w:tcW w:w="508" w:type="pct"/>
            <w:shd w:val="clear"/>
            <w:tcMar>
              <w:bottom w:w="0" w:type="dxa"/>
            </w:tcMar>
            <w:vAlign w:val="bottom"/>
          </w:tcPr>
          <w:p>
            <w:pPr>
              <w:rPr>
                <w:rFonts w:hint="eastAsia" w:ascii="宋体"/>
                <w:sz w:val="24"/>
                <w:szCs w:val="24"/>
              </w:rPr>
            </w:pPr>
          </w:p>
        </w:tc>
        <w:tc>
          <w:tcPr>
            <w:tcW w:w="552" w:type="pct"/>
            <w:shd w:val="clear"/>
            <w:tcMar>
              <w:bottom w:w="0" w:type="dxa"/>
            </w:tcMar>
            <w:vAlign w:val="bottom"/>
          </w:tcPr>
          <w:p>
            <w:pPr>
              <w:rPr>
                <w:rFonts w:hint="eastAsia" w:ascii="宋体"/>
                <w:sz w:val="24"/>
                <w:szCs w:val="24"/>
              </w:rPr>
            </w:pPr>
          </w:p>
        </w:tc>
        <w:tc>
          <w:tcPr>
            <w:tcW w:w="636"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公开</w:t>
            </w:r>
            <w:r>
              <w:rPr>
                <w:rFonts w:hint="default" w:ascii="Times New Roman" w:hAnsi="Times New Roman" w:cs="Times New Roman"/>
                <w:color w:val="000000"/>
                <w:sz w:val="20"/>
                <w:szCs w:val="20"/>
              </w:rPr>
              <w:t>03</w:t>
            </w:r>
            <w:r>
              <w:rPr>
                <w:rFonts w:hint="eastAsia" w:ascii="宋体" w:hAnsi="宋体" w:eastAsia="宋体"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0" w:type="auto"/>
            <w:gridSpan w:val="3"/>
            <w:vMerge w:val="continue"/>
            <w:shd w:val="clear"/>
            <w:tcMar>
              <w:bottom w:w="0" w:type="dxa"/>
            </w:tcMar>
            <w:vAlign w:val="bottom"/>
          </w:tcPr>
          <w:p>
            <w:pPr>
              <w:rPr>
                <w:rFonts w:hint="eastAsia" w:ascii="宋体"/>
                <w:sz w:val="24"/>
                <w:szCs w:val="24"/>
              </w:rPr>
            </w:pPr>
          </w:p>
        </w:tc>
        <w:tc>
          <w:tcPr>
            <w:tcW w:w="575" w:type="pct"/>
            <w:shd w:val="clear"/>
            <w:tcMar>
              <w:bottom w:w="0" w:type="dxa"/>
            </w:tcMar>
            <w:vAlign w:val="bottom"/>
          </w:tcPr>
          <w:p>
            <w:pPr>
              <w:rPr>
                <w:rFonts w:hint="eastAsia" w:ascii="宋体"/>
                <w:sz w:val="24"/>
                <w:szCs w:val="24"/>
              </w:rPr>
            </w:pPr>
          </w:p>
        </w:tc>
        <w:tc>
          <w:tcPr>
            <w:tcW w:w="529" w:type="pct"/>
            <w:shd w:val="clear"/>
            <w:tcMar>
              <w:bottom w:w="0" w:type="dxa"/>
            </w:tcMar>
            <w:vAlign w:val="bottom"/>
          </w:tcPr>
          <w:p>
            <w:pPr>
              <w:rPr>
                <w:rFonts w:hint="eastAsia" w:ascii="宋体"/>
                <w:sz w:val="24"/>
                <w:szCs w:val="24"/>
              </w:rPr>
            </w:pPr>
          </w:p>
        </w:tc>
        <w:tc>
          <w:tcPr>
            <w:tcW w:w="508" w:type="pct"/>
            <w:shd w:val="clear"/>
            <w:tcMar>
              <w:bottom w:w="0" w:type="dxa"/>
            </w:tcMar>
            <w:vAlign w:val="bottom"/>
          </w:tcPr>
          <w:p>
            <w:pPr>
              <w:rPr>
                <w:rFonts w:hint="eastAsia" w:ascii="宋体"/>
                <w:sz w:val="24"/>
                <w:szCs w:val="24"/>
              </w:rPr>
            </w:pPr>
          </w:p>
        </w:tc>
        <w:tc>
          <w:tcPr>
            <w:tcW w:w="552" w:type="pct"/>
            <w:shd w:val="clear"/>
            <w:tcMar>
              <w:bottom w:w="0" w:type="dxa"/>
            </w:tcMar>
            <w:vAlign w:val="bottom"/>
          </w:tcPr>
          <w:p>
            <w:pPr>
              <w:rPr>
                <w:rFonts w:hint="eastAsia" w:ascii="宋体"/>
                <w:sz w:val="24"/>
                <w:szCs w:val="24"/>
              </w:rPr>
            </w:pPr>
          </w:p>
        </w:tc>
        <w:tc>
          <w:tcPr>
            <w:tcW w:w="636"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单位：</w:t>
            </w:r>
            <w:r>
              <w:rPr>
                <w:rFonts w:hint="eastAsia" w:ascii="宋体" w:hAnsi="宋体" w:eastAsia="宋体"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项目</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本年支出合计</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基本支出</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项目支出</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上缴上级支出</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经营支出</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421" w:type="pct"/>
            <w:vMerge w:val="restar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功能分类科目编码</w:t>
            </w:r>
          </w:p>
        </w:tc>
        <w:tc>
          <w:tcPr>
            <w:tcW w:w="1175" w:type="pct"/>
            <w:vMerge w:val="restart"/>
            <w:tcBorders>
              <w:bottom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项目（按“项”级功能分类科目）</w:t>
            </w:r>
          </w:p>
        </w:tc>
        <w:tc>
          <w:tcPr>
            <w:tcW w:w="1175" w:type="pct"/>
            <w:tcBorders>
              <w:bottom w:val="single" w:color="000000" w:sz="2" w:space="0"/>
            </w:tcBorders>
            <w:shd w:val="clear"/>
            <w:tcMar>
              <w:bottom w:w="0" w:type="dxa"/>
            </w:tcMar>
            <w:vAlign w:val="center"/>
          </w:tcPr>
          <w:p>
            <w:pPr>
              <w:keepNext w:val="0"/>
              <w:keepLines w:val="0"/>
              <w:widowControl/>
              <w:suppressLineNumbers w:val="0"/>
              <w:jc w:val="left"/>
              <w:textAlignment w:val="center"/>
            </w:pPr>
          </w:p>
        </w:tc>
        <w:tc>
          <w:tcPr>
            <w:tcW w:w="1175" w:type="pct"/>
            <w:tcBorders>
              <w:bottom w:val="single" w:color="000000" w:sz="2" w:space="0"/>
            </w:tcBorders>
            <w:shd w:val="clear"/>
            <w:tcMar>
              <w:bottom w:w="0" w:type="dxa"/>
            </w:tcMar>
            <w:vAlign w:val="center"/>
          </w:tcPr>
          <w:p>
            <w:pPr>
              <w:keepNext w:val="0"/>
              <w:keepLines w:val="0"/>
              <w:widowControl/>
              <w:suppressLineNumbers w:val="0"/>
              <w:jc w:val="left"/>
              <w:textAlignment w:val="center"/>
            </w:pPr>
          </w:p>
        </w:tc>
        <w:tc>
          <w:tcPr>
            <w:tcW w:w="1175" w:type="pct"/>
            <w:tcBorders>
              <w:bottom w:val="single" w:color="000000" w:sz="2" w:space="0"/>
            </w:tcBorders>
            <w:shd w:val="clear"/>
            <w:tcMar>
              <w:bottom w:w="0" w:type="dxa"/>
            </w:tcMar>
            <w:vAlign w:val="center"/>
          </w:tcPr>
          <w:p>
            <w:pPr>
              <w:keepNext w:val="0"/>
              <w:keepLines w:val="0"/>
              <w:widowControl/>
              <w:suppressLineNumbers w:val="0"/>
              <w:jc w:val="left"/>
              <w:textAlignment w:val="center"/>
            </w:pPr>
          </w:p>
        </w:tc>
        <w:tc>
          <w:tcPr>
            <w:tcW w:w="1175" w:type="pct"/>
            <w:tcBorders>
              <w:bottom w:val="single" w:color="000000" w:sz="2" w:space="0"/>
            </w:tcBorders>
            <w:shd w:val="clear"/>
            <w:tcMar>
              <w:bottom w:w="0" w:type="dxa"/>
            </w:tcMar>
            <w:vAlign w:val="center"/>
          </w:tcPr>
          <w:p>
            <w:pPr>
              <w:keepNext w:val="0"/>
              <w:keepLines w:val="0"/>
              <w:widowControl/>
              <w:suppressLineNumbers w:val="0"/>
              <w:jc w:val="left"/>
              <w:textAlignment w:val="center"/>
            </w:pPr>
          </w:p>
        </w:tc>
        <w:tc>
          <w:tcPr>
            <w:tcW w:w="1175" w:type="pct"/>
            <w:tcBorders>
              <w:bottom w:val="single" w:color="000000" w:sz="2" w:space="0"/>
            </w:tcBorders>
            <w:shd w:val="clear"/>
            <w:tcMar>
              <w:bottom w:w="0" w:type="dxa"/>
            </w:tcMar>
            <w:vAlign w:val="center"/>
          </w:tcPr>
          <w:p>
            <w:pPr>
              <w:keepNext w:val="0"/>
              <w:keepLines w:val="0"/>
              <w:widowControl/>
              <w:suppressLineNumbers w:val="0"/>
              <w:jc w:val="left"/>
              <w:textAlignment w:val="center"/>
            </w:pPr>
          </w:p>
        </w:tc>
        <w:tc>
          <w:tcPr>
            <w:tcW w:w="1175" w:type="pct"/>
            <w:tcBorders>
              <w:bottom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421"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75" w:type="pct"/>
            <w:vMerge w:val="continue"/>
            <w:tcBorders>
              <w:bottom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421"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75" w:type="pct"/>
            <w:vMerge w:val="continue"/>
            <w:tcBorders>
              <w:bottom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421"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75" w:type="pct"/>
            <w:vMerge w:val="continue"/>
            <w:tcBorders>
              <w:bottom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合计</w:t>
            </w:r>
          </w:p>
        </w:tc>
        <w:tc>
          <w:tcPr>
            <w:tcW w:w="600"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7,256.06 </w:t>
            </w:r>
          </w:p>
        </w:tc>
        <w:tc>
          <w:tcPr>
            <w:tcW w:w="5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212.58 </w:t>
            </w:r>
          </w:p>
        </w:tc>
        <w:tc>
          <w:tcPr>
            <w:tcW w:w="5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7,043.48 </w:t>
            </w:r>
          </w:p>
        </w:tc>
        <w:tc>
          <w:tcPr>
            <w:tcW w:w="50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5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3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201</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一般公共服务支出</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4.71 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4.71 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20132</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组织事务</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4.71 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4.71 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2013202</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一般行政管理事务</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4.71 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4.71 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社会保障和就业支出</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7,101.08 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188.24 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6,912.84 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20805</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行政事业单位养老支出</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40.08 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40.08 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2080501</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行政单位离退休</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16.15 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16.15 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2080505</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机关事业单位基本养老保险缴费支出</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15.85 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15.85 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2080506</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机关事业单位职业年金缴费支出</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8.09 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8.09 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20808</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抚恤</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3,907.89 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3,907.89 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2080801</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死亡抚恤</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1,778.72 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1,778.72 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2080802</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伤残抚恤</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1,935.61 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1,935.61 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2080805</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义务兵优待</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5.50 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5.50 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2080808</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褒扬纪念</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95.76 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95.76 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2080899</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其他优抚支出</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92.30 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92.30 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20809</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退役安置</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2,366.47 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2,366.47 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2080901</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退役士兵安置</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421.56 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421.56 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2080902</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军队移交政府的离退休人员安置</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791.51 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791.51 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2080903</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军队移交政府离退休干部管理机构</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53.12 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53.12 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2080905</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军队转业干部安置</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1,091.74 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1,091.74 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2080999</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其他退役安置支出</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8.54 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8.54 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20811</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残疾人事业</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357.74 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357.74 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2081199</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其他残疾人事业支出</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357.74 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357.74 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20828</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退役军人管理事务</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428.89 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148.16 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280.73 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2082801</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行政运行</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148.16 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148.16 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2082804</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拥军优属</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218.28 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218.28 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2082899</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其他退役军人事务管理支出</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62.46 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62.46 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210</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卫生健康支出</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116.38 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10.43 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105.94 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21011</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行政事业单位医疗</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10.43 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10.43 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2101101</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行政单位医疗</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10.43 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10.43 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21014</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优抚对象医疗</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105.94 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105.94 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2101401</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优抚对象医疗补助</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105.94 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105.94 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221</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住房保障支出</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13.90 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13.90 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22102</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住房改革支出</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13.90 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13.90 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2210201</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住房公积金</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12.10 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12.10 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2210203</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购房补贴</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1.80 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1.80 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224</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灾害防治及应急管理支出</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20.00 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20.00 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22401</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应急管理事务</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20.00 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20.00 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2240106</w:t>
            </w:r>
          </w:p>
        </w:tc>
        <w:tc>
          <w:tcPr>
            <w:tcW w:w="11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安全监管</w:t>
            </w:r>
          </w:p>
        </w:tc>
        <w:tc>
          <w:tcPr>
            <w:tcW w:w="60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20.00 </w:t>
            </w:r>
          </w:p>
        </w:tc>
        <w:tc>
          <w:tcPr>
            <w:tcW w:w="57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20.00 </w:t>
            </w:r>
          </w:p>
        </w:tc>
        <w:tc>
          <w:tcPr>
            <w:tcW w:w="50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3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bl>
    <w:p>
      <w:pPr>
        <w:pStyle w:val="9"/>
        <w:keepNext w:val="0"/>
        <w:keepLines w:val="0"/>
        <w:widowControl/>
        <w:suppressLineNumbers w:val="0"/>
        <w:spacing w:before="0" w:beforeAutospacing="1" w:after="0" w:afterAutospacing="1"/>
        <w:ind w:left="0" w:right="0"/>
      </w:pPr>
      <w:r>
        <w:rPr>
          <w:rFonts w:hint="eastAsia" w:ascii="宋体" w:hAnsi="宋体" w:eastAsia="宋体" w:cs="宋体"/>
          <w:sz w:val="20"/>
          <w:szCs w:val="20"/>
        </w:rPr>
        <w:t>备注：1.本表反映单位本年度各项支出情况。</w:t>
      </w:r>
      <w:r>
        <w:br w:type="textWrapping"/>
      </w:r>
      <w:r>
        <w:rPr>
          <w:rFonts w:hint="eastAsia" w:ascii="宋体" w:hAnsi="宋体" w:eastAsia="宋体" w:cs="宋体"/>
          <w:sz w:val="20"/>
          <w:szCs w:val="20"/>
        </w:rPr>
        <w:t>      2.本套报表金额单位转换时可能存在尾数误差。</w:t>
      </w:r>
    </w:p>
    <w:p>
      <w:pPr>
        <w:keepNext w:val="0"/>
        <w:keepLines w:val="0"/>
        <w:widowControl/>
        <w:suppressLineNumbers w:val="0"/>
        <w:spacing w:after="240" w:afterAutospacing="0"/>
        <w:jc w:val="left"/>
      </w:pPr>
    </w:p>
    <w:tbl>
      <w:tblPr>
        <w:tblW w:w="47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08"/>
        <w:gridCol w:w="824"/>
        <w:gridCol w:w="1723"/>
        <w:gridCol w:w="918"/>
        <w:gridCol w:w="918"/>
        <w:gridCol w:w="918"/>
        <w:gridCol w:w="1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0" w:type="auto"/>
            <w:gridSpan w:val="7"/>
            <w:shd w:val="clear"/>
            <w:tcMar>
              <w:bottom w:w="0" w:type="dxa"/>
            </w:tcMar>
            <w:vAlign w:val="bottom"/>
          </w:tcPr>
          <w:p>
            <w:pPr>
              <w:pStyle w:val="9"/>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b/>
                <w:bCs/>
                <w:color w:val="000000"/>
                <w:sz w:val="32"/>
                <w:szCs w:val="32"/>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0" w:type="auto"/>
            <w:gridSpan w:val="3"/>
            <w:vMerge w:val="restar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sz w:val="20"/>
                <w:szCs w:val="20"/>
              </w:rPr>
              <w:t>单位</w:t>
            </w:r>
            <w:r>
              <w:rPr>
                <w:rFonts w:hint="eastAsia" w:ascii="宋体" w:hAnsi="宋体" w:eastAsia="宋体" w:cs="宋体"/>
                <w:color w:val="000000"/>
                <w:sz w:val="20"/>
                <w:szCs w:val="20"/>
              </w:rPr>
              <w:t>：重庆市渝中区退役军人事务局（本级）</w:t>
            </w:r>
          </w:p>
        </w:tc>
        <w:tc>
          <w:tcPr>
            <w:tcW w:w="577" w:type="pct"/>
            <w:shd w:val="clear"/>
            <w:tcMar>
              <w:bottom w:w="0" w:type="dxa"/>
            </w:tcMar>
            <w:vAlign w:val="bottom"/>
          </w:tcPr>
          <w:p>
            <w:pPr>
              <w:rPr>
                <w:rFonts w:hint="eastAsia" w:ascii="宋体"/>
                <w:sz w:val="24"/>
                <w:szCs w:val="24"/>
              </w:rPr>
            </w:pPr>
          </w:p>
        </w:tc>
        <w:tc>
          <w:tcPr>
            <w:tcW w:w="577" w:type="pct"/>
            <w:shd w:val="clear"/>
            <w:tcMar>
              <w:bottom w:w="0" w:type="dxa"/>
            </w:tcMar>
            <w:vAlign w:val="bottom"/>
          </w:tcPr>
          <w:p>
            <w:pPr>
              <w:rPr>
                <w:rFonts w:hint="eastAsia" w:ascii="宋体"/>
                <w:sz w:val="24"/>
                <w:szCs w:val="24"/>
              </w:rPr>
            </w:pPr>
          </w:p>
        </w:tc>
        <w:tc>
          <w:tcPr>
            <w:tcW w:w="577" w:type="pct"/>
            <w:shd w:val="clear"/>
            <w:tcMar>
              <w:bottom w:w="0" w:type="dxa"/>
            </w:tcMar>
            <w:vAlign w:val="bottom"/>
          </w:tcPr>
          <w:p>
            <w:pPr>
              <w:rPr>
                <w:rFonts w:hint="eastAsia" w:ascii="宋体"/>
                <w:sz w:val="24"/>
                <w:szCs w:val="24"/>
              </w:rPr>
            </w:pPr>
          </w:p>
        </w:tc>
        <w:tc>
          <w:tcPr>
            <w:tcW w:w="657" w:type="pct"/>
            <w:shd w:val="clear"/>
            <w:tcMar>
              <w:bottom w:w="0" w:type="dxa"/>
            </w:tcMar>
            <w:vAlign w:val="bottom"/>
          </w:tcPr>
          <w:p>
            <w:pPr>
              <w:pStyle w:val="9"/>
              <w:keepNext w:val="0"/>
              <w:keepLines w:val="0"/>
              <w:widowControl/>
              <w:suppressLineNumbers w:val="0"/>
              <w:spacing w:before="0" w:beforeAutospacing="1" w:after="0" w:afterAutospacing="1" w:line="260" w:lineRule="atLeast"/>
              <w:ind w:left="0" w:right="0"/>
              <w:jc w:val="right"/>
            </w:pPr>
            <w:r>
              <w:rPr>
                <w:rFonts w:hint="eastAsia" w:ascii="宋体" w:hAnsi="宋体" w:eastAsia="宋体" w:cs="宋体"/>
                <w:color w:val="000000"/>
                <w:sz w:val="20"/>
                <w:szCs w:val="20"/>
              </w:rPr>
              <w:t>公开</w:t>
            </w:r>
            <w:r>
              <w:rPr>
                <w:rFonts w:hint="default" w:ascii="Times New Roman" w:hAnsi="Times New Roman" w:cs="Times New Roman"/>
                <w:color w:val="000000"/>
                <w:sz w:val="20"/>
                <w:szCs w:val="20"/>
              </w:rPr>
              <w:t>04</w:t>
            </w:r>
            <w:r>
              <w:rPr>
                <w:rFonts w:hint="eastAsia" w:ascii="宋体" w:hAnsi="宋体" w:eastAsia="宋体"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0" w:type="auto"/>
            <w:gridSpan w:val="3"/>
            <w:vMerge w:val="continue"/>
            <w:shd w:val="clear"/>
            <w:tcMar>
              <w:bottom w:w="0" w:type="dxa"/>
            </w:tcMar>
            <w:vAlign w:val="bottom"/>
          </w:tcPr>
          <w:p>
            <w:pPr>
              <w:rPr>
                <w:rFonts w:hint="eastAsia" w:ascii="宋体"/>
                <w:sz w:val="24"/>
                <w:szCs w:val="24"/>
              </w:rPr>
            </w:pPr>
          </w:p>
        </w:tc>
        <w:tc>
          <w:tcPr>
            <w:tcW w:w="577" w:type="pct"/>
            <w:shd w:val="clear"/>
            <w:tcMar>
              <w:bottom w:w="0" w:type="dxa"/>
            </w:tcMar>
            <w:vAlign w:val="bottom"/>
          </w:tcPr>
          <w:p>
            <w:pPr>
              <w:rPr>
                <w:rFonts w:hint="eastAsia" w:ascii="宋体"/>
                <w:sz w:val="24"/>
                <w:szCs w:val="24"/>
              </w:rPr>
            </w:pPr>
          </w:p>
        </w:tc>
        <w:tc>
          <w:tcPr>
            <w:tcW w:w="577" w:type="pct"/>
            <w:shd w:val="clear"/>
            <w:tcMar>
              <w:bottom w:w="0" w:type="dxa"/>
            </w:tcMar>
            <w:vAlign w:val="bottom"/>
          </w:tcPr>
          <w:p>
            <w:pPr>
              <w:rPr>
                <w:rFonts w:hint="eastAsia" w:ascii="宋体"/>
                <w:sz w:val="24"/>
                <w:szCs w:val="24"/>
              </w:rPr>
            </w:pPr>
          </w:p>
        </w:tc>
        <w:tc>
          <w:tcPr>
            <w:tcW w:w="577" w:type="pct"/>
            <w:shd w:val="clear"/>
            <w:tcMar>
              <w:bottom w:w="0" w:type="dxa"/>
            </w:tcMar>
            <w:vAlign w:val="bottom"/>
          </w:tcPr>
          <w:p>
            <w:pPr>
              <w:rPr>
                <w:rFonts w:hint="eastAsia" w:ascii="宋体"/>
                <w:sz w:val="24"/>
                <w:szCs w:val="24"/>
              </w:rPr>
            </w:pPr>
          </w:p>
        </w:tc>
        <w:tc>
          <w:tcPr>
            <w:tcW w:w="657" w:type="pct"/>
            <w:shd w:val="clear"/>
            <w:tcMar>
              <w:bottom w:w="0" w:type="dxa"/>
            </w:tcMar>
            <w:vAlign w:val="bottom"/>
          </w:tcPr>
          <w:p>
            <w:pPr>
              <w:pStyle w:val="9"/>
              <w:keepNext w:val="0"/>
              <w:keepLines w:val="0"/>
              <w:widowControl/>
              <w:suppressLineNumbers w:val="0"/>
              <w:spacing w:before="0" w:beforeAutospacing="1" w:after="0" w:afterAutospacing="1" w:line="260" w:lineRule="atLeast"/>
              <w:ind w:left="0" w:right="0"/>
              <w:jc w:val="right"/>
            </w:pPr>
            <w:r>
              <w:rPr>
                <w:rFonts w:hint="eastAsia" w:ascii="宋体" w:hAnsi="宋体" w:eastAsia="宋体" w:cs="宋体"/>
                <w:color w:val="000000"/>
                <w:sz w:val="20"/>
                <w:szCs w:val="20"/>
              </w:rPr>
              <w:t>单位：</w:t>
            </w:r>
            <w:r>
              <w:rPr>
                <w:rFonts w:hint="eastAsia" w:ascii="宋体" w:hAnsi="宋体" w:eastAsia="宋体"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收     入</w:t>
            </w:r>
          </w:p>
        </w:tc>
        <w:tc>
          <w:tcPr>
            <w:tcW w:w="0" w:type="auto"/>
            <w:gridSpan w:val="5"/>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vMerge w:val="restar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项目</w:t>
            </w:r>
          </w:p>
        </w:tc>
        <w:tc>
          <w:tcPr>
            <w:tcW w:w="518" w:type="pct"/>
            <w:vMerge w:val="restar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决算数</w:t>
            </w:r>
          </w:p>
        </w:tc>
        <w:tc>
          <w:tcPr>
            <w:tcW w:w="1083"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功能分类科目</w:t>
            </w:r>
          </w:p>
        </w:tc>
        <w:tc>
          <w:tcPr>
            <w:tcW w:w="0" w:type="auto"/>
            <w:gridSpan w:val="4"/>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小计</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一般公共预算财政拨款</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政府性基金预算财政拨款</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一、一般公共预算财政拨款</w:t>
            </w: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7,254.65 </w:t>
            </w: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一、一般公共服务支出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4.71 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4.71 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二、政府性基金预算财政拨款</w:t>
            </w: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二、外交支出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三、国有资本经营预算财政拨款</w:t>
            </w: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三、国防支出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四、公共安全支出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五、教育支出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六、科学技术支出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七、文化旅游体育与传媒支出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八、社会保障和就业支出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7,101.08 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7,101.08 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九、卫生健康支出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116.38 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116.38 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十、节能环保支出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十一、城乡社区支出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十二、农林水支出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十三、交通运输支出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十四、资源勘探工业信息等支出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十五、商业服务业等支出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十六、金融支出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十七、援助其他地区支出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十八、自然资源海洋气象等支出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十九、住房保障支出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13.90 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13.90 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二十、粮油物资储备支出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二十一、国有资本经营预算支出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二十二、灾害防治及应急管理支出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20.00 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20.00 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二十三、其他支出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二十四、债务还本支出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二十五、债务付息支出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二十六、抗疫特别国债安排的支出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本年收入合计</w:t>
            </w: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7,254.65 </w:t>
            </w: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本年支出合计</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7,256.06 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7,256.06 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年初财政拨款结转和结余</w:t>
            </w: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2.51 </w:t>
            </w: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年末财政拨款结转和结余</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1.09 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1.09 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  一般公共预算财政拨款</w:t>
            </w: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2.51 </w:t>
            </w: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  政府性基金预算财政拨款</w:t>
            </w: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  国有资本经营预算财政拨款</w:t>
            </w: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总计</w:t>
            </w: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7,257.15 </w:t>
            </w: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总计</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7,257.15 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7,257.15 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bl>
    <w:p>
      <w:pPr>
        <w:pStyle w:val="9"/>
        <w:keepNext w:val="0"/>
        <w:keepLines w:val="0"/>
        <w:widowControl/>
        <w:suppressLineNumbers w:val="0"/>
        <w:spacing w:before="0" w:beforeAutospacing="1" w:after="240" w:afterAutospacing="0" w:line="240" w:lineRule="atLeast"/>
        <w:ind w:left="0" w:right="0"/>
      </w:pPr>
      <w:r>
        <w:rPr>
          <w:rFonts w:hint="eastAsia" w:ascii="宋体" w:hAnsi="宋体" w:eastAsia="宋体" w:cs="宋体"/>
          <w:sz w:val="20"/>
          <w:szCs w:val="20"/>
        </w:rPr>
        <w:t>备注：1.本表反映单位本年度一般公共预算财政拨款、政府性基金预算财政拨款及国有资本经营预算财政拨款的总收支和年末结转结余情况。</w:t>
      </w:r>
      <w:r>
        <w:br w:type="textWrapping"/>
      </w:r>
      <w:r>
        <w:rPr>
          <w:rFonts w:hint="eastAsia" w:ascii="宋体" w:hAnsi="宋体" w:eastAsia="宋体" w:cs="宋体"/>
          <w:sz w:val="20"/>
          <w:szCs w:val="20"/>
        </w:rPr>
        <w:t>      2.本套报表金额单位转换时可能存在尾数误差。</w:t>
      </w:r>
    </w:p>
    <w:p>
      <w:pPr>
        <w:keepNext w:val="0"/>
        <w:keepLines w:val="0"/>
        <w:widowControl/>
        <w:suppressLineNumbers w:val="0"/>
        <w:jc w:val="left"/>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07"/>
        <w:gridCol w:w="2207"/>
        <w:gridCol w:w="1790"/>
        <w:gridCol w:w="1787"/>
        <w:gridCol w:w="1762"/>
        <w:gridCol w:w="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trPr>
        <w:tc>
          <w:tcPr>
            <w:tcW w:w="0" w:type="auto"/>
            <w:gridSpan w:val="5"/>
            <w:shd w:val="clear"/>
            <w:tcMar>
              <w:bottom w:w="0" w:type="dxa"/>
            </w:tcMar>
            <w:vAlign w:val="bottom"/>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32"/>
                <w:szCs w:val="32"/>
              </w:rPr>
              <w:t>一般公共预算财政拨款支出决算表</w:t>
            </w:r>
          </w:p>
        </w:tc>
        <w:tc>
          <w:tcPr>
            <w:tcW w:w="0" w:type="auto"/>
            <w:shd w:val="clear"/>
            <w:tcMar>
              <w:bottom w:w="0" w:type="dxa"/>
            </w:tcMar>
            <w:vAlign w:val="bottom"/>
          </w:tcPr>
          <w:p>
            <w:pPr>
              <w:keepNext w:val="0"/>
              <w:keepLines w:val="0"/>
              <w:widowControl/>
              <w:suppressLineNumbers w:val="0"/>
              <w:jc w:val="left"/>
              <w:textAlignment w:val="bottom"/>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 w:hRule="atLeast"/>
        </w:trPr>
        <w:tc>
          <w:tcPr>
            <w:tcW w:w="0" w:type="auto"/>
            <w:gridSpan w:val="3"/>
            <w:vMerge w:val="restar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sz w:val="20"/>
                <w:szCs w:val="20"/>
              </w:rPr>
              <w:t>单位</w:t>
            </w:r>
            <w:r>
              <w:rPr>
                <w:rFonts w:hint="eastAsia" w:ascii="宋体" w:hAnsi="宋体" w:eastAsia="宋体" w:cs="宋体"/>
                <w:color w:val="000000"/>
                <w:sz w:val="20"/>
                <w:szCs w:val="20"/>
              </w:rPr>
              <w:t>：重庆市渝中区退役军人事务局（本级）</w:t>
            </w:r>
          </w:p>
        </w:tc>
        <w:tc>
          <w:tcPr>
            <w:tcW w:w="1076" w:type="pct"/>
            <w:shd w:val="clear"/>
            <w:tcMar>
              <w:bottom w:w="0" w:type="dxa"/>
            </w:tcMar>
            <w:vAlign w:val="bottom"/>
          </w:tcPr>
          <w:p>
            <w:pPr>
              <w:rPr>
                <w:rFonts w:hint="eastAsia" w:ascii="宋体"/>
                <w:sz w:val="24"/>
                <w:szCs w:val="24"/>
              </w:rPr>
            </w:pPr>
          </w:p>
        </w:tc>
        <w:tc>
          <w:tcPr>
            <w:tcW w:w="1088"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公开</w:t>
            </w:r>
            <w:r>
              <w:rPr>
                <w:rFonts w:hint="default" w:ascii="Times New Roman" w:hAnsi="Times New Roman" w:cs="Times New Roman"/>
                <w:color w:val="000000"/>
                <w:sz w:val="20"/>
                <w:szCs w:val="20"/>
              </w:rPr>
              <w:t>05</w:t>
            </w:r>
            <w:r>
              <w:rPr>
                <w:rFonts w:hint="eastAsia" w:ascii="宋体" w:hAnsi="宋体" w:eastAsia="宋体" w:cs="宋体"/>
                <w:color w:val="000000"/>
                <w:sz w:val="20"/>
                <w:szCs w:val="20"/>
              </w:rPr>
              <w:t>表</w:t>
            </w:r>
          </w:p>
        </w:tc>
        <w:tc>
          <w:tcPr>
            <w:tcW w:w="1088" w:type="pct"/>
            <w:shd w:val="clear"/>
            <w:tcMar>
              <w:bottom w:w="0" w:type="dxa"/>
            </w:tcMar>
            <w:vAlign w:val="bottom"/>
          </w:tcPr>
          <w:p>
            <w:pPr>
              <w:keepNext w:val="0"/>
              <w:keepLines w:val="0"/>
              <w:widowControl/>
              <w:suppressLineNumbers w:val="0"/>
              <w:jc w:val="left"/>
              <w:textAlignment w:val="bottom"/>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0" w:type="auto"/>
            <w:gridSpan w:val="3"/>
            <w:vMerge w:val="continue"/>
            <w:shd w:val="clear"/>
            <w:tcMar>
              <w:bottom w:w="0" w:type="dxa"/>
            </w:tcMar>
            <w:vAlign w:val="bottom"/>
          </w:tcPr>
          <w:p>
            <w:pPr>
              <w:rPr>
                <w:rFonts w:hint="eastAsia" w:ascii="宋体"/>
                <w:sz w:val="24"/>
                <w:szCs w:val="24"/>
              </w:rPr>
            </w:pPr>
          </w:p>
        </w:tc>
        <w:tc>
          <w:tcPr>
            <w:tcW w:w="1076" w:type="pct"/>
            <w:shd w:val="clear"/>
            <w:tcMar>
              <w:bottom w:w="0" w:type="dxa"/>
            </w:tcMar>
            <w:vAlign w:val="bottom"/>
          </w:tcPr>
          <w:p>
            <w:pPr>
              <w:rPr>
                <w:rFonts w:hint="eastAsia" w:ascii="宋体"/>
                <w:sz w:val="24"/>
                <w:szCs w:val="24"/>
              </w:rPr>
            </w:pPr>
          </w:p>
        </w:tc>
        <w:tc>
          <w:tcPr>
            <w:tcW w:w="1088"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单位：</w:t>
            </w:r>
            <w:r>
              <w:rPr>
                <w:rFonts w:hint="eastAsia" w:ascii="宋体" w:hAnsi="宋体" w:eastAsia="宋体" w:cs="宋体"/>
                <w:sz w:val="20"/>
                <w:szCs w:val="20"/>
              </w:rPr>
              <w:t>万元</w:t>
            </w:r>
          </w:p>
        </w:tc>
        <w:tc>
          <w:tcPr>
            <w:tcW w:w="1088" w:type="pct"/>
            <w:shd w:val="clear"/>
            <w:tcMar>
              <w:bottom w:w="0" w:type="dxa"/>
            </w:tcMar>
            <w:vAlign w:val="bottom"/>
          </w:tcPr>
          <w:p>
            <w:pPr>
              <w:keepNext w:val="0"/>
              <w:keepLines w:val="0"/>
              <w:widowControl/>
              <w:suppressLineNumbers w:val="0"/>
              <w:jc w:val="left"/>
              <w:textAlignment w:val="bottom"/>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项目</w:t>
            </w:r>
          </w:p>
        </w:tc>
        <w:tc>
          <w:tcPr>
            <w:tcW w:w="0" w:type="auto"/>
            <w:gridSpan w:val="3"/>
            <w:tcBorders>
              <w:top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本年支出</w:t>
            </w:r>
          </w:p>
        </w:tc>
        <w:tc>
          <w:tcPr>
            <w:tcW w:w="0" w:type="auto"/>
            <w:tcBorders>
              <w:top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 w:hRule="atLeast"/>
        </w:trPr>
        <w:tc>
          <w:tcPr>
            <w:tcW w:w="426" w:type="pct"/>
            <w:vMerge w:val="restar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功能分类科目编码</w:t>
            </w:r>
          </w:p>
        </w:tc>
        <w:tc>
          <w:tcPr>
            <w:tcW w:w="1329"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项目（按“项”级功能分类科目）</w:t>
            </w:r>
          </w:p>
        </w:tc>
        <w:tc>
          <w:tcPr>
            <w:tcW w:w="1078"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合计</w:t>
            </w:r>
          </w:p>
        </w:tc>
        <w:tc>
          <w:tcPr>
            <w:tcW w:w="1076"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基本支出</w:t>
            </w:r>
          </w:p>
        </w:tc>
        <w:tc>
          <w:tcPr>
            <w:tcW w:w="1088"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项目支出</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 w:hRule="atLeast"/>
        </w:trPr>
        <w:tc>
          <w:tcPr>
            <w:tcW w:w="426"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29"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78"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76"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8"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426"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29"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78"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76"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8"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0" w:type="auto"/>
            <w:gridSpan w:val="2"/>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合计</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7,256.06 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212.58 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7,043.48 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201</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一般公共服务支出</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4.71 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4.71 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20132</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组织事务</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4.71 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4.71 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2013202</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一般行政管理事务</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4.71 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4.71 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社会保障和就业支出</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7,101.08 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188.24 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6,912.84 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20805</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行政事业单位养老支出</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40.08 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40.08 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2080501</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行政单位离退休</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16.15 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16.15 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2080505</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机关事业单位基本养老保险缴费支出</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15.85 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15.85 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2080506</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机关事业单位职业年金缴费支出</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8.09 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8.09 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20808</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抚恤</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3,907.89 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3,907.89 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2080801</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死亡抚恤</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1,778.72 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1,778.72 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2080802</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伤残抚恤</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1,935.61 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1,935.61 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2080805</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义务兵优待</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5.50 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5.50 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2080808</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褒扬纪念</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95.76 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95.76 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2080899</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其他优抚支出</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92.30 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92.30 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20809</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退役安置</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2,366.47 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2,366.47 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2080901</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退役士兵安置</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421.56 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421.56 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2080902</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军队移交政府的离退休人员安置</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791.51 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791.51 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2080903</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军队移交政府离退休干部管理机构</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53.12 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53.12 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2080905</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军队转业干部安置</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1,091.74 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1,091.74 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2080999</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其他退役安置支出</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8.54 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8.54 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20811</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残疾人事业</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357.74 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357.74 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2081199</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其他残疾人事业支出</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357.74 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357.74 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20828</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退役军人管理事务</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428.89 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148.16 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280.73 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2082801</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行政运行</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148.16 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148.16 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2082804</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拥军优属</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218.28 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218.28 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2082899</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其他退役军人事务管理支出</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62.46 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62.46 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210</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卫生健康支出</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116.38 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10.43 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105.94 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21011</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行政事业单位医疗</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10.43 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10.43 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2101101</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行政单位医疗</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10.43 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10.43 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21014</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优抚对象医疗</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105.94 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105.94 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2101401</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优抚对象医疗补助</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105.94 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105.94 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221</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住房保障支出</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13.90 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13.90 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22102</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住房改革支出</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13.90 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13.90 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2210201</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住房公积金</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12.10 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12.10 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2210203</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购房补贴</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1.80 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1.80 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224</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灾害防治及应急管理支出</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20.00 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22401</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应急管理事务</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20.00 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2240106</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安全监管</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20.00 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bl>
    <w:p>
      <w:pPr>
        <w:pStyle w:val="9"/>
        <w:keepNext w:val="0"/>
        <w:keepLines w:val="0"/>
        <w:widowControl/>
        <w:suppressLineNumbers w:val="0"/>
        <w:spacing w:before="0" w:beforeAutospacing="1" w:after="0" w:afterAutospacing="1"/>
        <w:ind w:left="0" w:right="0"/>
      </w:pPr>
      <w:r>
        <w:rPr>
          <w:rFonts w:hint="eastAsia" w:ascii="宋体" w:hAnsi="宋体" w:eastAsia="宋体" w:cs="宋体"/>
          <w:sz w:val="20"/>
          <w:szCs w:val="20"/>
        </w:rPr>
        <w:t>备注：1.本表反映单位本年度一般公共预算财政拨款支出情况。</w:t>
      </w:r>
      <w:r>
        <w:br w:type="textWrapping"/>
      </w:r>
      <w:r>
        <w:rPr>
          <w:rFonts w:hint="eastAsia" w:ascii="宋体" w:hAnsi="宋体" w:eastAsia="宋体" w:cs="宋体"/>
          <w:sz w:val="20"/>
          <w:szCs w:val="20"/>
        </w:rPr>
        <w:t>      2.本套报表金额单位转换时可能存在尾数误差。</w:t>
      </w:r>
    </w:p>
    <w:p>
      <w:pPr>
        <w:keepNext w:val="0"/>
        <w:keepLines w:val="0"/>
        <w:widowControl/>
        <w:suppressLineNumbers w:val="0"/>
        <w:spacing w:after="240" w:afterAutospacing="0"/>
        <w:jc w:val="left"/>
      </w:pPr>
    </w:p>
    <w:tbl>
      <w:tblPr>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34"/>
        <w:gridCol w:w="1521"/>
        <w:gridCol w:w="834"/>
        <w:gridCol w:w="472"/>
        <w:gridCol w:w="1100"/>
        <w:gridCol w:w="768"/>
        <w:gridCol w:w="472"/>
        <w:gridCol w:w="1876"/>
        <w:gridCol w:w="764"/>
        <w:gridCol w:w="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 w:hRule="atLeast"/>
        </w:trPr>
        <w:tc>
          <w:tcPr>
            <w:tcW w:w="0" w:type="auto"/>
            <w:gridSpan w:val="9"/>
            <w:shd w:val="clear"/>
            <w:tcMar>
              <w:bottom w:w="0" w:type="dxa"/>
            </w:tcMar>
            <w:vAlign w:val="bottom"/>
          </w:tcPr>
          <w:p>
            <w:pPr>
              <w:pStyle w:val="9"/>
              <w:keepNext w:val="0"/>
              <w:keepLines w:val="0"/>
              <w:widowControl/>
              <w:suppressLineNumbers w:val="0"/>
              <w:spacing w:before="0" w:beforeAutospacing="1" w:after="0" w:afterAutospacing="1" w:line="440" w:lineRule="atLeast"/>
              <w:ind w:left="0" w:right="0"/>
              <w:jc w:val="center"/>
            </w:pPr>
            <w:r>
              <w:rPr>
                <w:rFonts w:hint="eastAsia" w:ascii="宋体" w:hAnsi="宋体" w:eastAsia="宋体" w:cs="宋体"/>
                <w:b/>
                <w:bCs/>
                <w:color w:val="000000"/>
                <w:sz w:val="32"/>
                <w:szCs w:val="32"/>
              </w:rPr>
              <w:t>一般公共预算财政拨款基本支出决算表</w:t>
            </w:r>
          </w:p>
        </w:tc>
        <w:tc>
          <w:tcPr>
            <w:tcW w:w="0" w:type="auto"/>
            <w:shd w:val="clear"/>
            <w:tcMar>
              <w:bottom w:w="0" w:type="dxa"/>
            </w:tcMar>
            <w:vAlign w:val="bottom"/>
          </w:tcPr>
          <w:p>
            <w:pPr>
              <w:keepNext w:val="0"/>
              <w:keepLines w:val="0"/>
              <w:widowControl/>
              <w:suppressLineNumbers w:val="0"/>
              <w:jc w:val="left"/>
              <w:textAlignment w:val="bottom"/>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 w:hRule="atLeast"/>
        </w:trPr>
        <w:tc>
          <w:tcPr>
            <w:tcW w:w="0" w:type="auto"/>
            <w:gridSpan w:val="5"/>
            <w:vMerge w:val="restar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sz w:val="20"/>
                <w:szCs w:val="20"/>
              </w:rPr>
              <w:t>单位</w:t>
            </w:r>
            <w:r>
              <w:rPr>
                <w:rFonts w:hint="eastAsia" w:ascii="宋体" w:hAnsi="宋体" w:eastAsia="宋体" w:cs="宋体"/>
                <w:color w:val="000000"/>
                <w:sz w:val="20"/>
                <w:szCs w:val="20"/>
              </w:rPr>
              <w:t>：重庆市渝中区退役军人事务局（本级）</w:t>
            </w:r>
          </w:p>
        </w:tc>
        <w:tc>
          <w:tcPr>
            <w:tcW w:w="463" w:type="pct"/>
            <w:shd w:val="clear"/>
            <w:tcMar>
              <w:bottom w:w="0" w:type="dxa"/>
            </w:tcMar>
            <w:vAlign w:val="bottom"/>
          </w:tcPr>
          <w:p>
            <w:pPr>
              <w:rPr>
                <w:rFonts w:hint="eastAsia" w:ascii="宋体"/>
                <w:sz w:val="24"/>
                <w:szCs w:val="24"/>
              </w:rPr>
            </w:pPr>
          </w:p>
        </w:tc>
        <w:tc>
          <w:tcPr>
            <w:tcW w:w="285" w:type="pct"/>
            <w:shd w:val="clear"/>
            <w:tcMar>
              <w:bottom w:w="0" w:type="dxa"/>
            </w:tcMar>
            <w:vAlign w:val="bottom"/>
          </w:tcPr>
          <w:p>
            <w:pPr>
              <w:rPr>
                <w:rFonts w:hint="eastAsia" w:ascii="宋体"/>
                <w:sz w:val="24"/>
                <w:szCs w:val="24"/>
              </w:rPr>
            </w:pPr>
          </w:p>
        </w:tc>
        <w:tc>
          <w:tcPr>
            <w:tcW w:w="1131" w:type="pct"/>
            <w:shd w:val="clear"/>
            <w:tcMar>
              <w:bottom w:w="0" w:type="dxa"/>
            </w:tcMar>
            <w:vAlign w:val="bottom"/>
          </w:tcPr>
          <w:p>
            <w:pPr>
              <w:rPr>
                <w:rFonts w:hint="eastAsia" w:ascii="宋体"/>
                <w:sz w:val="24"/>
                <w:szCs w:val="24"/>
              </w:rPr>
            </w:pPr>
          </w:p>
        </w:tc>
        <w:tc>
          <w:tcPr>
            <w:tcW w:w="487"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公开</w:t>
            </w:r>
            <w:r>
              <w:rPr>
                <w:rFonts w:hint="default" w:ascii="Times New Roman" w:hAnsi="Times New Roman" w:cs="Times New Roman"/>
                <w:color w:val="000000"/>
                <w:sz w:val="20"/>
                <w:szCs w:val="20"/>
              </w:rPr>
              <w:t>06</w:t>
            </w:r>
            <w:r>
              <w:rPr>
                <w:rFonts w:hint="eastAsia" w:ascii="宋体" w:hAnsi="宋体" w:eastAsia="宋体" w:cs="宋体"/>
                <w:color w:val="000000"/>
                <w:sz w:val="20"/>
                <w:szCs w:val="20"/>
              </w:rPr>
              <w:t>表</w:t>
            </w:r>
          </w:p>
        </w:tc>
        <w:tc>
          <w:tcPr>
            <w:tcW w:w="487" w:type="pct"/>
            <w:shd w:val="clear"/>
            <w:tcMar>
              <w:bottom w:w="0" w:type="dxa"/>
            </w:tcMar>
            <w:vAlign w:val="bottom"/>
          </w:tcPr>
          <w:p>
            <w:pPr>
              <w:keepNext w:val="0"/>
              <w:keepLines w:val="0"/>
              <w:widowControl/>
              <w:suppressLineNumbers w:val="0"/>
              <w:jc w:val="left"/>
              <w:textAlignment w:val="bottom"/>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trPr>
        <w:tc>
          <w:tcPr>
            <w:tcW w:w="0" w:type="auto"/>
            <w:gridSpan w:val="5"/>
            <w:vMerge w:val="continue"/>
            <w:shd w:val="clear"/>
            <w:tcMar>
              <w:bottom w:w="0" w:type="dxa"/>
            </w:tcMar>
            <w:vAlign w:val="bottom"/>
          </w:tcPr>
          <w:p>
            <w:pPr>
              <w:rPr>
                <w:rFonts w:hint="eastAsia" w:ascii="宋体"/>
                <w:sz w:val="24"/>
                <w:szCs w:val="24"/>
              </w:rPr>
            </w:pPr>
          </w:p>
        </w:tc>
        <w:tc>
          <w:tcPr>
            <w:tcW w:w="463" w:type="pct"/>
            <w:shd w:val="clear"/>
            <w:tcMar>
              <w:bottom w:w="0" w:type="dxa"/>
            </w:tcMar>
            <w:vAlign w:val="bottom"/>
          </w:tcPr>
          <w:p>
            <w:pPr>
              <w:rPr>
                <w:rFonts w:hint="eastAsia" w:ascii="宋体"/>
                <w:sz w:val="24"/>
                <w:szCs w:val="24"/>
              </w:rPr>
            </w:pPr>
          </w:p>
        </w:tc>
        <w:tc>
          <w:tcPr>
            <w:tcW w:w="285" w:type="pct"/>
            <w:shd w:val="clear"/>
            <w:tcMar>
              <w:bottom w:w="0" w:type="dxa"/>
            </w:tcMar>
            <w:vAlign w:val="bottom"/>
          </w:tcPr>
          <w:p>
            <w:pPr>
              <w:rPr>
                <w:rFonts w:hint="eastAsia" w:ascii="宋体"/>
                <w:sz w:val="24"/>
                <w:szCs w:val="24"/>
              </w:rPr>
            </w:pPr>
          </w:p>
        </w:tc>
        <w:tc>
          <w:tcPr>
            <w:tcW w:w="1131" w:type="pct"/>
            <w:shd w:val="clear"/>
            <w:tcMar>
              <w:bottom w:w="0" w:type="dxa"/>
            </w:tcMar>
            <w:vAlign w:val="bottom"/>
          </w:tcPr>
          <w:p>
            <w:pPr>
              <w:rPr>
                <w:rFonts w:hint="eastAsia" w:ascii="宋体"/>
                <w:sz w:val="24"/>
                <w:szCs w:val="24"/>
              </w:rPr>
            </w:pPr>
          </w:p>
        </w:tc>
        <w:tc>
          <w:tcPr>
            <w:tcW w:w="487"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单位：</w:t>
            </w:r>
            <w:r>
              <w:rPr>
                <w:rFonts w:hint="eastAsia" w:ascii="宋体" w:hAnsi="宋体" w:eastAsia="宋体" w:cs="宋体"/>
                <w:sz w:val="20"/>
                <w:szCs w:val="20"/>
              </w:rPr>
              <w:t>万元</w:t>
            </w:r>
          </w:p>
        </w:tc>
        <w:tc>
          <w:tcPr>
            <w:tcW w:w="487" w:type="pct"/>
            <w:shd w:val="clear"/>
            <w:tcMar>
              <w:bottom w:w="0" w:type="dxa"/>
            </w:tcMar>
            <w:vAlign w:val="bottom"/>
          </w:tcPr>
          <w:p>
            <w:pPr>
              <w:keepNext w:val="0"/>
              <w:keepLines w:val="0"/>
              <w:widowControl/>
              <w:suppressLineNumbers w:val="0"/>
              <w:jc w:val="left"/>
              <w:textAlignment w:val="bottom"/>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0" w:type="auto"/>
            <w:gridSpan w:val="3"/>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center"/>
            </w:pPr>
            <w:r>
              <w:rPr>
                <w:rFonts w:hint="eastAsia" w:ascii="宋体" w:hAnsi="宋体" w:eastAsia="宋体" w:cs="宋体"/>
                <w:b/>
                <w:bCs/>
                <w:color w:val="000000"/>
                <w:sz w:val="18"/>
                <w:szCs w:val="18"/>
              </w:rPr>
              <w:t>人员经费</w:t>
            </w:r>
          </w:p>
        </w:tc>
        <w:tc>
          <w:tcPr>
            <w:tcW w:w="0" w:type="auto"/>
            <w:gridSpan w:val="6"/>
            <w:tcBorders>
              <w:top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center"/>
            </w:pPr>
            <w:r>
              <w:rPr>
                <w:rFonts w:hint="eastAsia" w:ascii="宋体" w:hAnsi="宋体" w:eastAsia="宋体" w:cs="宋体"/>
                <w:b/>
                <w:bCs/>
                <w:color w:val="000000"/>
                <w:sz w:val="18"/>
                <w:szCs w:val="18"/>
              </w:rPr>
              <w:t>公用经费</w:t>
            </w:r>
          </w:p>
        </w:tc>
        <w:tc>
          <w:tcPr>
            <w:tcW w:w="0" w:type="auto"/>
            <w:tcBorders>
              <w:top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 w:hRule="atLeast"/>
        </w:trPr>
        <w:tc>
          <w:tcPr>
            <w:tcW w:w="262" w:type="pct"/>
            <w:vMerge w:val="restar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center"/>
            </w:pPr>
            <w:r>
              <w:rPr>
                <w:rFonts w:hint="eastAsia" w:ascii="宋体" w:hAnsi="宋体" w:eastAsia="宋体" w:cs="宋体"/>
                <w:b/>
                <w:bCs/>
                <w:color w:val="000000"/>
                <w:sz w:val="18"/>
                <w:szCs w:val="18"/>
              </w:rPr>
              <w:t>经济分类科目编码</w:t>
            </w:r>
          </w:p>
        </w:tc>
        <w:tc>
          <w:tcPr>
            <w:tcW w:w="917"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center"/>
            </w:pPr>
            <w:r>
              <w:rPr>
                <w:rFonts w:hint="eastAsia" w:ascii="宋体" w:hAnsi="宋体" w:eastAsia="宋体" w:cs="宋体"/>
                <w:b/>
                <w:bCs/>
                <w:color w:val="000000"/>
                <w:sz w:val="18"/>
                <w:szCs w:val="18"/>
              </w:rPr>
              <w:t>经济分类科目（按“款”级功能分类科目）</w:t>
            </w:r>
          </w:p>
        </w:tc>
        <w:tc>
          <w:tcPr>
            <w:tcW w:w="503"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center"/>
            </w:pPr>
            <w:r>
              <w:rPr>
                <w:rFonts w:hint="eastAsia" w:ascii="宋体" w:hAnsi="宋体" w:eastAsia="宋体" w:cs="宋体"/>
                <w:b/>
                <w:bCs/>
                <w:color w:val="000000"/>
                <w:sz w:val="18"/>
                <w:szCs w:val="18"/>
              </w:rPr>
              <w:t>金额</w:t>
            </w:r>
          </w:p>
        </w:tc>
        <w:tc>
          <w:tcPr>
            <w:tcW w:w="285" w:type="pct"/>
            <w:vMerge w:val="restar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center"/>
            </w:pPr>
            <w:r>
              <w:rPr>
                <w:rFonts w:hint="eastAsia" w:ascii="宋体" w:hAnsi="宋体" w:eastAsia="宋体" w:cs="宋体"/>
                <w:b/>
                <w:bCs/>
                <w:color w:val="000000"/>
                <w:sz w:val="18"/>
                <w:szCs w:val="18"/>
              </w:rPr>
              <w:t>经济分类科目编码</w:t>
            </w:r>
          </w:p>
        </w:tc>
        <w:tc>
          <w:tcPr>
            <w:tcW w:w="663"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center"/>
            </w:pPr>
            <w:r>
              <w:rPr>
                <w:rFonts w:hint="eastAsia" w:ascii="宋体" w:hAnsi="宋体" w:eastAsia="宋体" w:cs="宋体"/>
                <w:b/>
                <w:bCs/>
                <w:color w:val="000000"/>
                <w:sz w:val="18"/>
                <w:szCs w:val="18"/>
              </w:rPr>
              <w:t>经济分类科目（按“款”级功能分类科目）</w:t>
            </w:r>
          </w:p>
        </w:tc>
        <w:tc>
          <w:tcPr>
            <w:tcW w:w="463"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center"/>
            </w:pPr>
            <w:r>
              <w:rPr>
                <w:rFonts w:hint="eastAsia" w:ascii="宋体" w:hAnsi="宋体" w:eastAsia="宋体" w:cs="宋体"/>
                <w:b/>
                <w:bCs/>
                <w:color w:val="000000"/>
                <w:sz w:val="18"/>
                <w:szCs w:val="18"/>
              </w:rPr>
              <w:t>金额</w:t>
            </w:r>
          </w:p>
        </w:tc>
        <w:tc>
          <w:tcPr>
            <w:tcW w:w="285" w:type="pct"/>
            <w:vMerge w:val="restar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center"/>
            </w:pPr>
            <w:r>
              <w:rPr>
                <w:rFonts w:hint="eastAsia" w:ascii="宋体" w:hAnsi="宋体" w:eastAsia="宋体" w:cs="宋体"/>
                <w:b/>
                <w:bCs/>
                <w:color w:val="000000"/>
                <w:sz w:val="18"/>
                <w:szCs w:val="18"/>
              </w:rPr>
              <w:t>经济分类科目编码</w:t>
            </w:r>
          </w:p>
        </w:tc>
        <w:tc>
          <w:tcPr>
            <w:tcW w:w="1131"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center"/>
            </w:pPr>
            <w:r>
              <w:rPr>
                <w:rFonts w:hint="eastAsia" w:ascii="宋体" w:hAnsi="宋体" w:eastAsia="宋体" w:cs="宋体"/>
                <w:b/>
                <w:bCs/>
                <w:color w:val="000000"/>
                <w:sz w:val="18"/>
                <w:szCs w:val="18"/>
              </w:rPr>
              <w:t>经济分类科目（按“款”级功能分类科目）</w:t>
            </w:r>
          </w:p>
        </w:tc>
        <w:tc>
          <w:tcPr>
            <w:tcW w:w="487"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center"/>
            </w:pPr>
            <w:r>
              <w:rPr>
                <w:rFonts w:hint="eastAsia" w:ascii="宋体" w:hAnsi="宋体" w:eastAsia="宋体" w:cs="宋体"/>
                <w:b/>
                <w:bCs/>
                <w:color w:val="000000"/>
                <w:sz w:val="18"/>
                <w:szCs w:val="18"/>
              </w:rPr>
              <w:t>金额</w:t>
            </w:r>
          </w:p>
        </w:tc>
        <w:tc>
          <w:tcPr>
            <w:tcW w:w="487"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 w:hRule="atLeast"/>
        </w:trPr>
        <w:tc>
          <w:tcPr>
            <w:tcW w:w="262"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917"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03"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285"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663"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63"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285"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31"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87"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301</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工资福利支出</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172.56 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302</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商品和服务支出</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24.31 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310</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资本性支出</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30101</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基本工资</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37.17 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30201</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办公费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5.15 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31001</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房屋建筑物购建</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30102</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津贴补贴</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24.43 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30202</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印刷费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31002</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办公设备购置</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30103</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奖金</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51.68 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30203</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咨询费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31003</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专用设备购置</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30106</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伙食补助费</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6.62 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30204</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手续费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31005</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基础设施建设</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30107</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绩效工资</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30205</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水费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31006</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大型修缮</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30108</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机关事业单位基本养老保险缴费</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15.85 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30206</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电费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31007</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信息网络及软件购置更新</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30109</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职业年金缴费</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8.09 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30207</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邮电费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0.26 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31008</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物资储备</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30110</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职工基本医疗保险缴费</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8.23 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30208</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取暖费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31009</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土地补偿</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30111</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公务员医疗补助缴费</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30209</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物业管理费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31010</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安置补助</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30112</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其他社会保障缴费</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1.76 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30211</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差旅费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0.42 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31011</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地上附着物和青苗补偿</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30113</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住房公积金</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13.85 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30212</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因公出国（境）费用</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31012</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拆迁补偿</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30114</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医疗费</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3.27 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30213</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维修（护）费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0.04 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31013</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公务用车购置</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30199</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其他工资福利支出</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1.62 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30214</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租赁费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31019</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其他交通工具购置</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303</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对个人和家庭的补助</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15.70 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30215</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会议费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31021</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文物和陈列品购置</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30301</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离休费</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30216</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培训费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31022</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无形资产购置</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30302</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退休费</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30217</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公务接待费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31099</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其他资本性支出</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30303</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退职（役）费</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30218</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专用材料费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312</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对企业补助</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30304</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抚恤金</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30224</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被装购置费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31201</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资本金注入</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30305</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生活补助</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14.50 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30225</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专用燃料费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31203</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政府投资基金股权投资</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30306</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救济费</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30226</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劳务费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31204</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费用补贴</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30307</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医疗费补助</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1.20 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30227</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委托业务费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31205</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利息补贴</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30308</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助学金</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30228</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工会经费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6.64 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31206</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firstLine="180"/>
            </w:pPr>
            <w:r>
              <w:rPr>
                <w:rFonts w:hint="eastAsia" w:ascii="宋体" w:hAnsi="宋体" w:eastAsia="宋体" w:cs="宋体"/>
                <w:color w:val="000000"/>
                <w:sz w:val="18"/>
                <w:szCs w:val="18"/>
              </w:rPr>
              <w:t>其他资本性补助</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30309</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奖励金</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30229</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福利费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0.32 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31299</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其他对企业补助</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30310</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个人农业生产补贴</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30231</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公务用车运行维护费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4.39 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399</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其他支出</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30311</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代缴社会保险费</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30239</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其他交通费用</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6.45 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39907</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国家赔偿费用支出</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30399</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其他对个人和家庭的补助</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30240</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税金及附加费用</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39908</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对民间非营利组织和群众性自治组织补贴</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30299</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其他商品和服务支出</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0.65 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39909</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经常性赠与</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307</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债务利息及费用支出</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39910</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资本性赠与</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30701</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国内债务付息</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39999</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其他支出</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30702</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国外债务付息</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30703</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国内债务发行费用</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30704</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国外债务发行费用</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 w:hRule="atLeast"/>
        </w:trPr>
        <w:tc>
          <w:tcPr>
            <w:tcW w:w="0" w:type="auto"/>
            <w:gridSpan w:val="2"/>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center"/>
            </w:pPr>
            <w:r>
              <w:rPr>
                <w:rFonts w:hint="eastAsia" w:ascii="宋体" w:hAnsi="宋体" w:eastAsia="宋体" w:cs="宋体"/>
                <w:b/>
                <w:bCs/>
                <w:color w:val="000000"/>
                <w:sz w:val="18"/>
                <w:szCs w:val="18"/>
              </w:rPr>
              <w:t>人员经费合计</w:t>
            </w:r>
          </w:p>
        </w:tc>
        <w:tc>
          <w:tcPr>
            <w:tcW w:w="503" w:type="pct"/>
            <w:tcBorders>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188.26 </w:t>
            </w:r>
          </w:p>
        </w:tc>
        <w:tc>
          <w:tcPr>
            <w:tcW w:w="0" w:type="auto"/>
            <w:gridSpan w:val="5"/>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center"/>
            </w:pPr>
            <w:r>
              <w:rPr>
                <w:rFonts w:hint="eastAsia" w:ascii="宋体" w:hAnsi="宋体" w:eastAsia="宋体" w:cs="宋体"/>
                <w:b/>
                <w:bCs/>
                <w:color w:val="000000"/>
                <w:sz w:val="18"/>
                <w:szCs w:val="18"/>
              </w:rPr>
              <w:t>公用经费合计</w:t>
            </w:r>
          </w:p>
        </w:tc>
        <w:tc>
          <w:tcPr>
            <w:tcW w:w="48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24.31 </w:t>
            </w:r>
          </w:p>
        </w:tc>
        <w:tc>
          <w:tcPr>
            <w:tcW w:w="487"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bl>
    <w:p>
      <w:pPr>
        <w:pStyle w:val="9"/>
        <w:keepNext w:val="0"/>
        <w:keepLines w:val="0"/>
        <w:widowControl/>
        <w:suppressLineNumbers w:val="0"/>
        <w:spacing w:before="0" w:beforeAutospacing="1" w:after="240" w:afterAutospacing="0" w:line="280" w:lineRule="atLeast"/>
        <w:ind w:left="0" w:right="0"/>
      </w:pPr>
      <w:r>
        <w:rPr>
          <w:rFonts w:hint="eastAsia" w:ascii="宋体" w:hAnsi="宋体" w:eastAsia="宋体" w:cs="宋体"/>
          <w:sz w:val="20"/>
          <w:szCs w:val="20"/>
        </w:rPr>
        <w:t>备注：1.本表反映单位本年度一般公共预算财政拨款基本支出明细情况。</w:t>
      </w:r>
      <w:r>
        <w:br w:type="textWrapping"/>
      </w:r>
      <w:r>
        <w:rPr>
          <w:rFonts w:hint="eastAsia" w:ascii="宋体" w:hAnsi="宋体" w:eastAsia="宋体" w:cs="宋体"/>
          <w:sz w:val="20"/>
          <w:szCs w:val="20"/>
        </w:rPr>
        <w:t>      2.本套报表金额单位转换时可能存在尾数误差。</w:t>
      </w:r>
    </w:p>
    <w:p>
      <w:pPr>
        <w:keepNext w:val="0"/>
        <w:keepLines w:val="0"/>
        <w:widowControl/>
        <w:suppressLineNumbers w:val="0"/>
        <w:jc w:val="left"/>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15"/>
        <w:gridCol w:w="1948"/>
        <w:gridCol w:w="921"/>
        <w:gridCol w:w="921"/>
        <w:gridCol w:w="921"/>
        <w:gridCol w:w="921"/>
        <w:gridCol w:w="955"/>
        <w:gridCol w:w="9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9" w:hRule="atLeast"/>
        </w:trPr>
        <w:tc>
          <w:tcPr>
            <w:tcW w:w="0" w:type="auto"/>
            <w:gridSpan w:val="8"/>
            <w:shd w:val="clear"/>
            <w:tcMar>
              <w:bottom w:w="0" w:type="dxa"/>
            </w:tcMar>
            <w:vAlign w:val="bottom"/>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32"/>
                <w:szCs w:val="32"/>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 w:hRule="atLeast"/>
        </w:trPr>
        <w:tc>
          <w:tcPr>
            <w:tcW w:w="0" w:type="auto"/>
            <w:gridSpan w:val="3"/>
            <w:vMerge w:val="restar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sz w:val="20"/>
                <w:szCs w:val="20"/>
              </w:rPr>
              <w:t>单位</w:t>
            </w:r>
            <w:r>
              <w:rPr>
                <w:rFonts w:hint="eastAsia" w:ascii="宋体" w:hAnsi="宋体" w:eastAsia="宋体" w:cs="宋体"/>
                <w:color w:val="000000"/>
                <w:sz w:val="20"/>
                <w:szCs w:val="20"/>
              </w:rPr>
              <w:t>：重庆市渝中区退役军人事务局（本级）</w:t>
            </w:r>
          </w:p>
        </w:tc>
        <w:tc>
          <w:tcPr>
            <w:tcW w:w="555" w:type="pct"/>
            <w:shd w:val="clear"/>
            <w:tcMar>
              <w:bottom w:w="0" w:type="dxa"/>
            </w:tcMar>
            <w:vAlign w:val="bottom"/>
          </w:tcPr>
          <w:p>
            <w:pPr>
              <w:rPr>
                <w:rFonts w:hint="eastAsia" w:ascii="宋体"/>
                <w:sz w:val="24"/>
                <w:szCs w:val="24"/>
              </w:rPr>
            </w:pPr>
          </w:p>
        </w:tc>
        <w:tc>
          <w:tcPr>
            <w:tcW w:w="555" w:type="pct"/>
            <w:shd w:val="clear"/>
            <w:tcMar>
              <w:bottom w:w="0" w:type="dxa"/>
            </w:tcMar>
            <w:vAlign w:val="bottom"/>
          </w:tcPr>
          <w:p>
            <w:pPr>
              <w:rPr>
                <w:rFonts w:hint="eastAsia" w:ascii="宋体"/>
                <w:sz w:val="24"/>
                <w:szCs w:val="24"/>
              </w:rPr>
            </w:pPr>
          </w:p>
        </w:tc>
        <w:tc>
          <w:tcPr>
            <w:tcW w:w="555" w:type="pct"/>
            <w:shd w:val="clear"/>
            <w:tcMar>
              <w:bottom w:w="0" w:type="dxa"/>
            </w:tcMar>
            <w:vAlign w:val="bottom"/>
          </w:tcPr>
          <w:p>
            <w:pPr>
              <w:rPr>
                <w:rFonts w:hint="eastAsia" w:ascii="宋体"/>
                <w:sz w:val="24"/>
                <w:szCs w:val="24"/>
              </w:rPr>
            </w:pPr>
          </w:p>
        </w:tc>
        <w:tc>
          <w:tcPr>
            <w:tcW w:w="575" w:type="pct"/>
            <w:shd w:val="clear"/>
            <w:tcMar>
              <w:bottom w:w="0" w:type="dxa"/>
            </w:tcMar>
            <w:vAlign w:val="bottom"/>
          </w:tcPr>
          <w:p>
            <w:pPr>
              <w:rPr>
                <w:rFonts w:hint="eastAsia" w:ascii="宋体"/>
                <w:sz w:val="24"/>
                <w:szCs w:val="24"/>
              </w:rPr>
            </w:pPr>
          </w:p>
        </w:tc>
        <w:tc>
          <w:tcPr>
            <w:tcW w:w="599"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公开</w:t>
            </w:r>
            <w:r>
              <w:rPr>
                <w:rFonts w:hint="default" w:ascii="Times New Roman" w:hAnsi="Times New Roman" w:cs="Times New Roman"/>
                <w:color w:val="000000"/>
                <w:sz w:val="20"/>
                <w:szCs w:val="20"/>
              </w:rPr>
              <w:t>07</w:t>
            </w:r>
            <w:r>
              <w:rPr>
                <w:rFonts w:hint="eastAsia" w:ascii="宋体" w:hAnsi="宋体" w:eastAsia="宋体"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9" w:hRule="atLeast"/>
        </w:trPr>
        <w:tc>
          <w:tcPr>
            <w:tcW w:w="0" w:type="auto"/>
            <w:gridSpan w:val="3"/>
            <w:vMerge w:val="continue"/>
            <w:shd w:val="clear"/>
            <w:tcMar>
              <w:bottom w:w="0" w:type="dxa"/>
            </w:tcMar>
            <w:vAlign w:val="bottom"/>
          </w:tcPr>
          <w:p>
            <w:pPr>
              <w:rPr>
                <w:rFonts w:hint="eastAsia" w:ascii="宋体"/>
                <w:sz w:val="24"/>
                <w:szCs w:val="24"/>
              </w:rPr>
            </w:pPr>
          </w:p>
        </w:tc>
        <w:tc>
          <w:tcPr>
            <w:tcW w:w="555" w:type="pct"/>
            <w:shd w:val="clear"/>
            <w:tcMar>
              <w:bottom w:w="0" w:type="dxa"/>
            </w:tcMar>
            <w:vAlign w:val="bottom"/>
          </w:tcPr>
          <w:p>
            <w:pPr>
              <w:rPr>
                <w:rFonts w:hint="eastAsia" w:ascii="宋体"/>
                <w:sz w:val="24"/>
                <w:szCs w:val="24"/>
              </w:rPr>
            </w:pPr>
          </w:p>
        </w:tc>
        <w:tc>
          <w:tcPr>
            <w:tcW w:w="555" w:type="pct"/>
            <w:shd w:val="clear"/>
            <w:tcMar>
              <w:bottom w:w="0" w:type="dxa"/>
            </w:tcMar>
            <w:vAlign w:val="bottom"/>
          </w:tcPr>
          <w:p>
            <w:pPr>
              <w:rPr>
                <w:rFonts w:hint="eastAsia" w:ascii="宋体"/>
                <w:sz w:val="24"/>
                <w:szCs w:val="24"/>
              </w:rPr>
            </w:pPr>
          </w:p>
        </w:tc>
        <w:tc>
          <w:tcPr>
            <w:tcW w:w="555" w:type="pct"/>
            <w:shd w:val="clear"/>
            <w:tcMar>
              <w:bottom w:w="0" w:type="dxa"/>
            </w:tcMar>
            <w:vAlign w:val="bottom"/>
          </w:tcPr>
          <w:p>
            <w:pPr>
              <w:rPr>
                <w:rFonts w:hint="eastAsia" w:ascii="宋体"/>
                <w:sz w:val="24"/>
                <w:szCs w:val="24"/>
              </w:rPr>
            </w:pPr>
          </w:p>
        </w:tc>
        <w:tc>
          <w:tcPr>
            <w:tcW w:w="575" w:type="pct"/>
            <w:shd w:val="clear"/>
            <w:tcMar>
              <w:bottom w:w="0" w:type="dxa"/>
            </w:tcMar>
            <w:vAlign w:val="bottom"/>
          </w:tcPr>
          <w:p>
            <w:pPr>
              <w:rPr>
                <w:rFonts w:hint="eastAsia" w:ascii="宋体"/>
                <w:sz w:val="24"/>
                <w:szCs w:val="24"/>
              </w:rPr>
            </w:pPr>
          </w:p>
        </w:tc>
        <w:tc>
          <w:tcPr>
            <w:tcW w:w="599"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单位：</w:t>
            </w:r>
            <w:r>
              <w:rPr>
                <w:rFonts w:hint="eastAsia" w:ascii="宋体" w:hAnsi="宋体" w:eastAsia="宋体"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项目</w:t>
            </w:r>
          </w:p>
        </w:tc>
        <w:tc>
          <w:tcPr>
            <w:tcW w:w="555" w:type="pct"/>
            <w:vMerge w:val="restart"/>
            <w:tcBorders>
              <w:top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年初结转和结余</w:t>
            </w:r>
          </w:p>
        </w:tc>
        <w:tc>
          <w:tcPr>
            <w:tcW w:w="555" w:type="pct"/>
            <w:vMerge w:val="restar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本年收入</w:t>
            </w:r>
          </w:p>
        </w:tc>
        <w:tc>
          <w:tcPr>
            <w:tcW w:w="0" w:type="auto"/>
            <w:gridSpan w:val="3"/>
            <w:tcBorders>
              <w:top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本年支出</w:t>
            </w:r>
          </w:p>
        </w:tc>
        <w:tc>
          <w:tcPr>
            <w:tcW w:w="5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 w:hRule="atLeast"/>
        </w:trPr>
        <w:tc>
          <w:tcPr>
            <w:tcW w:w="431" w:type="pct"/>
            <w:vMerge w:val="restar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功能分类科目编码</w:t>
            </w:r>
          </w:p>
        </w:tc>
        <w:tc>
          <w:tcPr>
            <w:tcW w:w="1173" w:type="pct"/>
            <w:vMerge w:val="restar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项目（按“项”级功能分类科目）</w:t>
            </w:r>
          </w:p>
        </w:tc>
        <w:tc>
          <w:tcPr>
            <w:tcW w:w="555" w:type="pct"/>
            <w:vMerge w:val="continue"/>
            <w:tcBorders>
              <w:top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55"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55"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合计</w:t>
            </w:r>
          </w:p>
        </w:tc>
        <w:tc>
          <w:tcPr>
            <w:tcW w:w="555"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基本支出</w:t>
            </w:r>
          </w:p>
        </w:tc>
        <w:tc>
          <w:tcPr>
            <w:tcW w:w="575"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项目支出</w:t>
            </w:r>
          </w:p>
        </w:tc>
        <w:tc>
          <w:tcPr>
            <w:tcW w:w="575"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 w:hRule="atLeast"/>
        </w:trPr>
        <w:tc>
          <w:tcPr>
            <w:tcW w:w="431"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73"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55" w:type="pct"/>
            <w:vMerge w:val="continue"/>
            <w:tcBorders>
              <w:top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55"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55"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55"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75"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trPr>
        <w:tc>
          <w:tcPr>
            <w:tcW w:w="431"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73"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55" w:type="pct"/>
            <w:vMerge w:val="continue"/>
            <w:tcBorders>
              <w:top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55"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55"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55"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75"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0" w:type="auto"/>
            <w:gridSpan w:val="2"/>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合计</w:t>
            </w:r>
          </w:p>
        </w:tc>
        <w:tc>
          <w:tcPr>
            <w:tcW w:w="55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5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5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5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9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3" w:hRule="atLeast"/>
        </w:trPr>
        <w:tc>
          <w:tcPr>
            <w:tcW w:w="431"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73"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5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9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bl>
    <w:p>
      <w:pPr>
        <w:pStyle w:val="9"/>
        <w:keepNext w:val="0"/>
        <w:keepLines w:val="0"/>
        <w:widowControl/>
        <w:suppressLineNumbers w:val="0"/>
        <w:spacing w:before="0" w:beforeAutospacing="1" w:after="0" w:afterAutospacing="1"/>
        <w:ind w:left="0" w:right="0"/>
      </w:pPr>
      <w:r>
        <w:rPr>
          <w:rFonts w:hint="eastAsia" w:ascii="宋体" w:hAnsi="宋体" w:eastAsia="宋体" w:cs="宋体"/>
          <w:sz w:val="20"/>
          <w:szCs w:val="20"/>
        </w:rPr>
        <w:t>备注：本表反映单位本年度政府性基金预算财政拨款收入支出及结转和结余情况。本单位无政府性基金收支，故本表无数据。</w:t>
      </w:r>
    </w:p>
    <w:p>
      <w:pPr>
        <w:keepNext w:val="0"/>
        <w:keepLines w:val="0"/>
        <w:widowControl/>
        <w:suppressLineNumbers w:val="0"/>
        <w:spacing w:after="240" w:afterAutospacing="0"/>
        <w:jc w:val="left"/>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01"/>
        <w:gridCol w:w="1960"/>
        <w:gridCol w:w="1960"/>
        <w:gridCol w:w="50"/>
        <w:gridCol w:w="1877"/>
        <w:gridCol w:w="50"/>
        <w:gridCol w:w="1737"/>
        <w:gridCol w:w="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trHeight w:val="433" w:hRule="atLeast"/>
        </w:trPr>
        <w:tc>
          <w:tcPr>
            <w:tcW w:w="0" w:type="auto"/>
            <w:gridSpan w:val="7"/>
            <w:shd w:val="clear"/>
            <w:tcMar>
              <w:bottom w:w="0" w:type="dxa"/>
            </w:tcMar>
            <w:vAlign w:val="bottom"/>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32"/>
                <w:szCs w:val="32"/>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trHeight w:val="221" w:hRule="atLeast"/>
        </w:trPr>
        <w:tc>
          <w:tcPr>
            <w:tcW w:w="0" w:type="auto"/>
            <w:gridSpan w:val="3"/>
            <w:vMerge w:val="restar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sz w:val="20"/>
                <w:szCs w:val="20"/>
              </w:rPr>
              <w:t>单位</w:t>
            </w:r>
            <w:r>
              <w:rPr>
                <w:rFonts w:hint="eastAsia" w:ascii="宋体" w:hAnsi="宋体" w:eastAsia="宋体" w:cs="宋体"/>
                <w:color w:val="000000"/>
                <w:sz w:val="20"/>
                <w:szCs w:val="20"/>
              </w:rPr>
              <w:t>：重庆市渝中区退役军人事务局（本级）</w:t>
            </w:r>
          </w:p>
        </w:tc>
        <w:tc>
          <w:tcPr>
            <w:tcW w:w="0" w:type="auto"/>
            <w:gridSpan w:val="3"/>
            <w:shd w:val="clear"/>
            <w:tcMar>
              <w:bottom w:w="0" w:type="dxa"/>
            </w:tcMar>
            <w:vAlign w:val="bottom"/>
          </w:tcPr>
          <w:p>
            <w:pPr>
              <w:rPr>
                <w:rFonts w:hint="eastAsia" w:ascii="宋体"/>
                <w:sz w:val="24"/>
                <w:szCs w:val="24"/>
              </w:rPr>
            </w:pPr>
          </w:p>
        </w:tc>
        <w:tc>
          <w:tcPr>
            <w:tcW w:w="1109"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公开</w:t>
            </w:r>
            <w:r>
              <w:rPr>
                <w:rFonts w:hint="default" w:ascii="Times New Roman" w:hAnsi="Times New Roman" w:cs="Times New Roman"/>
                <w:color w:val="000000"/>
                <w:sz w:val="20"/>
                <w:szCs w:val="20"/>
              </w:rPr>
              <w:t>08</w:t>
            </w:r>
            <w:r>
              <w:rPr>
                <w:rFonts w:hint="eastAsia" w:ascii="宋体" w:hAnsi="宋体" w:eastAsia="宋体"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trHeight w:val="221" w:hRule="atLeast"/>
        </w:trPr>
        <w:tc>
          <w:tcPr>
            <w:tcW w:w="0" w:type="auto"/>
            <w:gridSpan w:val="3"/>
            <w:vMerge w:val="continue"/>
            <w:shd w:val="clear"/>
            <w:tcMar>
              <w:bottom w:w="0" w:type="dxa"/>
            </w:tcMar>
            <w:vAlign w:val="bottom"/>
          </w:tcPr>
          <w:p>
            <w:pPr>
              <w:rPr>
                <w:rFonts w:hint="eastAsia" w:ascii="宋体"/>
                <w:sz w:val="24"/>
                <w:szCs w:val="24"/>
              </w:rPr>
            </w:pPr>
          </w:p>
        </w:tc>
        <w:tc>
          <w:tcPr>
            <w:tcW w:w="0" w:type="auto"/>
            <w:gridSpan w:val="3"/>
            <w:shd w:val="clear"/>
            <w:tcMar>
              <w:bottom w:w="0" w:type="dxa"/>
            </w:tcMar>
            <w:vAlign w:val="bottom"/>
          </w:tcPr>
          <w:p>
            <w:pPr>
              <w:rPr>
                <w:rFonts w:hint="eastAsia" w:ascii="宋体"/>
                <w:sz w:val="24"/>
                <w:szCs w:val="24"/>
              </w:rPr>
            </w:pPr>
          </w:p>
        </w:tc>
        <w:tc>
          <w:tcPr>
            <w:tcW w:w="1109"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单位：</w:t>
            </w:r>
            <w:r>
              <w:rPr>
                <w:rFonts w:hint="eastAsia" w:ascii="宋体" w:hAnsi="宋体" w:eastAsia="宋体"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trHeight w:val="281"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项目</w:t>
            </w:r>
          </w:p>
        </w:tc>
        <w:tc>
          <w:tcPr>
            <w:tcW w:w="0" w:type="auto"/>
            <w:gridSpan w:val="5"/>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trHeight w:val="226" w:hRule="atLeast"/>
        </w:trPr>
        <w:tc>
          <w:tcPr>
            <w:tcW w:w="421" w:type="pct"/>
            <w:vMerge w:val="restar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功能分类科目编码</w:t>
            </w:r>
          </w:p>
        </w:tc>
        <w:tc>
          <w:tcPr>
            <w:tcW w:w="1180"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科目名称</w:t>
            </w:r>
          </w:p>
        </w:tc>
        <w:tc>
          <w:tcPr>
            <w:tcW w:w="0" w:type="auto"/>
            <w:gridSpan w:val="2"/>
            <w:vMerge w:val="restar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合计</w:t>
            </w:r>
          </w:p>
        </w:tc>
        <w:tc>
          <w:tcPr>
            <w:tcW w:w="1130"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基本支出</w:t>
            </w:r>
          </w:p>
        </w:tc>
        <w:tc>
          <w:tcPr>
            <w:tcW w:w="0" w:type="auto"/>
            <w:gridSpan w:val="2"/>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421"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80"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gridSpan w:val="2"/>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30"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gridSpan w:val="2"/>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421"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80"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gridSpan w:val="2"/>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30"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gridSpan w:val="2"/>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 w:hRule="atLeast"/>
        </w:trPr>
        <w:tc>
          <w:tcPr>
            <w:tcW w:w="421"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80"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gridSpan w:val="2"/>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30"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gridSpan w:val="2"/>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合计</w:t>
            </w:r>
          </w:p>
        </w:tc>
        <w:tc>
          <w:tcPr>
            <w:tcW w:w="0" w:type="auto"/>
            <w:gridSpan w:val="2"/>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1130"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gridSpan w:val="2"/>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0" w:type="auto"/>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5" w:hRule="atLeast"/>
        </w:trPr>
        <w:tc>
          <w:tcPr>
            <w:tcW w:w="421"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80"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gridSpan w:val="2"/>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 xml:space="preserve">0.00 </w:t>
            </w:r>
          </w:p>
        </w:tc>
        <w:tc>
          <w:tcPr>
            <w:tcW w:w="1130"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gridSpan w:val="2"/>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 xml:space="preserve">0.00 </w:t>
            </w:r>
          </w:p>
        </w:tc>
        <w:tc>
          <w:tcPr>
            <w:tcW w:w="0" w:type="auto"/>
            <w:shd w:val="clear"/>
            <w:vAlign w:val="center"/>
          </w:tcPr>
          <w:p>
            <w:pPr>
              <w:rPr>
                <w:rFonts w:hint="eastAsia" w:ascii="宋体"/>
                <w:sz w:val="24"/>
                <w:szCs w:val="24"/>
              </w:rPr>
            </w:pPr>
          </w:p>
        </w:tc>
      </w:tr>
    </w:tbl>
    <w:p>
      <w:pPr>
        <w:pStyle w:val="9"/>
        <w:keepNext w:val="0"/>
        <w:keepLines w:val="0"/>
        <w:widowControl/>
        <w:suppressLineNumbers w:val="0"/>
        <w:spacing w:before="0" w:beforeAutospacing="1" w:after="0" w:afterAutospacing="1"/>
        <w:ind w:left="0" w:right="0"/>
      </w:pPr>
      <w:r>
        <w:rPr>
          <w:rFonts w:hint="eastAsia" w:ascii="宋体" w:hAnsi="宋体" w:eastAsia="宋体" w:cs="宋体"/>
          <w:sz w:val="20"/>
          <w:szCs w:val="20"/>
        </w:rPr>
        <w:t>备注：本表反映单位本年度国有资本经营预算财政拨款支出情况。本单位无国有资本经营收支，故本表无数据。</w:t>
      </w:r>
    </w:p>
    <w:p>
      <w:pPr>
        <w:keepNext w:val="0"/>
        <w:keepLines w:val="0"/>
        <w:widowControl/>
        <w:suppressLineNumbers w:val="0"/>
        <w:spacing w:after="240" w:afterAutospacing="0"/>
        <w:jc w:val="left"/>
      </w:pPr>
    </w:p>
    <w:tbl>
      <w:tblPr>
        <w:tblW w:w="46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21"/>
        <w:gridCol w:w="1308"/>
        <w:gridCol w:w="1286"/>
        <w:gridCol w:w="1990"/>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9" w:hRule="atLeast"/>
        </w:trPr>
        <w:tc>
          <w:tcPr>
            <w:tcW w:w="0" w:type="auto"/>
            <w:gridSpan w:val="5"/>
            <w:shd w:val="clear"/>
            <w:tcMar>
              <w:bottom w:w="0" w:type="dxa"/>
            </w:tcMar>
            <w:vAlign w:val="bottom"/>
          </w:tcPr>
          <w:p>
            <w:pPr>
              <w:pStyle w:val="9"/>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b/>
                <w:bCs/>
                <w:color w:val="000000"/>
                <w:sz w:val="32"/>
                <w:szCs w:val="32"/>
              </w:rPr>
              <w:t>机构运行信息表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 w:hRule="atLeast"/>
        </w:trPr>
        <w:tc>
          <w:tcPr>
            <w:tcW w:w="1124" w:type="pct"/>
            <w:shd w:val="clear"/>
            <w:tcMar>
              <w:bottom w:w="0" w:type="dxa"/>
            </w:tcMar>
            <w:vAlign w:val="bottom"/>
          </w:tcPr>
          <w:p>
            <w:pPr>
              <w:rPr>
                <w:rFonts w:hint="eastAsia" w:ascii="宋体"/>
                <w:sz w:val="24"/>
                <w:szCs w:val="24"/>
              </w:rPr>
            </w:pPr>
          </w:p>
        </w:tc>
        <w:tc>
          <w:tcPr>
            <w:tcW w:w="853" w:type="pct"/>
            <w:shd w:val="clear"/>
            <w:tcMar>
              <w:bottom w:w="0" w:type="dxa"/>
            </w:tcMar>
            <w:vAlign w:val="bottom"/>
          </w:tcPr>
          <w:p>
            <w:pPr>
              <w:rPr>
                <w:rFonts w:hint="eastAsia" w:ascii="宋体"/>
                <w:sz w:val="24"/>
                <w:szCs w:val="24"/>
              </w:rPr>
            </w:pPr>
          </w:p>
        </w:tc>
        <w:tc>
          <w:tcPr>
            <w:tcW w:w="840" w:type="pct"/>
            <w:shd w:val="clear"/>
            <w:tcMar>
              <w:bottom w:w="0" w:type="dxa"/>
            </w:tcMar>
            <w:vAlign w:val="bottom"/>
          </w:tcPr>
          <w:p>
            <w:pPr>
              <w:rPr>
                <w:rFonts w:hint="eastAsia" w:ascii="宋体"/>
                <w:sz w:val="24"/>
                <w:szCs w:val="24"/>
              </w:rPr>
            </w:pPr>
          </w:p>
        </w:tc>
        <w:tc>
          <w:tcPr>
            <w:tcW w:w="1299" w:type="pct"/>
            <w:shd w:val="clear"/>
            <w:tcMar>
              <w:bottom w:w="0" w:type="dxa"/>
            </w:tcMar>
            <w:vAlign w:val="bottom"/>
          </w:tcPr>
          <w:p>
            <w:pPr>
              <w:rPr>
                <w:rFonts w:hint="eastAsia" w:ascii="宋体"/>
                <w:sz w:val="24"/>
                <w:szCs w:val="24"/>
              </w:rPr>
            </w:pPr>
          </w:p>
        </w:tc>
        <w:tc>
          <w:tcPr>
            <w:tcW w:w="878"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公开</w:t>
            </w:r>
            <w:r>
              <w:rPr>
                <w:rFonts w:hint="default" w:ascii="Times New Roman" w:hAnsi="Times New Roman" w:cs="Times New Roman"/>
                <w:color w:val="000000"/>
                <w:sz w:val="20"/>
                <w:szCs w:val="20"/>
              </w:rPr>
              <w:t>09</w:t>
            </w:r>
            <w:r>
              <w:rPr>
                <w:rFonts w:hint="eastAsia" w:ascii="宋体" w:hAnsi="宋体" w:eastAsia="宋体"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 w:hRule="atLeast"/>
        </w:trPr>
        <w:tc>
          <w:tcPr>
            <w:tcW w:w="0" w:type="auto"/>
            <w:gridSpan w:val="2"/>
            <w:tcBorders>
              <w:bottom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sz w:val="20"/>
                <w:szCs w:val="20"/>
              </w:rPr>
              <w:t>单位</w:t>
            </w:r>
            <w:r>
              <w:rPr>
                <w:rFonts w:hint="eastAsia" w:ascii="宋体" w:hAnsi="宋体" w:eastAsia="宋体" w:cs="宋体"/>
                <w:color w:val="000000"/>
                <w:sz w:val="20"/>
                <w:szCs w:val="20"/>
              </w:rPr>
              <w:t>：重庆市渝中区退役军人事务局（本级）</w:t>
            </w:r>
          </w:p>
        </w:tc>
        <w:tc>
          <w:tcPr>
            <w:tcW w:w="840" w:type="pct"/>
            <w:tcBorders>
              <w:bottom w:val="single" w:color="000000" w:sz="2" w:space="0"/>
            </w:tcBorders>
            <w:shd w:val="clear"/>
            <w:tcMar>
              <w:bottom w:w="0" w:type="dxa"/>
            </w:tcMar>
            <w:vAlign w:val="bottom"/>
          </w:tcPr>
          <w:p>
            <w:pPr>
              <w:rPr>
                <w:rFonts w:hint="eastAsia" w:ascii="宋体"/>
                <w:sz w:val="24"/>
                <w:szCs w:val="24"/>
              </w:rPr>
            </w:pPr>
          </w:p>
        </w:tc>
        <w:tc>
          <w:tcPr>
            <w:tcW w:w="1299" w:type="pct"/>
            <w:tcBorders>
              <w:bottom w:val="single" w:color="000000" w:sz="2" w:space="0"/>
            </w:tcBorders>
            <w:shd w:val="clear"/>
            <w:tcMar>
              <w:bottom w:w="0" w:type="dxa"/>
            </w:tcMar>
            <w:vAlign w:val="bottom"/>
          </w:tcPr>
          <w:p>
            <w:pPr>
              <w:rPr>
                <w:rFonts w:hint="eastAsia" w:ascii="宋体"/>
                <w:sz w:val="24"/>
                <w:szCs w:val="24"/>
              </w:rPr>
            </w:pPr>
          </w:p>
        </w:tc>
        <w:tc>
          <w:tcPr>
            <w:tcW w:w="878" w:type="pct"/>
            <w:tcBorders>
              <w:bottom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单位：</w:t>
            </w:r>
            <w:r>
              <w:rPr>
                <w:rFonts w:hint="eastAsia" w:ascii="宋体" w:hAnsi="宋体" w:eastAsia="宋体"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8"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eastAsia" w:ascii="宋体" w:hAnsi="宋体" w:eastAsia="宋体" w:cs="宋体"/>
                <w:b/>
                <w:bCs/>
                <w:color w:val="000000"/>
                <w:sz w:val="16"/>
                <w:szCs w:val="16"/>
              </w:rPr>
              <w:t>项  目</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eastAsia" w:ascii="宋体" w:hAnsi="宋体" w:eastAsia="宋体" w:cs="宋体"/>
                <w:b/>
                <w:bCs/>
                <w:color w:val="000000"/>
                <w:sz w:val="16"/>
                <w:szCs w:val="16"/>
              </w:rPr>
              <w:t>预算数</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eastAsia" w:ascii="宋体" w:hAnsi="宋体" w:eastAsia="宋体" w:cs="宋体"/>
                <w:b/>
                <w:bCs/>
                <w:color w:val="000000"/>
                <w:sz w:val="16"/>
                <w:szCs w:val="16"/>
              </w:rPr>
              <w:t>决算数</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eastAsia" w:ascii="宋体" w:hAnsi="宋体" w:eastAsia="宋体" w:cs="宋体"/>
                <w:b/>
                <w:bCs/>
                <w:color w:val="000000"/>
                <w:sz w:val="16"/>
                <w:szCs w:val="16"/>
              </w:rPr>
              <w:t>项  目</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eastAsia" w:ascii="宋体" w:hAnsi="宋体" w:eastAsia="宋体" w:cs="宋体"/>
                <w:b/>
                <w:bCs/>
                <w:color w:val="000000"/>
                <w:sz w:val="16"/>
                <w:szCs w:val="16"/>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8"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一、“三公”经费支出</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五、机关运行经费</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24.31 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（一）支出合计</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4.39 </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4.39 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（一）行政单位</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24.31 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1．因公出国（境）费</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（二）参照公务员法管理事业单位</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2．公务用车购置及运行维护费</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4.39 </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4.39 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六、资产信息</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120"/>
              <w:jc w:val="center"/>
            </w:pPr>
            <w:r>
              <w:rPr>
                <w:rFonts w:hint="default" w:ascii="Times New Roman" w:hAnsi="Times New Roman" w:cs="Times New Roman"/>
                <w:color w:val="00000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（1）公务用车购置费</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（一）车辆数合计（辆）</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（2）公务用车运行维护费</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4.39 </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4.39 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1．副部（省）级及以上领导用车</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3．公务接待费</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2．主要领导干部用车</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（1）国内接待费</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3．机要通信用车</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其中：外事接待费</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4．应急保障用车</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（2）国（境）外接待费</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5．执法执勤用车</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（二）相关统计数</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120"/>
              <w:jc w:val="center"/>
            </w:pPr>
            <w:r>
              <w:rPr>
                <w:rFonts w:hint="default" w:ascii="Times New Roman" w:hAnsi="Times New Roman" w:cs="Times New Roman"/>
                <w:color w:val="000000"/>
                <w:sz w:val="18"/>
                <w:szCs w:val="18"/>
              </w:rPr>
              <w:t>—</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6．特种专业技术用车</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1．因公出国（境）团组数（个）</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7．离退休干部用车</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2．因公出国（境）人次数（人）</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8．其他用车</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3．公务用车购置数（辆）</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（二）单价100万元（含）以上设备（不含车辆）</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4．公务用车保有量（辆）</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2 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七、政府采购支出信息</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120"/>
              <w:jc w:val="center"/>
            </w:pPr>
            <w:r>
              <w:rPr>
                <w:rFonts w:hint="default" w:ascii="Times New Roman" w:hAnsi="Times New Roman" w:cs="Times New Roman"/>
                <w:color w:val="00000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5．国内公务接待批次（个）</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（一）政府采购支出合计</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8.07 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其中：外事接待批次（个）</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1．政府采购货物支出</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8.07 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6．国内公务接待人次（人）</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2．政府采购工程支出</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其中：外事接待人次（人）</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3．政府采购服务支出</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7．国（境）外公务接待批次（个）</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（二）政府采购授予中小企业合同金额</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8.07 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8．国（境）外公务接待人次（人）</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其中：授予小微企业合同金额</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8.07 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二、会议费</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9"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三、培训费</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9"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四、差旅费</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0.51 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r>
    </w:tbl>
    <w:p>
      <w:pPr>
        <w:pStyle w:val="9"/>
        <w:keepNext w:val="0"/>
        <w:keepLines w:val="0"/>
        <w:widowControl/>
        <w:suppressLineNumbers w:val="0"/>
        <w:spacing w:before="0" w:beforeAutospacing="1" w:after="0" w:afterAutospacing="1"/>
        <w:ind w:left="0" w:right="0"/>
      </w:pPr>
      <w:r>
        <w:rPr>
          <w:rFonts w:hint="eastAsia" w:ascii="宋体" w:hAnsi="宋体" w:eastAsia="宋体"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br w:type="textWrapping"/>
      </w:r>
      <w:r>
        <w:rPr>
          <w:rFonts w:hint="eastAsia" w:ascii="宋体" w:hAnsi="宋体" w:eastAsia="宋体" w:cs="宋体"/>
          <w:sz w:val="18"/>
          <w:szCs w:val="18"/>
        </w:rPr>
        <w:t>      2.本套报表金额单位转换时可能存在尾数误差。</w:t>
      </w:r>
    </w:p>
    <w:p>
      <w:pPr>
        <w:keepNext w:val="0"/>
        <w:keepLines w:val="0"/>
        <w:widowControl/>
        <w:suppressLineNumbers w:val="0"/>
        <w:jc w:val="left"/>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507E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2025-10-17T06:35:47Z</dcterms:created>
  <dc:creator>HP</dc:creator>
  <cp:lastModifiedBy>张瑜峰</cp:lastModifiedBy>
  <dcterms:modified xsi:type="dcterms:W3CDTF">2025-10-17T06:36:18Z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FE8837AB22C2400AB634B0A80C251A05_13</vt:lpwstr>
  </property>
</Properties>
</file>