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eastAsia="方正黑体_GBK"/>
          <w:sz w:val="32"/>
          <w:szCs w:val="32"/>
        </w:rPr>
      </w:pPr>
      <w:r>
        <w:rPr>
          <w:rFonts w:hint="eastAsia" w:eastAsia="方正黑体_GBK"/>
          <w:sz w:val="32"/>
          <w:szCs w:val="32"/>
        </w:rPr>
        <w:t>附件2</w:t>
      </w:r>
    </w:p>
    <w:tbl>
      <w:tblPr>
        <w:tblStyle w:val="2"/>
        <w:tblW w:w="9420" w:type="dxa"/>
        <w:tblInd w:w="93" w:type="dxa"/>
        <w:tblLayout w:type="fixed"/>
        <w:tblCellMar>
          <w:top w:w="0" w:type="dxa"/>
          <w:left w:w="108" w:type="dxa"/>
          <w:bottom w:w="0" w:type="dxa"/>
          <w:right w:w="108" w:type="dxa"/>
        </w:tblCellMar>
      </w:tblPr>
      <w:tblGrid>
        <w:gridCol w:w="1240"/>
        <w:gridCol w:w="1080"/>
        <w:gridCol w:w="2860"/>
        <w:gridCol w:w="4240"/>
      </w:tblGrid>
      <w:tr>
        <w:tblPrEx>
          <w:tblCellMar>
            <w:top w:w="0" w:type="dxa"/>
            <w:left w:w="108" w:type="dxa"/>
            <w:bottom w:w="0" w:type="dxa"/>
            <w:right w:w="108" w:type="dxa"/>
          </w:tblCellMar>
        </w:tblPrEx>
        <w:trPr>
          <w:trHeight w:val="120" w:hRule="atLeast"/>
        </w:trPr>
        <w:tc>
          <w:tcPr>
            <w:tcW w:w="1240" w:type="dxa"/>
            <w:tcBorders>
              <w:top w:val="nil"/>
              <w:left w:val="nil"/>
              <w:bottom w:val="nil"/>
              <w:right w:val="nil"/>
            </w:tcBorders>
            <w:shd w:val="clear" w:color="auto" w:fill="auto"/>
            <w:vAlign w:val="center"/>
          </w:tcPr>
          <w:p>
            <w:pPr>
              <w:widowControl/>
              <w:jc w:val="left"/>
              <w:rPr>
                <w:rFonts w:ascii="宋体" w:hAnsi="宋体" w:cs="宋体"/>
                <w:color w:val="000000"/>
                <w:kern w:val="0"/>
                <w:sz w:val="22"/>
                <w:szCs w:val="22"/>
              </w:rPr>
            </w:pPr>
          </w:p>
        </w:tc>
        <w:tc>
          <w:tcPr>
            <w:tcW w:w="1080" w:type="dxa"/>
            <w:tcBorders>
              <w:top w:val="nil"/>
              <w:left w:val="nil"/>
              <w:bottom w:val="nil"/>
              <w:right w:val="nil"/>
            </w:tcBorders>
            <w:shd w:val="clear" w:color="auto" w:fill="auto"/>
            <w:vAlign w:val="center"/>
          </w:tcPr>
          <w:p>
            <w:pPr>
              <w:widowControl/>
              <w:jc w:val="left"/>
              <w:rPr>
                <w:rFonts w:ascii="宋体" w:hAnsi="宋体" w:cs="宋体"/>
                <w:color w:val="000000"/>
                <w:kern w:val="0"/>
                <w:sz w:val="22"/>
                <w:szCs w:val="22"/>
              </w:rPr>
            </w:pPr>
          </w:p>
        </w:tc>
        <w:tc>
          <w:tcPr>
            <w:tcW w:w="2860" w:type="dxa"/>
            <w:tcBorders>
              <w:top w:val="nil"/>
              <w:left w:val="nil"/>
              <w:bottom w:val="nil"/>
              <w:right w:val="nil"/>
            </w:tcBorders>
            <w:shd w:val="clear" w:color="auto" w:fill="auto"/>
            <w:vAlign w:val="center"/>
          </w:tcPr>
          <w:p>
            <w:pPr>
              <w:widowControl/>
              <w:jc w:val="left"/>
              <w:rPr>
                <w:rFonts w:ascii="宋体" w:hAnsi="宋体" w:cs="宋体"/>
                <w:color w:val="000000"/>
                <w:kern w:val="0"/>
                <w:sz w:val="22"/>
                <w:szCs w:val="22"/>
              </w:rPr>
            </w:pPr>
          </w:p>
        </w:tc>
        <w:tc>
          <w:tcPr>
            <w:tcW w:w="4240" w:type="dxa"/>
            <w:tcBorders>
              <w:top w:val="nil"/>
              <w:left w:val="nil"/>
              <w:bottom w:val="nil"/>
              <w:right w:val="nil"/>
            </w:tcBorders>
            <w:shd w:val="clear" w:color="auto" w:fill="auto"/>
            <w:vAlign w:val="center"/>
          </w:tcPr>
          <w:p>
            <w:pPr>
              <w:widowControl/>
              <w:jc w:val="left"/>
              <w:rPr>
                <w:rFonts w:ascii="宋体" w:hAnsi="宋体" w:cs="宋体"/>
                <w:color w:val="000000"/>
                <w:kern w:val="0"/>
                <w:sz w:val="22"/>
                <w:szCs w:val="22"/>
              </w:rPr>
            </w:pPr>
          </w:p>
        </w:tc>
      </w:tr>
      <w:tr>
        <w:tblPrEx>
          <w:tblCellMar>
            <w:top w:w="0" w:type="dxa"/>
            <w:left w:w="108" w:type="dxa"/>
            <w:bottom w:w="0" w:type="dxa"/>
            <w:right w:w="108" w:type="dxa"/>
          </w:tblCellMar>
        </w:tblPrEx>
        <w:trPr>
          <w:trHeight w:val="540" w:hRule="atLeast"/>
        </w:trPr>
        <w:tc>
          <w:tcPr>
            <w:tcW w:w="9420" w:type="dxa"/>
            <w:gridSpan w:val="4"/>
            <w:tcBorders>
              <w:top w:val="nil"/>
              <w:left w:val="nil"/>
              <w:bottom w:val="nil"/>
              <w:right w:val="nil"/>
            </w:tcBorders>
            <w:shd w:val="clear" w:color="auto" w:fill="auto"/>
            <w:vAlign w:val="center"/>
          </w:tcPr>
          <w:p>
            <w:pPr>
              <w:widowControl/>
              <w:jc w:val="center"/>
              <w:rPr>
                <w:rFonts w:hint="eastAsia" w:ascii="方正小标宋_GBK" w:hAnsi="宋体" w:eastAsia="方正小标宋_GBK" w:cs="宋体"/>
                <w:color w:val="000000"/>
                <w:kern w:val="0"/>
                <w:sz w:val="44"/>
                <w:szCs w:val="44"/>
              </w:rPr>
            </w:pPr>
            <w:r>
              <w:rPr>
                <w:rFonts w:hint="eastAsia" w:ascii="方正小标宋_GBK" w:hAnsi="宋体" w:eastAsia="方正小标宋_GBK" w:cs="宋体"/>
                <w:color w:val="000000"/>
                <w:kern w:val="0"/>
                <w:sz w:val="44"/>
                <w:szCs w:val="44"/>
              </w:rPr>
              <w:t>绩效评价结果整改报告书</w:t>
            </w:r>
          </w:p>
        </w:tc>
      </w:tr>
      <w:tr>
        <w:tblPrEx>
          <w:tblCellMar>
            <w:top w:w="0" w:type="dxa"/>
            <w:left w:w="108" w:type="dxa"/>
            <w:bottom w:w="0" w:type="dxa"/>
            <w:right w:w="108" w:type="dxa"/>
          </w:tblCellMar>
        </w:tblPrEx>
        <w:trPr>
          <w:trHeight w:val="390" w:hRule="atLeast"/>
        </w:trPr>
        <w:tc>
          <w:tcPr>
            <w:tcW w:w="5180" w:type="dxa"/>
            <w:gridSpan w:val="3"/>
            <w:tcBorders>
              <w:top w:val="nil"/>
              <w:left w:val="nil"/>
              <w:bottom w:val="single" w:color="auto" w:sz="4" w:space="0"/>
              <w:right w:val="nil"/>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预算部门（盖章）：</w:t>
            </w:r>
            <w:r>
              <w:rPr>
                <w:color w:val="000000"/>
                <w:kern w:val="0"/>
                <w:sz w:val="20"/>
                <w:szCs w:val="20"/>
              </w:rPr>
              <w:t xml:space="preserve">         </w:t>
            </w:r>
          </w:p>
        </w:tc>
        <w:tc>
          <w:tcPr>
            <w:tcW w:w="4240" w:type="dxa"/>
            <w:tcBorders>
              <w:top w:val="nil"/>
              <w:left w:val="nil"/>
              <w:bottom w:val="nil"/>
              <w:right w:val="nil"/>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435" w:hRule="atLeast"/>
        </w:trPr>
        <w:tc>
          <w:tcPr>
            <w:tcW w:w="12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名称</w:t>
            </w:r>
          </w:p>
        </w:tc>
        <w:tc>
          <w:tcPr>
            <w:tcW w:w="8180"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2020年绩效评价问题及整改情况</w:t>
            </w:r>
          </w:p>
        </w:tc>
      </w:tr>
      <w:tr>
        <w:tblPrEx>
          <w:tblCellMar>
            <w:top w:w="0" w:type="dxa"/>
            <w:left w:w="108" w:type="dxa"/>
            <w:bottom w:w="0" w:type="dxa"/>
            <w:right w:w="108" w:type="dxa"/>
          </w:tblCellMar>
        </w:tblPrEx>
        <w:trPr>
          <w:trHeight w:val="540" w:hRule="atLeast"/>
        </w:trPr>
        <w:tc>
          <w:tcPr>
            <w:tcW w:w="12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项目/整体名称</w:t>
            </w:r>
          </w:p>
        </w:tc>
        <w:tc>
          <w:tcPr>
            <w:tcW w:w="8180"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lang w:eastAsia="zh-CN"/>
              </w:rPr>
              <w:t>打铜街传统风貌区建设项目</w:t>
            </w: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420" w:hRule="atLeast"/>
        </w:trPr>
        <w:tc>
          <w:tcPr>
            <w:tcW w:w="12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整改情况</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序号</w:t>
            </w:r>
          </w:p>
        </w:tc>
        <w:tc>
          <w:tcPr>
            <w:tcW w:w="28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问题描述</w:t>
            </w:r>
          </w:p>
        </w:tc>
        <w:tc>
          <w:tcPr>
            <w:tcW w:w="42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整改措施</w:t>
            </w:r>
          </w:p>
        </w:tc>
      </w:tr>
      <w:tr>
        <w:tblPrEx>
          <w:tblCellMar>
            <w:top w:w="0" w:type="dxa"/>
            <w:left w:w="108" w:type="dxa"/>
            <w:bottom w:w="0" w:type="dxa"/>
            <w:right w:w="108" w:type="dxa"/>
          </w:tblCellMar>
        </w:tblPrEx>
        <w:trPr>
          <w:trHeight w:val="4734" w:hRule="atLeast"/>
        </w:trPr>
        <w:tc>
          <w:tcPr>
            <w:tcW w:w="12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2860" w:type="dxa"/>
            <w:tcBorders>
              <w:top w:val="nil"/>
              <w:left w:val="nil"/>
              <w:bottom w:val="single" w:color="auto" w:sz="4" w:space="0"/>
              <w:right w:val="single" w:color="auto" w:sz="4" w:space="0"/>
            </w:tcBorders>
            <w:shd w:val="clear" w:color="auto" w:fill="auto"/>
            <w:vAlign w:val="center"/>
          </w:tcPr>
          <w:p>
            <w:pPr>
              <w:widowControl/>
              <w:rPr>
                <w:rFonts w:hint="default" w:ascii="宋体" w:hAnsi="宋体" w:eastAsia="宋体" w:cs="宋体"/>
                <w:b/>
                <w:bCs/>
                <w:color w:val="000000"/>
                <w:kern w:val="0"/>
                <w:sz w:val="22"/>
                <w:szCs w:val="22"/>
                <w:lang w:val="en-US" w:eastAsia="zh-CN"/>
              </w:rPr>
            </w:pPr>
            <w:r>
              <w:rPr>
                <w:rFonts w:hint="eastAsia" w:ascii="宋体" w:hAnsi="宋体" w:cs="宋体"/>
                <w:b/>
                <w:bCs/>
                <w:color w:val="000000"/>
                <w:kern w:val="0"/>
                <w:sz w:val="22"/>
                <w:szCs w:val="22"/>
                <w:lang w:val="en-US" w:eastAsia="zh-CN"/>
              </w:rPr>
              <w:t>根据2016年12月23日《中共重庆市渝中区委办公室重庆市渝中区人民政府办公室关于高品质实施传统风貌区、山城老街区、特色老社区建设的通知》（渝中委【2016】106号），打铜街项目需要在2018年度完成。截止现场评价日，未进行正式验收</w:t>
            </w:r>
          </w:p>
        </w:tc>
        <w:tc>
          <w:tcPr>
            <w:tcW w:w="4240" w:type="dxa"/>
            <w:tcBorders>
              <w:top w:val="nil"/>
              <w:left w:val="nil"/>
              <w:bottom w:val="single" w:color="auto" w:sz="4" w:space="0"/>
              <w:right w:val="single" w:color="auto" w:sz="4" w:space="0"/>
            </w:tcBorders>
            <w:shd w:val="clear" w:color="auto" w:fill="auto"/>
            <w:vAlign w:val="center"/>
          </w:tcPr>
          <w:p>
            <w:pPr>
              <w:widowControl/>
              <w:jc w:val="lef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rPr>
              <w:t>　</w:t>
            </w:r>
            <w:r>
              <w:rPr>
                <w:rFonts w:hint="eastAsia" w:ascii="宋体" w:hAnsi="宋体" w:cs="宋体"/>
                <w:color w:val="000000"/>
                <w:kern w:val="0"/>
                <w:sz w:val="22"/>
                <w:szCs w:val="22"/>
                <w:lang w:val="en-US" w:eastAsia="zh-CN"/>
              </w:rPr>
              <w:t>我委一直严格按照文物维护保养方案实施，积极协调市文物局及有关文物专家推动完成施工内容。2020</w:t>
            </w:r>
            <w:r>
              <w:rPr>
                <w:rFonts w:hint="eastAsia" w:ascii="宋体" w:hAnsi="宋体" w:cs="宋体"/>
                <w:color w:val="000000"/>
                <w:kern w:val="0"/>
                <w:sz w:val="22"/>
                <w:szCs w:val="22"/>
                <w:lang w:eastAsia="zh-CN"/>
              </w:rPr>
              <w:t>年</w:t>
            </w:r>
            <w:r>
              <w:rPr>
                <w:rFonts w:hint="eastAsia" w:ascii="宋体" w:hAnsi="宋体" w:cs="宋体"/>
                <w:color w:val="000000"/>
                <w:kern w:val="0"/>
                <w:sz w:val="22"/>
                <w:szCs w:val="22"/>
                <w:lang w:val="en-US" w:eastAsia="zh-CN"/>
              </w:rPr>
              <w:t>4月10日由市文物局组织相关专家进行了竣工验收，验收结果为合格，达到维护保养的目的。2020年4月21日组织相关部门完成非文物部分整治验收工作。现正进行项目决算审计工作。</w:t>
            </w:r>
          </w:p>
        </w:tc>
      </w:tr>
      <w:tr>
        <w:tblPrEx>
          <w:tblCellMar>
            <w:top w:w="0" w:type="dxa"/>
            <w:left w:w="108" w:type="dxa"/>
            <w:bottom w:w="0" w:type="dxa"/>
            <w:right w:w="108" w:type="dxa"/>
          </w:tblCellMar>
        </w:tblPrEx>
        <w:trPr>
          <w:trHeight w:val="3132" w:hRule="atLeast"/>
        </w:trPr>
        <w:tc>
          <w:tcPr>
            <w:tcW w:w="12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2860" w:type="dxa"/>
            <w:tcBorders>
              <w:top w:val="nil"/>
              <w:left w:val="nil"/>
              <w:bottom w:val="single" w:color="auto" w:sz="4" w:space="0"/>
              <w:right w:val="single" w:color="auto" w:sz="4" w:space="0"/>
            </w:tcBorders>
            <w:shd w:val="clear" w:color="auto" w:fill="auto"/>
            <w:vAlign w:val="center"/>
          </w:tcPr>
          <w:p>
            <w:pPr>
              <w:widowControl/>
              <w:rPr>
                <w:rFonts w:hint="eastAsia" w:ascii="宋体" w:hAnsi="宋体" w:eastAsia="宋体" w:cs="宋体"/>
                <w:b/>
                <w:bCs/>
                <w:color w:val="000000"/>
                <w:kern w:val="0"/>
                <w:sz w:val="22"/>
                <w:szCs w:val="22"/>
                <w:lang w:eastAsia="zh-CN"/>
              </w:rPr>
            </w:pPr>
            <w:r>
              <w:rPr>
                <w:rFonts w:hint="eastAsia" w:ascii="宋体" w:hAnsi="宋体" w:cs="宋体"/>
                <w:b/>
                <w:bCs/>
                <w:color w:val="000000"/>
                <w:kern w:val="0"/>
                <w:sz w:val="22"/>
                <w:szCs w:val="22"/>
              </w:rPr>
              <w:t>　</w:t>
            </w:r>
            <w:r>
              <w:rPr>
                <w:rFonts w:hint="eastAsia" w:ascii="宋体" w:hAnsi="宋体" w:cs="宋体"/>
                <w:b/>
                <w:bCs/>
                <w:color w:val="000000"/>
                <w:kern w:val="0"/>
                <w:sz w:val="22"/>
                <w:szCs w:val="22"/>
                <w:lang w:eastAsia="zh-CN"/>
              </w:rPr>
              <w:t>对延期的市政部分未及时做出决策，未及时取得相关变更立项的批复文件</w:t>
            </w:r>
          </w:p>
        </w:tc>
        <w:tc>
          <w:tcPr>
            <w:tcW w:w="4240" w:type="dxa"/>
            <w:tcBorders>
              <w:top w:val="nil"/>
              <w:left w:val="nil"/>
              <w:bottom w:val="single" w:color="auto" w:sz="4" w:space="0"/>
              <w:right w:val="single" w:color="auto" w:sz="4" w:space="0"/>
            </w:tcBorders>
            <w:shd w:val="clear" w:color="auto" w:fill="auto"/>
            <w:vAlign w:val="center"/>
          </w:tcPr>
          <w:p>
            <w:pPr>
              <w:widowControl/>
              <w:jc w:val="lef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rPr>
              <w:t>　</w:t>
            </w:r>
            <w:r>
              <w:rPr>
                <w:rFonts w:hint="eastAsia" w:ascii="宋体" w:hAnsi="宋体" w:cs="宋体"/>
                <w:color w:val="000000"/>
                <w:kern w:val="0"/>
                <w:sz w:val="22"/>
                <w:szCs w:val="22"/>
                <w:lang w:eastAsia="zh-CN"/>
              </w:rPr>
              <w:t>我委于</w:t>
            </w:r>
            <w:r>
              <w:rPr>
                <w:rFonts w:hint="eastAsia" w:ascii="宋体" w:hAnsi="宋体" w:cs="宋体"/>
                <w:color w:val="000000"/>
                <w:kern w:val="0"/>
                <w:sz w:val="22"/>
                <w:szCs w:val="22"/>
                <w:lang w:val="en-US" w:eastAsia="zh-CN"/>
              </w:rPr>
              <w:t>2019年11月29日</w:t>
            </w:r>
            <w:r>
              <w:rPr>
                <w:rFonts w:hint="eastAsia" w:ascii="宋体" w:hAnsi="宋体" w:cs="宋体"/>
                <w:color w:val="000000"/>
                <w:kern w:val="0"/>
                <w:sz w:val="22"/>
                <w:szCs w:val="22"/>
                <w:lang w:eastAsia="zh-CN"/>
              </w:rPr>
              <w:t>经请示项目负责区领导何家利副书记同意将打铜街传统风貌区建设市政部分移交解放碑</w:t>
            </w:r>
            <w:r>
              <w:rPr>
                <w:rFonts w:hint="eastAsia" w:ascii="宋体" w:hAnsi="宋体" w:cs="宋体"/>
                <w:color w:val="000000"/>
                <w:kern w:val="0"/>
                <w:sz w:val="22"/>
                <w:szCs w:val="22"/>
                <w:lang w:val="en-US" w:eastAsia="zh-CN"/>
              </w:rPr>
              <w:t>CBD，纳入文旅通廊统一整治。</w:t>
            </w:r>
          </w:p>
        </w:tc>
      </w:tr>
      <w:tr>
        <w:tblPrEx>
          <w:tblCellMar>
            <w:top w:w="0" w:type="dxa"/>
            <w:left w:w="108" w:type="dxa"/>
            <w:bottom w:w="0" w:type="dxa"/>
            <w:right w:w="108" w:type="dxa"/>
          </w:tblCellMar>
        </w:tblPrEx>
        <w:trPr>
          <w:trHeight w:val="270" w:hRule="atLeast"/>
        </w:trPr>
        <w:tc>
          <w:tcPr>
            <w:tcW w:w="1240" w:type="dxa"/>
            <w:tcBorders>
              <w:top w:val="nil"/>
              <w:left w:val="nil"/>
              <w:bottom w:val="nil"/>
              <w:right w:val="nil"/>
            </w:tcBorders>
            <w:shd w:val="clear" w:color="auto" w:fill="auto"/>
            <w:vAlign w:val="center"/>
          </w:tcPr>
          <w:p>
            <w:pPr>
              <w:widowControl/>
              <w:rPr>
                <w:color w:val="000000"/>
                <w:kern w:val="0"/>
                <w:szCs w:val="21"/>
              </w:rPr>
            </w:pPr>
          </w:p>
        </w:tc>
        <w:tc>
          <w:tcPr>
            <w:tcW w:w="1080" w:type="dxa"/>
            <w:tcBorders>
              <w:top w:val="nil"/>
              <w:left w:val="nil"/>
              <w:bottom w:val="nil"/>
              <w:right w:val="nil"/>
            </w:tcBorders>
            <w:shd w:val="clear" w:color="auto" w:fill="auto"/>
            <w:vAlign w:val="center"/>
          </w:tcPr>
          <w:p>
            <w:pPr>
              <w:widowControl/>
              <w:jc w:val="left"/>
              <w:rPr>
                <w:rFonts w:ascii="宋体" w:hAnsi="宋体" w:cs="宋体"/>
                <w:color w:val="000000"/>
                <w:kern w:val="0"/>
                <w:sz w:val="22"/>
                <w:szCs w:val="22"/>
              </w:rPr>
            </w:pPr>
          </w:p>
        </w:tc>
        <w:tc>
          <w:tcPr>
            <w:tcW w:w="2860" w:type="dxa"/>
            <w:tcBorders>
              <w:top w:val="nil"/>
              <w:left w:val="nil"/>
              <w:bottom w:val="nil"/>
              <w:right w:val="nil"/>
            </w:tcBorders>
            <w:shd w:val="clear" w:color="auto" w:fill="auto"/>
            <w:vAlign w:val="center"/>
          </w:tcPr>
          <w:p>
            <w:pPr>
              <w:widowControl/>
              <w:jc w:val="left"/>
              <w:rPr>
                <w:rFonts w:ascii="宋体" w:hAnsi="宋体" w:cs="宋体"/>
                <w:color w:val="000000"/>
                <w:kern w:val="0"/>
                <w:sz w:val="22"/>
                <w:szCs w:val="22"/>
              </w:rPr>
            </w:pPr>
          </w:p>
        </w:tc>
        <w:tc>
          <w:tcPr>
            <w:tcW w:w="4240" w:type="dxa"/>
            <w:tcBorders>
              <w:top w:val="nil"/>
              <w:left w:val="nil"/>
              <w:bottom w:val="nil"/>
              <w:right w:val="nil"/>
            </w:tcBorders>
            <w:shd w:val="clear" w:color="auto" w:fill="auto"/>
            <w:vAlign w:val="center"/>
          </w:tcPr>
          <w:p>
            <w:pPr>
              <w:widowControl/>
              <w:jc w:val="left"/>
              <w:rPr>
                <w:rFonts w:ascii="宋体" w:hAnsi="宋体" w:cs="宋体"/>
                <w:color w:val="000000"/>
                <w:kern w:val="0"/>
                <w:sz w:val="22"/>
                <w:szCs w:val="22"/>
              </w:rPr>
            </w:pPr>
          </w:p>
        </w:tc>
      </w:tr>
      <w:tr>
        <w:tblPrEx>
          <w:tblCellMar>
            <w:top w:w="0" w:type="dxa"/>
            <w:left w:w="108" w:type="dxa"/>
            <w:bottom w:w="0" w:type="dxa"/>
            <w:right w:w="108" w:type="dxa"/>
          </w:tblCellMar>
        </w:tblPrEx>
        <w:trPr>
          <w:trHeight w:val="270" w:hRule="atLeast"/>
        </w:trPr>
        <w:tc>
          <w:tcPr>
            <w:tcW w:w="1240" w:type="dxa"/>
            <w:tcBorders>
              <w:top w:val="nil"/>
              <w:left w:val="nil"/>
              <w:bottom w:val="nil"/>
              <w:right w:val="nil"/>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填报人：</w:t>
            </w:r>
          </w:p>
        </w:tc>
        <w:tc>
          <w:tcPr>
            <w:tcW w:w="1080" w:type="dxa"/>
            <w:tcBorders>
              <w:top w:val="nil"/>
              <w:left w:val="nil"/>
              <w:bottom w:val="nil"/>
              <w:right w:val="nil"/>
            </w:tcBorders>
            <w:shd w:val="clear" w:color="auto" w:fill="auto"/>
            <w:vAlign w:val="center"/>
          </w:tcPr>
          <w:p>
            <w:pPr>
              <w:widowControl/>
              <w:jc w:val="left"/>
              <w:rPr>
                <w:rFonts w:ascii="宋体" w:hAnsi="宋体" w:cs="宋体"/>
                <w:color w:val="000000"/>
                <w:kern w:val="0"/>
                <w:sz w:val="22"/>
                <w:szCs w:val="22"/>
              </w:rPr>
            </w:pPr>
          </w:p>
        </w:tc>
        <w:tc>
          <w:tcPr>
            <w:tcW w:w="2860" w:type="dxa"/>
            <w:tcBorders>
              <w:top w:val="nil"/>
              <w:left w:val="nil"/>
              <w:bottom w:val="nil"/>
              <w:right w:val="nil"/>
            </w:tcBorders>
            <w:shd w:val="clear" w:color="auto" w:fill="auto"/>
            <w:vAlign w:val="center"/>
          </w:tcPr>
          <w:p>
            <w:pPr>
              <w:widowControl/>
              <w:jc w:val="left"/>
              <w:rPr>
                <w:rFonts w:hint="eastAsia" w:ascii="宋体" w:hAnsi="宋体" w:eastAsia="宋体" w:cs="宋体"/>
                <w:color w:val="000000"/>
                <w:kern w:val="0"/>
                <w:sz w:val="22"/>
                <w:szCs w:val="22"/>
                <w:lang w:eastAsia="zh-CN"/>
              </w:rPr>
            </w:pPr>
            <w:r>
              <w:rPr>
                <w:rFonts w:hint="eastAsia" w:ascii="宋体" w:hAnsi="宋体" w:cs="宋体"/>
                <w:color w:val="000000"/>
                <w:kern w:val="0"/>
                <w:sz w:val="22"/>
                <w:szCs w:val="22"/>
                <w:lang w:eastAsia="zh-CN"/>
              </w:rPr>
              <w:t>杨洪平</w:t>
            </w:r>
          </w:p>
        </w:tc>
        <w:tc>
          <w:tcPr>
            <w:tcW w:w="4240" w:type="dxa"/>
            <w:tcBorders>
              <w:top w:val="nil"/>
              <w:left w:val="nil"/>
              <w:bottom w:val="nil"/>
              <w:right w:val="nil"/>
            </w:tcBorders>
            <w:shd w:val="clear" w:color="auto" w:fill="auto"/>
            <w:vAlign w:val="center"/>
          </w:tcPr>
          <w:p>
            <w:pPr>
              <w:widowControl/>
              <w:jc w:val="lef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rPr>
              <w:t>联系电话：</w:t>
            </w:r>
            <w:r>
              <w:rPr>
                <w:rFonts w:hint="eastAsia" w:ascii="宋体" w:hAnsi="宋体" w:cs="宋体"/>
                <w:color w:val="000000"/>
                <w:kern w:val="0"/>
                <w:sz w:val="22"/>
                <w:szCs w:val="22"/>
                <w:lang w:val="en-US" w:eastAsia="zh-CN"/>
              </w:rPr>
              <w:t>13883907032</w:t>
            </w:r>
          </w:p>
        </w:tc>
      </w:tr>
    </w:tbl>
    <w:p>
      <w:pPr>
        <w:spacing w:line="360" w:lineRule="auto"/>
        <w:rPr>
          <w:rFonts w:ascii="方正仿宋_GBK" w:hAnsi="华文中宋" w:eastAsia="方正仿宋_GBK"/>
          <w:sz w:val="32"/>
          <w:szCs w:val="32"/>
        </w:rPr>
      </w:pPr>
    </w:p>
    <w:p/>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方正小标宋_GBK" w:hAnsi="宋体" w:eastAsia="方正小标宋_GBK" w:cs="宋体"/>
          <w:color w:val="000000"/>
          <w:kern w:val="0"/>
          <w:sz w:val="44"/>
          <w:szCs w:val="44"/>
        </w:rPr>
      </w:pPr>
      <w:r>
        <w:rPr>
          <w:rFonts w:hint="eastAsia" w:eastAsia="方正小标宋_GBK" w:cs="Times New Roman"/>
          <w:sz w:val="44"/>
          <w:szCs w:val="44"/>
          <w:lang w:eastAsia="zh-CN"/>
        </w:rPr>
        <w:t>关于打铜街传统风貌区建设项目</w:t>
      </w:r>
      <w:r>
        <w:rPr>
          <w:rFonts w:ascii="Times New Roman" w:hAnsi="Times New Roman" w:eastAsia="方正小标宋_GBK" w:cs="Times New Roman"/>
          <w:sz w:val="44"/>
          <w:szCs w:val="44"/>
        </w:rPr>
        <w:t>绩效评价发现问题整改</w:t>
      </w:r>
      <w:r>
        <w:rPr>
          <w:rFonts w:hint="eastAsia" w:ascii="方正小标宋_GBK" w:hAnsi="宋体" w:eastAsia="方正小标宋_GBK" w:cs="宋体"/>
          <w:color w:val="000000"/>
          <w:kern w:val="0"/>
          <w:sz w:val="44"/>
          <w:szCs w:val="44"/>
        </w:rPr>
        <w:t>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hint="eastAsia" w:ascii="方正仿宋_GBK" w:eastAsia="方正仿宋_GBK"/>
          <w:sz w:val="32"/>
          <w:szCs w:val="32"/>
          <w:lang w:eastAsia="zh-CN"/>
        </w:rPr>
      </w:pP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firstLine="640" w:firstLineChars="200"/>
        <w:textAlignment w:val="auto"/>
        <w:outlineLvl w:val="9"/>
        <w:rPr>
          <w:rFonts w:hint="eastAsia" w:ascii="方正黑体_GBK" w:hAnsi="方正黑体_GBK" w:eastAsia="方正黑体_GBK" w:cs="方正黑体_GBK"/>
          <w:sz w:val="32"/>
          <w:szCs w:val="32"/>
        </w:rPr>
      </w:pPr>
      <w:r>
        <w:rPr>
          <w:rFonts w:hint="eastAsia" w:ascii="方正黑体_GBK" w:hAnsi="方正黑体_GBK" w:eastAsia="方正黑体_GBK" w:cs="方正黑体_GBK"/>
          <w:sz w:val="32"/>
          <w:szCs w:val="32"/>
          <w:lang w:eastAsia="zh-CN"/>
        </w:rPr>
        <w:t>项目绩效评价情况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9"/>
        <w:rPr>
          <w:rFonts w:hint="eastAsia" w:ascii="方正仿宋_GBK" w:eastAsia="方正仿宋_GBK"/>
          <w:sz w:val="32"/>
          <w:szCs w:val="32"/>
          <w:lang w:val="en-US" w:eastAsia="zh-CN"/>
        </w:rPr>
      </w:pPr>
      <w:r>
        <w:rPr>
          <w:rFonts w:hint="eastAsia" w:ascii="方正仿宋_GBK" w:eastAsia="方正仿宋_GBK"/>
          <w:sz w:val="32"/>
          <w:szCs w:val="32"/>
          <w:lang w:eastAsia="zh-CN"/>
        </w:rPr>
        <w:t>打铜街传统风貌区建设项目区域包括美丰银行旧址、交通银行旧址、川康平民银行旧址和国民政府经济部旧址</w:t>
      </w:r>
      <w:r>
        <w:rPr>
          <w:rFonts w:hint="eastAsia" w:ascii="方正仿宋_GBK" w:eastAsia="方正仿宋_GBK"/>
          <w:sz w:val="32"/>
          <w:szCs w:val="32"/>
          <w:lang w:val="en-US" w:eastAsia="zh-CN"/>
        </w:rPr>
        <w:t>4处文物保护单位，以及会仙楼客栈、如家酒店等13家社会单位，总用地面积约6万多平方米，面积约4.9万平方米。经对产出、管理等方面进行综合评价，</w:t>
      </w:r>
      <w:r>
        <w:rPr>
          <w:rFonts w:hint="eastAsia" w:ascii="方正仿宋_GBK" w:eastAsia="方正仿宋_GBK"/>
          <w:sz w:val="32"/>
          <w:szCs w:val="32"/>
          <w:lang w:eastAsia="zh-CN"/>
        </w:rPr>
        <w:t>打铜街传统风貌区建设项目</w:t>
      </w:r>
      <w:r>
        <w:rPr>
          <w:rFonts w:hint="eastAsia" w:ascii="方正仿宋_GBK" w:eastAsia="方正仿宋_GBK"/>
          <w:sz w:val="32"/>
          <w:szCs w:val="32"/>
          <w:lang w:val="en-US" w:eastAsia="zh-CN"/>
        </w:rPr>
        <w:t>绩效评价得分为72.48分，评定等级为“中”。其中产出情况设定分值60分，得分38.98分。管理情况设定分值40分，得分33.50分。主要扣分事项包括：工程未正式验收、市政部分未实施、项目前期未进行整体可行性研究、未制定相应的项目资金管理办法、未跟踪管理等。</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firstLine="640" w:firstLineChars="200"/>
        <w:textAlignment w:val="auto"/>
        <w:outlineLvl w:val="9"/>
        <w:rPr>
          <w:rFonts w:hint="eastAsia"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整改工作开展情况</w:t>
      </w:r>
    </w:p>
    <w:p>
      <w:pPr>
        <w:keepNext w:val="0"/>
        <w:keepLines w:val="0"/>
        <w:pageBreakBefore w:val="0"/>
        <w:widowControl w:val="0"/>
        <w:numPr>
          <w:numId w:val="0"/>
        </w:numPr>
        <w:kinsoku/>
        <w:wordWrap/>
        <w:overflowPunct/>
        <w:topLinePunct w:val="0"/>
        <w:autoSpaceDE/>
        <w:autoSpaceDN/>
        <w:bidi w:val="0"/>
        <w:adjustRightInd/>
        <w:snapToGrid/>
        <w:spacing w:line="600" w:lineRule="exact"/>
        <w:ind w:firstLine="640" w:firstLineChars="200"/>
        <w:textAlignment w:val="auto"/>
        <w:outlineLvl w:val="9"/>
        <w:rPr>
          <w:rFonts w:hint="eastAsia" w:ascii="方正仿宋_GBK" w:eastAsia="方正仿宋_GBK"/>
          <w:sz w:val="32"/>
          <w:szCs w:val="32"/>
          <w:lang w:val="en-US" w:eastAsia="zh-CN"/>
        </w:rPr>
      </w:pPr>
      <w:r>
        <w:rPr>
          <w:rFonts w:hint="eastAsia" w:ascii="方正仿宋_GBK" w:eastAsia="方正仿宋_GBK"/>
          <w:sz w:val="32"/>
          <w:szCs w:val="32"/>
          <w:lang w:eastAsia="zh-CN"/>
        </w:rPr>
        <w:t>（一</w:t>
      </w:r>
      <w:r>
        <w:rPr>
          <w:rFonts w:hint="eastAsia" w:ascii="方正仿宋_GBK" w:eastAsia="方正仿宋_GBK"/>
          <w:sz w:val="32"/>
          <w:szCs w:val="32"/>
          <w:lang w:val="en-US" w:eastAsia="zh-CN"/>
        </w:rPr>
        <w:t>0</w:t>
      </w:r>
      <w:r>
        <w:rPr>
          <w:rFonts w:hint="eastAsia" w:ascii="方正仿宋_GBK" w:eastAsia="方正仿宋_GBK"/>
          <w:sz w:val="32"/>
          <w:szCs w:val="32"/>
          <w:lang w:eastAsia="zh-CN"/>
        </w:rPr>
        <w:t>针</w:t>
      </w:r>
      <w:r>
        <w:rPr>
          <w:rFonts w:hint="eastAsia" w:ascii="方正仿宋_GBK" w:eastAsia="方正仿宋_GBK"/>
          <w:sz w:val="32"/>
          <w:szCs w:val="32"/>
          <w:lang w:val="en-US" w:eastAsia="zh-CN"/>
        </w:rPr>
        <w:t>对项目未按照批复规定的时间按时完工的问题，我委一直严格按照文物维护保养方案实施，积极协调市文物局及有关文物专家推动完成施工内容。2020年4月10日由市文物局组织相关专家进行了竣工验收，验收结果为合格，达到维护保养的目的。2020年4月21日组织相关部门完成非文物部分整治验收工作。现正进行项目决算审计工作。</w:t>
      </w:r>
    </w:p>
    <w:p>
      <w:pPr>
        <w:keepNext w:val="0"/>
        <w:keepLines w:val="0"/>
        <w:pageBreakBefore w:val="0"/>
        <w:widowControl w:val="0"/>
        <w:numPr>
          <w:numId w:val="0"/>
        </w:numPr>
        <w:kinsoku/>
        <w:wordWrap/>
        <w:overflowPunct/>
        <w:topLinePunct w:val="0"/>
        <w:autoSpaceDE/>
        <w:autoSpaceDN/>
        <w:bidi w:val="0"/>
        <w:adjustRightInd/>
        <w:snapToGrid/>
        <w:spacing w:line="600" w:lineRule="exact"/>
        <w:ind w:firstLine="640" w:firstLineChars="200"/>
        <w:textAlignment w:val="auto"/>
        <w:outlineLvl w:val="9"/>
        <w:rPr>
          <w:rFonts w:hint="eastAsia" w:ascii="方正仿宋_GBK" w:eastAsia="方正仿宋_GBK"/>
          <w:sz w:val="32"/>
          <w:szCs w:val="32"/>
          <w:lang w:eastAsia="zh-CN"/>
        </w:rPr>
      </w:pPr>
      <w:r>
        <w:rPr>
          <w:rFonts w:hint="eastAsia" w:ascii="方正仿宋_GBK" w:eastAsia="方正仿宋_GBK"/>
          <w:sz w:val="32"/>
          <w:szCs w:val="32"/>
          <w:lang w:eastAsia="zh-CN"/>
        </w:rPr>
        <w:t>（二）针对跟踪管理不到位的问题，</w:t>
      </w:r>
      <w:r>
        <w:rPr>
          <w:rFonts w:hint="eastAsia" w:ascii="方正仿宋_GBK" w:eastAsia="方正仿宋_GBK"/>
          <w:sz w:val="32"/>
          <w:szCs w:val="32"/>
          <w:lang w:val="en-US" w:eastAsia="zh-CN"/>
        </w:rPr>
        <w:t>我委于2019年11月29日经请示项目负责区领导何家利副书记同意将打铜街传统风貌区建设市政部分移交解放碑CBD，纳入文旅通廊统一整治。</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firstLine="640" w:firstLineChars="200"/>
        <w:textAlignment w:val="auto"/>
        <w:outlineLvl w:val="9"/>
        <w:rPr>
          <w:rFonts w:hint="eastAsia" w:ascii="方正黑体_GBK" w:hAnsi="方正黑体_GBK" w:eastAsia="方正黑体_GBK" w:cs="方正黑体_GBK"/>
          <w:sz w:val="32"/>
          <w:szCs w:val="32"/>
          <w:lang w:eastAsia="zh-CN"/>
        </w:rPr>
      </w:pPr>
      <w:r>
        <w:rPr>
          <w:rFonts w:hint="eastAsia" w:ascii="方正黑体_GBK" w:hAnsi="方正黑体_GBK" w:eastAsia="方正黑体_GBK" w:cs="方正黑体_GBK"/>
          <w:sz w:val="32"/>
          <w:szCs w:val="32"/>
          <w:lang w:eastAsia="zh-CN"/>
        </w:rPr>
        <w:t>问题成因及下一步改进措施</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9"/>
        <w:rPr>
          <w:rFonts w:hint="eastAsia" w:ascii="方正仿宋_GBK" w:eastAsia="方正仿宋_GBK"/>
          <w:sz w:val="32"/>
          <w:szCs w:val="32"/>
          <w:lang w:eastAsia="zh-CN"/>
        </w:rPr>
      </w:pPr>
      <w:r>
        <w:rPr>
          <w:rFonts w:hint="eastAsia" w:ascii="方正仿宋_GBK" w:eastAsia="方正仿宋_GBK"/>
          <w:sz w:val="32"/>
          <w:szCs w:val="32"/>
          <w:lang w:eastAsia="zh-CN"/>
        </w:rPr>
        <w:t>本次绩效评价所发现问题，一是由于</w:t>
      </w:r>
      <w:r>
        <w:rPr>
          <w:rFonts w:hint="eastAsia" w:ascii="方正仿宋_GBK" w:eastAsia="方正仿宋_GBK"/>
          <w:sz w:val="32"/>
          <w:szCs w:val="32"/>
          <w:lang w:val="en-US" w:eastAsia="zh-CN"/>
        </w:rPr>
        <w:t>打铜街传统风貌区四处文物的维护保养未近期完成原因如下：在维护保养方案设计中，方案调整变更大且程序复杂，后经市文物局组织文物专家多次认证，于2018年11月底才将维护保养方案确定，我委立即组织施工单位及时进场施工，这是造成未按期完成的原因之一，在维护保养过程中，国民经济部旧址外墙磁砖难以在市面上找到（到80年代的砖），市面早已淘汰，以上是造成示近期完成维护保养工作原因。二是由于文旅通廊建设需要，将打铜街传统风貌区项目的市政部分纳入市、区统一设计，由于设计等原因造成工程未实施</w:t>
      </w:r>
      <w:r>
        <w:rPr>
          <w:rFonts w:hint="eastAsia" w:ascii="方正仿宋_GBK" w:eastAsia="方正仿宋_GBK"/>
          <w:sz w:val="32"/>
          <w:szCs w:val="32"/>
          <w:lang w:eastAsia="zh-CN"/>
        </w:rPr>
        <w:t>。下一步我委将严格区委区政府决议，加快打铜街传统风貌区建设项目，一是积极争取相关部门支持，尽快完成项目后续工作</w:t>
      </w:r>
      <w:r>
        <w:rPr>
          <w:rFonts w:hint="eastAsia" w:ascii="方正仿宋_GBK" w:eastAsia="方正仿宋_GBK"/>
          <w:sz w:val="32"/>
          <w:szCs w:val="32"/>
          <w:lang w:val="en-US" w:eastAsia="zh-CN"/>
        </w:rPr>
        <w:t>，二是加强项目跟踪管理，</w:t>
      </w:r>
      <w:r>
        <w:rPr>
          <w:rFonts w:hint="eastAsia" w:ascii="方正仿宋_GBK" w:eastAsia="方正仿宋_GBK"/>
          <w:sz w:val="32"/>
          <w:szCs w:val="32"/>
          <w:lang w:eastAsia="zh-CN"/>
        </w:rPr>
        <w:t>坚决杜绝类似问题再次发生。</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9"/>
        <w:rPr>
          <w:rFonts w:hint="eastAsia" w:ascii="方正仿宋_GBK" w:eastAsia="方正仿宋_GBK"/>
          <w:sz w:val="32"/>
          <w:szCs w:val="32"/>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9"/>
        <w:rPr>
          <w:rFonts w:hint="eastAsia" w:ascii="方正仿宋_GBK" w:eastAsia="方正仿宋_GBK"/>
          <w:sz w:val="32"/>
          <w:szCs w:val="32"/>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9"/>
        <w:rPr>
          <w:rFonts w:hint="eastAsia" w:ascii="方正仿宋_GBK" w:eastAsia="方正仿宋_GBK"/>
          <w:sz w:val="32"/>
          <w:szCs w:val="32"/>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9"/>
        <w:rPr>
          <w:rFonts w:hint="eastAsia" w:ascii="方正仿宋_GBK" w:eastAsia="方正仿宋_GBK"/>
          <w:sz w:val="32"/>
          <w:szCs w:val="32"/>
          <w:lang w:eastAsia="zh-CN"/>
        </w:rPr>
      </w:pPr>
      <w:bookmarkStart w:id="0" w:name="_GoBack"/>
      <w:bookmarkEnd w:id="0"/>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9"/>
        <w:rPr>
          <w:rFonts w:hint="eastAsia" w:ascii="方正仿宋_GBK" w:eastAsia="方正仿宋_GBK"/>
          <w:sz w:val="32"/>
          <w:szCs w:val="32"/>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3200" w:firstLineChars="1000"/>
        <w:textAlignment w:val="auto"/>
        <w:outlineLvl w:val="9"/>
        <w:rPr>
          <w:rFonts w:hint="eastAsia" w:ascii="方正仿宋_GBK" w:eastAsia="方正仿宋_GBK"/>
          <w:sz w:val="32"/>
          <w:szCs w:val="32"/>
          <w:lang w:val="en-US" w:eastAsia="zh-CN"/>
        </w:rPr>
      </w:pPr>
      <w:r>
        <w:rPr>
          <w:rFonts w:hint="eastAsia" w:ascii="方正仿宋_GBK" w:eastAsia="方正仿宋_GBK"/>
          <w:sz w:val="32"/>
          <w:szCs w:val="32"/>
          <w:lang w:val="en-US" w:eastAsia="zh-CN"/>
        </w:rPr>
        <w:t>重庆市渝中区文化和旅游发展委员会</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4480" w:firstLineChars="1400"/>
        <w:textAlignment w:val="auto"/>
        <w:outlineLvl w:val="9"/>
      </w:pPr>
      <w:r>
        <w:rPr>
          <w:rFonts w:hint="eastAsia" w:ascii="方正仿宋_GBK" w:eastAsia="方正仿宋_GBK"/>
          <w:sz w:val="32"/>
          <w:szCs w:val="32"/>
          <w:lang w:val="en-US" w:eastAsia="zh-CN"/>
        </w:rPr>
        <w:t>2020年6月15日</w:t>
      </w:r>
    </w:p>
    <w:sectPr>
      <w:pgSz w:w="11906" w:h="16838"/>
      <w:pgMar w:top="1985" w:right="1446" w:bottom="1644" w:left="144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方正黑体_GBK">
    <w:altName w:val="黑体"/>
    <w:panose1 w:val="03000509000000000000"/>
    <w:charset w:val="86"/>
    <w:family w:val="script"/>
    <w:pitch w:val="default"/>
    <w:sig w:usb0="00000000" w:usb1="00000000" w:usb2="00000000" w:usb3="00000000" w:csb0="00040000" w:csb1="00000000"/>
  </w:font>
  <w:font w:name="方正小标宋_GBK">
    <w:altName w:val="宋体"/>
    <w:panose1 w:val="03000509000000000000"/>
    <w:charset w:val="86"/>
    <w:family w:val="script"/>
    <w:pitch w:val="default"/>
    <w:sig w:usb0="00000000" w:usb1="00000000" w:usb2="00000000" w:usb3="00000000" w:csb0="00040000" w:csb1="00000000"/>
  </w:font>
  <w:font w:name="方正仿宋_GBK">
    <w:altName w:val="宋体"/>
    <w:panose1 w:val="03000509000000000000"/>
    <w:charset w:val="86"/>
    <w:family w:val="script"/>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方正仿宋_GBK">
    <w:altName w:val="宋体"/>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5D0DFC7"/>
    <w:multiLevelType w:val="singleLevel"/>
    <w:tmpl w:val="C5D0DFC7"/>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362B"/>
    <w:rsid w:val="008F362B"/>
    <w:rsid w:val="173578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2020-06-15T04:47:00Z</dcterms:created>
  <dc:creator>未定义</dc:creator>
  <cp:lastModifiedBy>Administrator</cp:lastModifiedBy>
  <dcterms:modified xsi:type="dcterms:W3CDTF">2020-06-15T07:08:48Z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