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08"/>
        <w:gridCol w:w="4642"/>
        <w:gridCol w:w="1050"/>
        <w:gridCol w:w="1020"/>
        <w:gridCol w:w="2430"/>
        <w:gridCol w:w="1740"/>
        <w:gridCol w:w="1275"/>
        <w:gridCol w:w="1290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464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重庆全红中医院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大坪正街160号2幢1层、3层、4层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重庆医科大学分子医学检测中心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渝中区医学院路1号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2024-05-15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重庆市渝中职业教育中心医务室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大坪浮图关52号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重庆市渝中区马家堡小学医务室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大坪支路42号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重庆优眠门诊部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大坪街道大坪正街88号第4层2-3、3#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重庆医科大学附属第一医院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渝中区医学院路1号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重庆圣佑肛肠医院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长江二路10-5号附1层至4层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重庆全红中医院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大坪正街160号2幢1层、3层、4层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重庆医科大学分子医学检测中心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渝中区医学院路1号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2024-05-15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重庆市渝中职业教育中心医务室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大坪浮图关52号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重庆市渝中区马家堡小学医务室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大坪支路42号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重庆优眠门诊部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大坪街道大坪正街88号第4层2-3、3#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重庆医科大学附属第一医院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渝中区医学院路1号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重庆圣佑肛肠医院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长江二路10-5号附1层至4层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2024-05-17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重庆中石化和光石油销售有限公司菜园坝加油加气站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重庆市渝中区菜袁路65号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翔龙重庆汽车维修有限公司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重庆市渝中区大溪沟街73号名义层负3层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欧苏口腔诊所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重庆市渝中区华盛路33号附4号附5号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放射卫生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瞿杨口腔诊所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重庆市渝中区化龙桥街道瑞天路27号、29号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放射卫生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渝中区宋祝福健康咨询服务部（个体工商户）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重庆市渝中区化龙桥街道瑞天路166号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渝中区迪樊旗美发中心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重庆市渝中区化龙桥街道永嘉路28号9幢负1-商铺11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重庆金色故事足浴有限公司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重庆市渝中区瑞天路6号5层部份（自主承诺）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渝中区壮草堂保健养生馆（个体工商户）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重庆市渝中区嘉金路5号19-16#（自主承诺）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2024.5.16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重庆朕尔职业病康复医院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重庆市渝中区大坪正街162号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职业健康检查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重庆朕尔职业病康复医院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重庆市渝中区渝州路190号附1号负1-2楼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放射诊疗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2024.5.17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重庆和合酒店有限公司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重庆市渝中区青年路7号37-1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重庆熹时代酒店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重庆市渝中区青年路7号29-8解放碑街道办事处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重庆杰之作酒店管理有限公司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重庆市渝中区青年路7号43-1#至43-3#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重庆三年后酒店管理有限公司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重庆市渝中区青年路7号33-9#解放碑街道办事处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重庆格调花园酒店管理有限责任公司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重庆市渝中区青年路7号26-8#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重庆远宏物业管理有限公司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重庆市渝中区筷子街2号朝天门街道办事处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供水机构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2024-05-15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吴开英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重庆市渝中区大同路16号第六层（物理层）A103、A104#解放碑街道办事处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2024-05-14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渝中区晓琦美容院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重庆市渝中区大同巷19号12-8#解放碑街道办事处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2024-05-13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渝中区领尚美容店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重庆市渝中区解放碑街道大同路16号第5层2号商铺部分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2024-05-13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渝中区依人坊美容院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重庆市渝中区戴家巷2号12-5解放碑街道办事处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2024-05-13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周晓利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重庆市渝中区和平路1号1单元16-4#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2024-05-13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重庆奕鸣居酒店管理有限公司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重庆市渝中区解放碑街道青年路7号15-3#、15-5#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2024-05-09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渝中区云上兮高空观景酒店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重庆市渝中区解放碑街道青年路1号B幢28-3#、28-4#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2024-05-09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渝中区隐栖高空观景酒店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重庆市渝中区解放碑街道渝中区青年路7号31-1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2024-05-09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重庆隐兮酒店管理有限公司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重庆市渝中区青年路7号时代豪苑D座35-2#、35-5#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2024-05-09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重庆恩态酒店管理有限责任公司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重庆市渝中区青年路3号19-1#解放碑街道办事处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2024-05-08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渝中区月亮湾宾馆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重庆市渝中区青年路7号15-2#解放碑街道办事处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2024-05-08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重庆市渝中区金帝来公寓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重庆市渝中区民生路9号25楼解放碑街道办事处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2024-05-08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渝中区零距离宾馆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重庆市渝中区青年路1号31-1、2#解放碑街道办事处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2024-05-08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重庆斯威特酒店有限公司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重庆市渝中区青年路7号21楼解放碑街道办事处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2024-05-08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重庆时代寓言酒店管理有限公司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重庆市渝中区青年路3号A幢12-1#、12-2#解放碑街道办事处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2024-05-08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重庆途悦酒店管理有限公司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重庆市渝中区民生路181号11层（自主承诺）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重庆钊伦酒店管理有限责任公司渝中区分公司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重庆市渝中区青年路3号21-3#、21-4#解放碑街道办事处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渝中区一沐旅店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重庆市渝中区青年路1号9-3#、9-4#解放碑街道办事处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渝中区重屿酒店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重庆市渝中区解放碑街道青年路1号B幢27-3、27-4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渝中区伊贝酒店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重庆市渝中区青年路3号15-1、2、3、4#解放碑街道办事处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艺之美医疗美容诊所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渝中区大同路16号第5层2号商铺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马青中医骨伤科诊所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渝中区解放东路65号朝天门街道办事处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彭友堂口腔科诊所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渝中区解放东路153号二楼朝天门街道办事处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重庆大安中西医结合医院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渝中区解放东路128号1-2层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重庆市渝中区朝天门街道社区卫生服务中心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重庆市渝中区解放东路187号附1号、重庆市渝中区巴县衙门46号1-7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谭康碧西医内科诊所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渝中区陕西路74号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王渝中医内科诊所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渝中区解放东路130号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2024-05-07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重庆晚安巴渝酒店管理有限责任公司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重庆市渝中区青年路1号29-4＃、29-3#、24-1#、31-1#、31-2#、24-2#解放碑街道办事处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渝中区美圣美邦美容中心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重庆市渝中区解放碑街道八一路99号第5层539-540号铺位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重庆虹逸酒店管理有限公司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重庆市渝中区解放碑街道青年路1号13-4#、15-1#、15-2#、15-4#、20-4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渝中区美都宾馆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重庆市渝中区解放碑街道民生路5号名义层第五层部分（自主承诺）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重庆朝天门医院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渝中区新华路142号附3号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重庆美圣美邦医疗美容门诊部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渝中区邹容路68号第5层513-540号铺位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刘萍口腔诊所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重庆市渝中区临江门1号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重庆临江门医院管理有限公司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重庆市渝中区解放碑街道临江门15号（自主承诺）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重庆诺美欣悦医疗美容诊所有限公司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重庆市渝中区解放碑街道民族路188号57层1、2、3、4、5、6单元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渝中区解放碑街道临江门社区卫生服务站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渝中区临江门20号14-3、14-4#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陈忠福诊所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渝中区新华路36号负二层2#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吴德中医骨伤科诊所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渝中区朝千路7号3单元1-1#朝天门街道办事处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重庆老卫生科技工作者协会九诊所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渝中区棉花街8号F1-1#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丁亚其中医诊所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渝中区道门口7号名义层1层A2#朝天门街道办事处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颜芳口腔诊所</w:t>
            </w:r>
          </w:p>
        </w:tc>
        <w:tc>
          <w:tcPr>
            <w:tcW w:w="464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渝中区棉花街8号第一层F-2（棉花街8号附4号）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243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2024-05-06 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5</Pages>
  <Words>4352</Words>
  <Characters>5314</Characters>
  <Lines>904</Lines>
  <Paragraphs>587</Paragraphs>
  <CharactersWithSpaces>5366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2025-08-28T08:42:38Z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