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重庆市渝中区计划生育协会</w:t>
      </w:r>
    </w:p>
    <w:p>
      <w:pPr>
        <w:spacing w:line="594"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2021年度部门决算情况说明</w:t>
      </w:r>
    </w:p>
    <w:p>
      <w:pPr>
        <w:spacing w:line="594" w:lineRule="exact"/>
        <w:rPr>
          <w:rFonts w:ascii="Times New Roman" w:hAnsi="Times New Roman" w:eastAsia="方正仿宋_GBK" w:cs="Times New Roman"/>
          <w:sz w:val="32"/>
          <w:szCs w:val="32"/>
        </w:rPr>
      </w:pPr>
    </w:p>
    <w:p>
      <w:pPr>
        <w:spacing w:line="594" w:lineRule="exact"/>
        <w:rPr>
          <w:rFonts w:ascii="方正黑体_GBK" w:hAnsi="Times New Roman" w:eastAsia="方正黑体_GBK" w:cs="Times New Roman"/>
          <w:sz w:val="32"/>
          <w:szCs w:val="32"/>
        </w:rPr>
      </w:pPr>
      <w:r>
        <w:rPr>
          <w:rFonts w:ascii="方正黑体_GBK" w:hAnsi="Times New Roman" w:eastAsia="方正黑体_GBK" w:cs="Times New Roman"/>
          <w:sz w:val="32"/>
          <w:szCs w:val="32"/>
        </w:rPr>
        <w:t xml:space="preserve">    一、部门基本情况</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（一）职能职责。</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渝中区计划生育协会为渝中区卫生健康委员会二级预算单位，主要职能是：（一）坚定不移走中国特色社会主义群团发展道路，自觉接受党的领导，切实增强计生协工作的政治性先进性群众性，汇聚育龄群众和计划生育家庭推进社会主义现代化建设的强大合力。（二）切实承担引导育龄群众和计划生育家庭听党话、跟党走的政治任务，把计划生育群众最紧密地团结在党的周围，引导弘扬中华民族传统美德，促进家庭幸福、邻里和谐。（三）按照区委和市计划生育协会的要求，指导全区各级计划生育协会按照有关法律法规和中国计划生育协会章程，组织会员开展具有自身特点的计划生育相关工作和服务活动。（四）协助政府有关部门贯彻落实有关计划生育法律、法规和政策，推动计划生育工作；开展人口和计划生育的调查研究、理论研究和与计划生育有关的其他活动，向党委政府提出政策建议，当好参谋助手。（五）开展群众性计划生育的宣传活动，弘扬社会主义核心价值观，引导育龄群众负责任、有计划地生育；广泛普及有关性与生殖健康、优生优育和预防艾滋病等知识，引导群众树立科学、文明、进步的婚育观念和健康生活方式，提升群众生殖健康意识和水平。（六）组织开展生殖健康咨询、优生优育指导、计划生育保险、计划生育家庭帮扶和流动人口服务，增强计划生育家庭发展能力。（七）做好计划生育困难和特殊家庭的生活、生产、生育扶助和精神慰藉等服务。（八）维护育龄群众和计划生育家庭合法权益，倾听群众意见，反映群众诉求，提供维权帮助。推动计划生育基层群众自治，动员、引导会员、群众实行自我管理、自我教育、自我服务、自我监督。（九）加强基层计生协组织建设、队伍建设和阵地建设，拓展组织覆盖和工作覆盖，创新活动开展和工作评价机制，为计划生育协会事业发展提供保障。（十）在党委、政府领导下开展计划生育的国际交流、合作和对外宣传，在性与生殖健康、优生优育、家庭发展等领域和相关国际交流中积极发挥作用。</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（二）机构设置。</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渝中区计划生育协会未设置内设机构</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（三）单位构成。</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从预算单位构成看，纳入本部门2021年度决算编制的预算单位1个，即渝中区计划生育协会，无下属单位。</w:t>
      </w:r>
    </w:p>
    <w:p>
      <w:pPr>
        <w:spacing w:line="594" w:lineRule="exact"/>
        <w:rPr>
          <w:rFonts w:ascii="方正黑体_GBK" w:hAnsi="Times New Roman" w:eastAsia="方正黑体_GBK" w:cs="Times New Roman"/>
          <w:sz w:val="32"/>
          <w:szCs w:val="32"/>
        </w:rPr>
      </w:pPr>
      <w:r>
        <w:rPr>
          <w:rFonts w:ascii="方正黑体_GBK" w:hAnsi="Times New Roman" w:eastAsia="方正黑体_GBK" w:cs="Times New Roman"/>
          <w:sz w:val="32"/>
          <w:szCs w:val="32"/>
        </w:rPr>
        <w:t xml:space="preserve">    二、部门决算情况说明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（一）收入支出决算总体情况说明。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1.总体情况。2021年度收入总计316.52万元，支出总计316.52万元。收支较上年决算数减少168.73万元、下降34.8%，主要原因是结转上年计划生育服务经费。</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2.收入情况。2021年度收入合计296.66万元，较上年决算数减少12.09万元，下降3.9%，主要原因是结转上年计划生育服务经费。其中：财政拨款收入296.66万元，占100%；年初结转和结余19.86万元。</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3.支出情况。2021年度支出合计288.06万元，较上年决算数减少177.34万元，下降38.1%，主要原因是严格控制经费支出。其中：基本支出43.66万元，占15.2%；项目支出244.40万元，占84.8%。</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4.结转结余情况。2021年度年末结转和结余28.45万元，较上年决算数增加8.59万元，增长43.3%，主要原因是计划生育服务经费结余。</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（二）财政拨款收入支出决算总体情况说明。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2021年度财政拨款收、支总计316.12万元。与2020年相比，财政拨款收、支总计各减少168.73万元，下降34.8%。主要原因是结转上年计划生育服务经费及严格控制经费支出。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（三）一般公共预算财政拨款收入支出决算情况说明。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1.收入情况。2021年度一般公共预算财政拨款收入296.66万元，较上年决算数减少12.09万元，下降3.9%。主要原因是结转上年计划生育服务经费。较年初预算数增加253.85万元，增长593%。主要原因是增加计划生育服务经费，此外，年初财政拨款结转和结余19.46万元。</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2.支出情况。2021年度一般公共预算财政拨款支出288.06万元，较上年决算数减少177.34万元，下降38.1%。主要原因是严格控制经费支出。较年初预算数增加225.79万元，增长362.6%。主要原因是增加计划生育服务经费。</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3.结转结余情况。2021年度年末一般公共预算财政拨款结转和结余28.06万元，较上年决算数增加8.60万元，增长44.2%，主要原因是严格控制经费支出。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4.比较情况。本部门2021年度一般公共预算财政拨款支出主要用于以下几个方面：</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（1）社会保障与就业支出3.10万元，占1.1%，较年初预算数增加0.00万元，增长0%，主要原因是无变化。</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（2）卫生健康支出283.42万元，占98.4%，较年初预算数增加225.79万元，增长391.8%，主要原因是增加计划生育服务经费。</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（四）一般公共预算财政拨款基本支出决算情况说明。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度一般公共财政拨款基本支出43.66万元。其中：人员经费32.44万元，较上年决算数减少2.12万元，下降6.1%，主要原因是人员调整。人员经费用途主要包括基本工资、津贴补贴、奖金、社会保障缴费等；公用经费11.22万元，较上年决算数增加0.40万元，增长3.7%，主要原因是应对新冠疫情，业务工作量增加。公用经费用途主要包括办公费、印刷费、咨询费、手续费、劳务费、差旅费、其他交通费用等。</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（五）政府性基金预算收支决算情况说明。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2021年度政府性基金预算财政拨款年初结转结余0.00万元，年末结转结余0.00万元。本年收入0.00万元，较上年决算数增加0.00万元，增长0%，主要原因是无政府性基金预算财政拨款收</w:t>
      </w:r>
      <w:r>
        <w:rPr>
          <w:rFonts w:hint="eastAsia" w:ascii="Times New Roman" w:hAnsi="Times New Roman" w:eastAsia="方正仿宋_GBK" w:cs="Times New Roman"/>
          <w:sz w:val="32"/>
          <w:szCs w:val="32"/>
          <w:lang w:val="en-US" w:eastAsia="zh-CN"/>
        </w:rPr>
        <w:t>入</w:t>
      </w:r>
      <w:bookmarkStart w:id="0" w:name="_GoBack"/>
      <w:bookmarkEnd w:id="0"/>
      <w:r>
        <w:rPr>
          <w:rFonts w:ascii="Times New Roman" w:hAnsi="Times New Roman" w:eastAsia="方正仿宋_GBK" w:cs="Times New Roman"/>
          <w:sz w:val="32"/>
          <w:szCs w:val="32"/>
        </w:rPr>
        <w:t>。本年支出0.00万元，较上年决算数增加0.00万元，增长0%，主要原因是无政府性基金预算财政拨款收支。本部门2020年度无政府性基金预算财政拨款收支。较上年决算数和年初预算数持平。</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（六）国有资本经营预算财政拨款支出决算情况说明。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本部门2021年度无国有资本经营预算财政拨款支出，较上年决算数和年初预算数持平。</w:t>
      </w:r>
    </w:p>
    <w:p>
      <w:pPr>
        <w:spacing w:line="594" w:lineRule="exact"/>
        <w:rPr>
          <w:rFonts w:ascii="方正黑体_GBK" w:hAnsi="Times New Roman" w:eastAsia="方正黑体_GBK" w:cs="Times New Roman"/>
          <w:sz w:val="32"/>
          <w:szCs w:val="32"/>
        </w:rPr>
      </w:pPr>
      <w:r>
        <w:rPr>
          <w:rFonts w:ascii="方正黑体_GBK" w:hAnsi="Times New Roman" w:eastAsia="方正黑体_GBK" w:cs="Times New Roman"/>
          <w:sz w:val="32"/>
          <w:szCs w:val="32"/>
        </w:rPr>
        <w:t xml:space="preserve">    三、“三公”经费情况说明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（一）“三公”经费支出总体情况说明。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2021年度“三公”经费支出共计0.00万元，较年初预算数增加0.00万元，与上年持平；较上年支出数增加0.00万元，与上年持平，主要原因是本部门2020年度未发生“三公”经费。</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（二）“三公”经费分项支出情况。</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2021年度本部门因公出国（境）费用0.00万元，费用支出较年初预算数增加0.00万元，与上年持平，主要原因是本部门2020年度未发生因公出国（境）费用。</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公务车购置费0.00万元，费用支出较年初预算数增加0.00万元，与上年持平，主要原因是本部门2020年度未发生公务车购置费。</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公务车运行维护费0.00万元，费用支出较年初预算数增加0.00万元，与上年持平，主要原因是未发生公务车运行维护费。</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公务接待费0.00万元，费用支出较年初预算数增加0.00万元，与上年持平，主要原因是本部门2020年度未发生公务接待费。</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（三）“三公”经费实物量情况。</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度本部门因公出国（境）共计0个团组，0人；公务用车购置0辆，公务车保有量为0辆；国内公务接待0批次0人，其中：国内外事接待0批次，0人；国（境）外公务接待0批次，0人。2021年本部门人均接待费0.00元，车均购置费0.00万元，车均维护费0.00万元。</w:t>
      </w:r>
    </w:p>
    <w:p>
      <w:pPr>
        <w:spacing w:line="594" w:lineRule="exact"/>
        <w:rPr>
          <w:rFonts w:ascii="方正黑体_GBK" w:hAnsi="Times New Roman" w:eastAsia="方正黑体_GBK" w:cs="Times New Roman"/>
          <w:sz w:val="32"/>
          <w:szCs w:val="32"/>
        </w:rPr>
      </w:pPr>
      <w:r>
        <w:rPr>
          <w:rFonts w:ascii="方正黑体_GBK" w:hAnsi="Times New Roman" w:eastAsia="方正黑体_GBK" w:cs="Times New Roman"/>
          <w:sz w:val="32"/>
          <w:szCs w:val="32"/>
        </w:rPr>
        <w:t xml:space="preserve">    四、其他需要说明的事项</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（一）一般公共预算财政拨款会议费和培训费情况说明。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本年度会议费支出0.00万元，较上年决算数增加0.00万元，增长%，与上年持平，主要原因是未发生会议费支出。本年度培训费支出0.29万元，较上年决算数增加0.00万元，增长0%，与上年持平，主要原因是加强业务培训。</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（二）机关运行经费情况说明。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度本部门机关运行经费支出11.22万元，机关运行经费主要用于开支办公费、印刷费、手续费、差旅费、劳务费等。机关运行经费较上年决算数增加0.40万元，增长3.7%，主要原因是应对新冠疫情，业务工作量增加。</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（三）国有资产占用情况说明。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截至2021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（四）政府采购支出情况说明。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度本部门政府采购支出总额0.00万元，其中：政府采购货物支出0.00万元、政府采购工程支出0.00万元、政府采购服务支出0.00万元。授予中小企业合同金额0.00万元，占政府采购支出总额的%，其中：授予小微企业合同金额0.00万元，占政府采购支出总额的%。2021年度我单位未发生政府采购事项，无相关经费支出。</w:t>
      </w:r>
    </w:p>
    <w:p>
      <w:pPr>
        <w:spacing w:line="594" w:lineRule="exact"/>
        <w:rPr>
          <w:rFonts w:ascii="方正黑体_GBK" w:hAnsi="Times New Roman" w:eastAsia="方正黑体_GBK" w:cs="Times New Roman"/>
          <w:sz w:val="32"/>
          <w:szCs w:val="32"/>
        </w:rPr>
      </w:pPr>
      <w:r>
        <w:rPr>
          <w:rFonts w:ascii="方正黑体_GBK" w:hAnsi="Times New Roman" w:eastAsia="方正黑体_GBK" w:cs="Times New Roman"/>
          <w:sz w:val="32"/>
          <w:szCs w:val="32"/>
        </w:rPr>
        <w:t xml:space="preserve">    五、预算绩效管理情况说明</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无</w:t>
      </w:r>
    </w:p>
    <w:p>
      <w:pPr>
        <w:spacing w:line="594" w:lineRule="exact"/>
        <w:rPr>
          <w:rFonts w:ascii="方正黑体_GBK" w:hAnsi="Times New Roman" w:eastAsia="方正黑体_GBK" w:cs="Times New Roman"/>
          <w:sz w:val="32"/>
          <w:szCs w:val="32"/>
        </w:rPr>
      </w:pPr>
      <w:r>
        <w:rPr>
          <w:rFonts w:ascii="方正黑体_GBK" w:hAnsi="Times New Roman" w:eastAsia="方正黑体_GBK" w:cs="Times New Roman"/>
          <w:sz w:val="32"/>
          <w:szCs w:val="32"/>
        </w:rPr>
        <w:t xml:space="preserve">    六、专业名词解释</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（一）财政拨款收入：指本年度从本级财政部门取得的财政拨款，包括一般公共预算财政拨款和政府性基金预算财政拨款。</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（二）事业收入：指事业单位开展专业业务活动及其辅助活动取得的现金流入；事业单位收到的财政专户实际核拨的教育收费等资金在此反映。</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（三）经营收入：指事业单位在专业业务活动及其辅助活动之外开展非独立核算经营活动取得的现金流入。</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（五）使用非财政拨款结余：指单位在当年的“财政拨款收入”、“事业收入”、“经营收入”、“其他收入”等不足以安排当年支出的情况下，使用以前年度积累的非财政拨款结余弥补本年度收支缺口的资金。</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（六）年初结转和结余：指单位上年结转本年使用的基本支出结转、项目支出结转和结余、经营结余。</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（七）结余分配：指单位按照国家有关规定，缴纳所得税、提取专用基金、转入非财政拨款结余等当年结余的分配情况。</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（八）年末结转和结余：指单位结转下年的基本支出结转、项目支出结转和结余、经营结余。</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（十）项目支出：指在基本支出之外为完成特定行政任务和事业发展目标所发生的支出。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（十一）经营支出：指事业单位在专业业务活动及其辅助活动之外开展非独立核算经营活动发生的支出。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（十四）工资福利支出（支出经济分类科目类级）：反映单位开支的在职职工和编制外长期聘用人员的各类劳动报酬，以及为上述人员缴纳的各项社会保险费等。</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（十五）商品和服务支出（支出经济分类科目类级）：反映单位购买商品和服务的支出（不包括用于购置固定资产的支出、战略性和应急储备支出）。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（十六）对个人和家庭的补助（支出经济分类科目类级）：反映用于对个人和家庭的补助支出。</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spacing w:line="594" w:lineRule="exact"/>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 xml:space="preserve">    七、决算公开联系方式及信息反馈渠道</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本单位决算公开信息反馈和联系方式：023-63765143。</w:t>
      </w:r>
    </w:p>
    <w:sectPr>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3NzIyZTdkZTU1NjZlNzAxNTc1YThjYzQwOGQ4MGUifQ=="/>
  </w:docVars>
  <w:rsids>
    <w:rsidRoot w:val="00053FE1"/>
    <w:rsid w:val="00053FE1"/>
    <w:rsid w:val="0017601A"/>
    <w:rsid w:val="003A6A2D"/>
    <w:rsid w:val="00B33E2B"/>
    <w:rsid w:val="00B71EBE"/>
    <w:rsid w:val="00DD7B86"/>
    <w:rsid w:val="00E915DF"/>
    <w:rsid w:val="382A4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4637</Words>
  <Characters>5059</Characters>
  <Lines>38</Lines>
  <Paragraphs>10</Paragraphs>
  <TotalTime>4</TotalTime>
  <ScaleCrop>false</ScaleCrop>
  <LinksUpToDate>false</LinksUpToDate>
  <CharactersWithSpaces>5336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2022-11-17T09:43:00Z</dcterms:created>
  <dc:creator>HP</dc:creator>
  <cp:lastModifiedBy>那个她</cp:lastModifiedBy>
  <dcterms:modified xsi:type="dcterms:W3CDTF">2023-03-10T06:28:46Z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88B2A2E7A5734D759BCEC14BC825500B</vt:lpwstr>
  </property>
</Properties>
</file>