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重庆市渝中区计划生育协会</w:t>
      </w:r>
    </w:p>
    <w:p>
      <w:pPr>
        <w:spacing w:line="594"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2021年度部门决算情况说明</w:t>
      </w:r>
    </w:p>
    <w:p>
      <w:pPr>
        <w:spacing w:line="594" w:lineRule="exact"/>
        <w:rPr>
          <w:rFonts w:ascii="Times New Roman" w:hAnsi="Times New Roman" w:eastAsia="方正仿宋_GBK" w:cs="Times New Roman"/>
          <w:sz w:val="32"/>
          <w:szCs w:val="32"/>
        </w:rPr>
      </w:pPr>
    </w:p>
    <w:p>
      <w:pPr>
        <w:spacing w:line="594"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 xml:space="preserve">    一、部门基本情况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（一）职能职责。</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渝中区计划生育协会为渝中区卫生健康委员会二级预算单位，主要职能是：（一）坚定不移走中国特色社会主义群团发展道路，自觉接受党的领导，切实增强计生协工作的政治性先进性群众性，汇聚育龄群众和计划生育家庭推进社会主义现代化建设的强大合力。（二）切实承担引导育龄群众和计划生育家庭听党话、跟党走的政治任务，把计划生育群众最紧密地团结在党的周围，引导弘扬中华民族传统美德，促进家庭幸福、邻里和谐。（三）按照区委和市计划生育协会的要求，指导全区各级计划生育协会按照有关法律法规和中国计划生育协会章程，组织会员开展具有自身特点的计划生育相关工作和服务活动。（四）协助政府有关部门贯彻落实有关计划生育法律、法规和政策，推动计划生育工作；开展人口和计划生育的调查研究、理论研究和与计划生育有关的其他活动，向党委政府提出政策建议，当好参谋助手。（五）开展群众性计划生育的宣传活动，弘扬社会主义核心价值观，引导育龄群众负责任、有计划地生育；广泛普及有关性与生殖健康、优生优育和预防艾滋病等知识，引导群众树立科学、文明、进步的婚育观念和健康生活方式，提升群众生殖健康意识和水平。（六）组织开展生殖健康咨询、优生优育指导、计划生育保险、计划生育家庭帮扶和流动人口服务，增强计划生育家庭发展能力。（七）做好计划生育困难和特殊家庭的生活、生产、生育扶助和精神慰藉等服务。（八）维护育龄群众和计划生育家庭合法权益，倾听群众意见，反映群众诉求，提供维权帮助。推动计划生育基层群众自治，动员、引导会员、群众实行自我管理、自我教育、自我服务、自我监督。（九）加强基层计生协组织建设、队伍建设和阵地建设，拓展组织覆盖和工作覆盖，创新活动开展和工作评价机制，为计划生育协会事业发展提供保障。（十）在党委、政府领导下开展计划生育的国际交流、合作和对外宣传，在性与生殖健康、优生优育、家庭发展等领域和相关国际交流中积极发挥作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（二）机构设置。</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渝中区计划生育协会未设置内设机构</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（三）单位构成。</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从预算单位构成看，纳入本部门2021年度决算编制的预算单位1个，即渝中区计划生育协会，无下属单位。</w:t>
      </w:r>
    </w:p>
    <w:p>
      <w:pPr>
        <w:spacing w:line="594"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 xml:space="preserve">    二、部门决算情况说明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1.总体情况。2021年度收入总计316.52万元，支出总计316.52万元。收支较上年决算数减少168.73万元、下降34.8%，主要原因是结转上年计划生育服务经费。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2.收入情况。2021年度收入合计296.66万元，较上年决算数减少12.09万元，下降3.9%，主要原因是结转上年计划生育服务经费。其中：财政拨款收入296.66万元，占100%；年初结转和结余19.86万元。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3.支出情况。2021年度支出合计288.06万元，较上年决算数减少177.34万元，下降38.1%，主要原因是严格控制经费支出。其中：基本支出43.66万元，占15.2%；项目支出244.40万元，占84.8%。</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4.结转结余情况。2021年度年末结转和结余28.45万元，较上年决算数增加8.59万元，增长43.3%，主要原因是计划生育服务经费结余。</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（二）财政拨款收入支出决算总体情况说明。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2021年度财政拨款收、支总计316.12万元。与2020年相比，财政拨款收、支总计各减少168.73万元，下降34.8%。主要原因是结转上年计划生育服务经费及严格控制经费支出。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（三）一般公共预算财政拨款收入支出决算情况说明。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收入情况。2021年度一般公共预算财政拨款收入296.66万元，较上年决算数减少12.09万元，下降3.9%。主要原因是结转上年计划生育服务经费。较年初预算数增加253.85万元，增长593%。主要原因是增加计划生育服务经费，此外，年初财政拨款结转和结余19.46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2.支出情况。2021年度一般公共预算财政拨款支出288.06万元，较上年决算数减少177.34万元，下降38.1%。主要原因是严格控制经费支出。较年初预算数增加225.79万元，增长362.6%。主要原因是增加计划生育服务经费。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3.结转结余情况。2021年度年末一般公共预算财政拨款结转和结余28.06万元，较上年决算数增加8.60万元，增长44.2%，主要原因是严格控制经费支出。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4.比较情况。本部门2021年度一般公共预算财政拨款支出主要用于以下几个方面：</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（1）社会保障与就业支出3.10万元，占1.1%，较年初预算数增加0.00万元，增长0%，主要原因是无变化。</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（2）卫生健康支出283.42万元，占98.4%，较年初预算数增加225.79万元，增长391.8%，主要原因是增加计划生育服务经费。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（四）一般公共预算财政拨款基本支出决算情况说明。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一般公共财政拨款基本支出43.66万元。其中：人员经费32.44万元，较上年决算数减少2.12万元，下降6.1%，主要原因是人员调整。人员经费用途主要包括基本工资、津贴补贴、奖金、社会保障缴费等；公用经费11.22万元，较上年决算数增加0.40万元，增长3.7%，主要原因是应对新冠疫情，业务工作量增加。公用经费用途主要包括办公费、印刷费、咨询费、手续费、劳务费、差旅费、其他交通费用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（五）政府性基金预算收支决算情况说明。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2021年度政府性基金预算财政拨款年初结转结余0.00万元，年末结转结余0.00万元。本年收入0.00万元，较上年决算数增加0.00万元，增长0%，主要原因是无政府性基金预算财政拨款收</w:t>
      </w:r>
      <w:r>
        <w:rPr>
          <w:rFonts w:hint="eastAsia" w:ascii="Times New Roman" w:hAnsi="Times New Roman" w:eastAsia="方正仿宋_GBK" w:cs="Times New Roman"/>
          <w:sz w:val="32"/>
          <w:szCs w:val="32"/>
          <w:lang w:val="en-US" w:eastAsia="zh-CN"/>
        </w:rPr>
        <w:t>入</w:t>
      </w:r>
      <w:bookmarkStart w:id="0" w:name="_GoBack"/>
      <w:bookmarkEnd w:id="0"/>
      <w:r>
        <w:rPr>
          <w:rFonts w:ascii="Times New Roman" w:hAnsi="Times New Roman" w:eastAsia="方正仿宋_GBK" w:cs="Times New Roman"/>
          <w:sz w:val="32"/>
          <w:szCs w:val="32"/>
        </w:rPr>
        <w:t>。本年支出0.00万元，较上年决算数增加0.00万元，增长0%，主要原因是无政府性基金预算财政拨款收支。本部门2020年度无政府性基金预算财政拨款收支。较上年决算数和年初预算数持平。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（六）国有资本经营预算财政拨款支出决算情况说明。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本部门2021年度无国有资本经营预算财政拨款支出，较上年决算数和年初预算数持平。</w:t>
      </w:r>
    </w:p>
    <w:p>
      <w:pPr>
        <w:spacing w:line="594"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 xml:space="preserve">    三、“三公”经费情况说明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（一）“三公”经费支出总体情况说明。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2021年度“三公”经费支出共计0.00万元，较年初预算数增加0.00万元，与上年持平；较上年支出数增加0.00万元，与上年持平，主要原因是本部门2020年度未发生“三公”经费。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（二）“三公”经费分项支出情况。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2021年度本部门因公出国（境）费用0.00万元，费用支出较年初预算数增加0.00万元，与上年持平，主要原因是本部门2020年度未发生因公出国（境）费用。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公务车购置费0.00万元，费用支出较年初预算数增加0.00万元，与上年持平，主要原因是本部门2020年度未发生公务车购置费。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公务车运行维护费0.00万元，费用支出较年初预算数增加0.00万元，与上年持平，主要原因是未发生公务车运行维护费。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公务接待费0.00万元，费用支出较年初预算数增加0.00万元，与上年持平，主要原因是本部门2020年度未发生公务接待费。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（三）“三公”经费实物量情况。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因公出国（境）共计0个团组，0人；公务用车购置0辆，公务车保有量为0辆；国内公务接待0批次0人，其中：国内外事接待0批次，0人；国（境）外公务接待0批次，0人。2021年本部门人均接待费0.00元，车均购置费0.00万元，车均维护费0.00万元。</w:t>
      </w:r>
    </w:p>
    <w:p>
      <w:pPr>
        <w:spacing w:line="594"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 xml:space="preserve">    四、其他需要说明的事项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（一）一般公共预算财政拨款会议费和培训费情况说明。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年度会议费支出0.00万元，较上年决算数增加0.00万元，增长%，与上年持平，主要原因是未发生会议费支出。本年度培训费支出0.29万元，较上年决算数增加0.00万元，增长0%，与上年持平，主要原因是加强业务培训。</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（二）机关运行经费情况说明。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机关运行经费支出11.22万元，机关运行经费主要用于开支办公费、印刷费、手续费、差旅费、劳务费等。机关运行经费较上年决算数增加0.40万元，增长3.7%，主要原因是应对新冠疫情，业务工作量增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（三）国有资产占用情况说明。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（四）政府采购支出情况说明。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2021年度我单位未发生政府采购事项，无相关经费支出。</w:t>
      </w:r>
    </w:p>
    <w:p>
      <w:pPr>
        <w:spacing w:line="594"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 xml:space="preserve">    五、预算绩效管理情况说明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无</w:t>
      </w:r>
    </w:p>
    <w:p>
      <w:pPr>
        <w:spacing w:line="594"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 xml:space="preserve">    六、专业名词解释</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（二）事业收入：指事业单位开展专业业务活动及其辅助活动取得的现金流入；事业单位收到的财政专户实际核拨的教育收费等资金在此反映。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（三）经营收入：指事业单位在专业业务活动及其辅助活动之外开展非独立核算经营活动取得的现金流入。</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（五）使用非财政拨款结余：指单位在当年的“财政拨款收入”、“事业收入”、“经营收入”、“其他收入”等不足以安排当年支出的情况下，使用以前年度积累的非财政拨款结余弥补本年度收支缺口的资金。</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（六）年初结转和结余：指单位上年结转本年使用的基本支出结转、项目支出结转和结余、经营结余。</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（七）结余分配：指单位按照国家有关规定，缴纳所得税、提取专用基金、转入非财政拨款结余等当年结余的分配情况。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（八）年末结转和结余：指单位结转下年的基本支出结转、项目支出结转和结余、经营结余。</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（十）项目支出：指在基本支出之外为完成特定行政任务和事业发展目标所发生的支出。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（十一）经营支出：指事业单位在专业业务活动及其辅助活动之外开展非独立核算经营活动发生的支出。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（十四）工资福利支出（支出经济分类科目类级）：反映单位开支的在职职工和编制外长期聘用人员的各类劳动报酬，以及为上述人员缴纳的各项社会保险费等。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（十五）商品和服务支出（支出经济分类科目类级）：反映单位购买商品和服务的支出（不包括用于购置固定资产的支出、战略性和应急储备支出）。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（十六）对个人和家庭的补助（支出经济分类科目类级）：反映用于对个人和家庭的补助支出。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94"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七、决算公开联系方式及信息反馈渠道</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本单位决算公开信息反馈和联系方式：023-63765143。</w:t>
      </w: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NzIyZTdkZTU1NjZlNzAxNTc1YThjYzQwOGQ4MGUifQ=="/>
  </w:docVars>
  <w:rsids>
    <w:rsidRoot w:val="00053FE1"/>
    <w:rsid w:val="00053FE1"/>
    <w:rsid w:val="0017601A"/>
    <w:rsid w:val="003A6A2D"/>
    <w:rsid w:val="00B33E2B"/>
    <w:rsid w:val="00B71EBE"/>
    <w:rsid w:val="00DD7B86"/>
    <w:rsid w:val="00E915DF"/>
    <w:rsid w:val="382A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4637</Words>
  <Characters>5059</Characters>
  <Lines>38</Lines>
  <Paragraphs>10</Paragraphs>
  <TotalTime>4</TotalTime>
  <ScaleCrop>false</ScaleCrop>
  <LinksUpToDate>false</LinksUpToDate>
  <CharactersWithSpaces>5336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2022-11-17T09:43:00Z</dcterms:created>
  <dc:creator>HP</dc:creator>
  <cp:lastModifiedBy>那个她</cp:lastModifiedBy>
  <dcterms:modified xsi:type="dcterms:W3CDTF">2023-03-10T06:28:46Z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88B2A2E7A5734D759BCEC14BC825500B</vt:lpwstr>
  </property>
</Properties>
</file>