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重庆市渝中区解放碑街道社区卫生服务中心</w:t>
      </w:r>
    </w:p>
    <w:p>
      <w:pPr>
        <w:spacing w:line="594"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2021年度部门决算情况说明</w:t>
      </w:r>
    </w:p>
    <w:p>
      <w:pPr>
        <w:spacing w:line="594" w:lineRule="exact"/>
        <w:rPr>
          <w:rFonts w:ascii="Times New Roman" w:hAnsi="Times New Roman" w:eastAsia="方正仿宋_GBK" w:cs="Times New Roman"/>
          <w:sz w:val="32"/>
          <w:szCs w:val="32"/>
        </w:rPr>
      </w:pP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一、部门基本情况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（一）职能职责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重庆市渝中区解放碑街道社区卫生服务中心为重庆市渝中区卫生健康委员会所属的财政差额拨款事业单位。主要职责如下：</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1.社区预防:社区卫生诊断、传染病疫情报告和监测，预防接种，结核病、艾滋病等重大传染病预防，常见传染病防治，地方病、寄生虫病防治，健康档案管理，爱国卫生指导等。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2.社区保健:妇女保健，儿童保健，老年保健等。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3.社区医疗：一般常见病、多发病的诊疗，社区现场应急救护，慢性病筛査和诊断明确的重点慢性病例管理，精神病患者服务，转诊服务等。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4.社区康复:残疾康复，疾病恢复期康复，家庭和社区康复训练指导等。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5.社区健康教育:卫生知识普及，个体和群体的健康服务，重点人员与重点场所健康教育，宣传健康行为和生活方式等。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6.社区计划生育：计划生育技术服务与咨询指导，发放避孕药具等。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（二）机构设置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我单位设综合办公室、公共卫生科、医务科、药剂科、院感科、护理部、预防保健科、全科医疗科、内科、妇产科、儿科、康复医学科、医学检验科、医学影像科、中医科。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（三）单位构成</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从预算单位构成看，我单位为重庆市渝中区卫生健康委员会所属级二级预算单位，单位性质为财政补助事业单位。</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二、部门决算情况说明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1.总体情况。2021年度收入总计1,846.08万元，支出总计1,846.08万元。收支较上年决算数减少44.59万元、下降2.4%，主要原因是较上年减少旧房改造项目，增加新冠疫苗接种经费。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收入情况。2021年度收入合计1,846.08万元，较上年决算数减少44.59万元，下降2.4%，主要原因是较上年减少旧房改造项目，增加新冠疫苗接种经费。其中：财政拨款收入898.91万元，占48.7%；事业收入793.23万元，占43%；其他收入153.94万元，占8.3%。</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支出情况。2021年度支出合计1,742.65万元，较上年决算数减少28.44万元，下降1.6%，主要原因是较上年减少旧房改造项目，增加新冠疫苗接种经费。其中：基本支出969.99万元，占55.7%；项目支出772.67万元，占44.3%。此外，结余分配103.43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4.结转结余情况。2021年度年末结转和结余0万元，较上年决算数持平。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（二）财政拨款收入支出决算总体情况说明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2021年度财政拨款收、支总计898.91万元。与2020年相比，财政拨款收、支总计各减少260.52万元，下降22.5%。主要原因是减少旧房改造项目。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（三）一般公共预算财政拨款支出决算情况说明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收入情况。2021年度一般公共预算财政拨款收入891.96万元，较上年决算数增加240.18万元，增长36.8%。主要原因是人员增加、公共卫生服务经费增加。较年初预算数增加789.05万元，增长766.7%。主要原因是年中追加公共卫生服务、优生优育技术服务经费。此外，年初财政拨款结转和结余0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支出情况。2021年度一般公共预算财政拨款收入891.96万元，较上年决算数增加240.18万元，增长36.8%。主要原因是人员增加、公共卫生服务经费增加。较年初预算数增加789.05万元，增长766.7%。主要原因是年中追加公共卫生服务、优生优育技术服务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3.结转结余情况。2021年度年末一般公共预算财政拨款结转和结余0万元，较上年决算数持平。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4.比较情况。本部门2021年度一般公共预算财政拨款支出主要用于以下几个方面：</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（1）社会保障与就业支出29.22万元，占3.3%，较年初预算数增加0万元，增长0.0%。</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（2）卫生健康支出862.74万元，占96.7%，较年初预算数增加789.05万元，增长1070.8%，主要原因是年中追加公共卫生服务、优生优育技术服务经费。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（四）一般公共预算财政拨款基本支出决算情况说明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一般公共财政拨款基本支出126.24万元。其中：人员经费126.24万元，较上年决算数增加17.75万元，增长16.4%，主要原因是人员增加。人员经费用途主要包括基本工资、津贴补贴、奖金、社会保障缴费。公用经费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（五）政府性基金预算收支决算情况说明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政府性基金预算财政拨款年初结转结余0万元，年末结转结余0万元。本年收入6.95万元，较上年决算数减少500.7万元，下降98.6%，主要原因是疫情防控项目。本年支出6.95万元，较上年决算数减少500.7万元，下降98.6%，主要原因是疫情防控项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（六）国有资本经营预算财政拨款支出决算情况说明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本部门2021年度无国有资本经营预算财政拨款支出。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三、“三公”经费情况说明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（一）“三公”经费支出总体情况说明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我单位属于财政差额拨款事业单位，财政未保障我单位“三公”经费。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本单位2021年度未发生“三公”经费支出，较上年决算数和年初预算数持平。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（二）“三公”经费分项支出情况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本单位2021年度无因公出国（境）费用，较上年决算数和年初预算数持平。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本单位2021年度无公务车购置费用，较上年决算数和年初预算数持平。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本单位2021年度无公务车运行维护费用，较上年决算数和年初预算数持平。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本单位2021年度无公务接待费用，较上年决算数和年初预算数持平。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（三）“三公”经费实物量情况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部门因公出国（境）共计0个团组，0人；公务用车购置0辆，公务车保有量为0辆；国内公务接待0批次0人，其中：国内外事接待0批次，0人；国（境）外公务接待0批次，0人。2021年本部门人均接待费0元，车均购置费0万元，车均维护费0万元。</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四、其他需要说明的事项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（一）一般公共预算财政拨款会议费和培训费情况说明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本年度会议费支出0万元，较上年决算数持平。本年度培训费支出 0万元，较上年决算数持平。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eastAsia="方正仿宋_GBK" w:cs="Times New Roman"/>
          <w:sz w:val="32"/>
          <w:szCs w:val="32"/>
          <w:lang w:eastAsia="zh-CN"/>
        </w:rPr>
        <w:t>（二）</w:t>
      </w:r>
      <w:r>
        <w:rPr>
          <w:rFonts w:ascii="Times New Roman" w:hAnsi="Times New Roman" w:eastAsia="方正仿宋_GBK" w:cs="Times New Roman"/>
          <w:sz w:val="32"/>
          <w:szCs w:val="32"/>
        </w:rPr>
        <w:t>机关运行经费情况说明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2021年度本单位机关运行经费支出0万元，机关运行经费较上年决算数持平。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按照部门决算列报口径，我单位不在机关运行经费统计范围之内。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（三）国有资产占用情况说明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截至2021年12月31日，本单位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（四）政府采购支出情况说明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本单位政府采购支出总额0万元，其中：政府采购货物支出0万元、政府采购工程支出0万元、政府采购服务支出0万元。授予中小企业合同金额0万元，占政府采购支出总额的0.0%，其中：授予小微企业合同金额 0万元，占政府采购支出总额的0.0%。</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2021年度我单位未发生政府采购事项，无相关经费支出。</w:t>
      </w:r>
    </w:p>
    <w:p>
      <w:pPr>
        <w:numPr>
          <w:ilvl w:val="0"/>
          <w:numId w:val="1"/>
        </w:numPr>
        <w:spacing w:line="594" w:lineRule="exact"/>
        <w:ind w:firstLine="640"/>
        <w:rPr>
          <w:rFonts w:hint="eastAsia" w:ascii="方正黑体_GBK" w:eastAsia="方正黑体_GBK" w:cs="Times New Roman"/>
          <w:sz w:val="32"/>
          <w:szCs w:val="32"/>
        </w:rPr>
      </w:pPr>
      <w:r>
        <w:rPr>
          <w:rFonts w:hint="eastAsia" w:ascii="方正黑体_GBK" w:eastAsia="方正黑体_GBK" w:cs="Times New Roman"/>
          <w:sz w:val="32"/>
          <w:szCs w:val="32"/>
        </w:rPr>
        <w:t>预算绩效管理情况说明</w:t>
      </w:r>
    </w:p>
    <w:p>
      <w:pPr>
        <w:numPr>
          <w:ilvl w:val="0"/>
          <w:numId w:val="0"/>
        </w:numPr>
        <w:spacing w:line="594" w:lineRule="exact"/>
        <w:ind w:firstLine="640" w:firstLineChars="200"/>
        <w:rPr>
          <w:rFonts w:hint="eastAsia" w:ascii="方正黑体_GBK" w:eastAsia="方正黑体_GBK" w:cs="Times New Roman"/>
          <w:sz w:val="32"/>
          <w:szCs w:val="32"/>
        </w:rPr>
      </w:pP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w:t>
      </w:r>
      <w:r>
        <w:rPr>
          <w:rFonts w:hint="eastAsia" w:ascii="方正仿宋_GBK" w:hAnsi="方正仿宋_GBK" w:eastAsia="方正仿宋_GBK" w:cs="方正仿宋_GBK"/>
          <w:kern w:val="0"/>
          <w:sz w:val="32"/>
          <w:szCs w:val="32"/>
          <w:shd w:val="clear" w:fill="FFFFFF"/>
          <w:lang w:eastAsia="zh-CN"/>
        </w:rPr>
        <w:t>我</w:t>
      </w:r>
      <w:r>
        <w:rPr>
          <w:rFonts w:hint="eastAsia" w:ascii="方正仿宋_GBK" w:hAnsi="方正仿宋_GBK" w:eastAsia="方正仿宋_GBK" w:cs="方正仿宋_GBK"/>
          <w:kern w:val="0"/>
          <w:sz w:val="32"/>
          <w:szCs w:val="32"/>
          <w:shd w:val="clear" w:fill="FFFFFF"/>
        </w:rPr>
        <w:t>单位无财政安排的预算绩效管理情况</w:t>
      </w:r>
      <w:r>
        <w:rPr>
          <w:rFonts w:hint="eastAsia" w:ascii="方正仿宋_GBK" w:hAnsi="方正仿宋_GBK" w:eastAsia="方正仿宋_GBK" w:cs="方正仿宋_GBK"/>
          <w:kern w:val="0"/>
          <w:sz w:val="32"/>
          <w:szCs w:val="32"/>
          <w:shd w:val="clear" w:fill="FFFFFF"/>
          <w:lang w:eastAsia="zh-CN"/>
        </w:rPr>
        <w:t>说明</w:t>
      </w:r>
      <w:r>
        <w:rPr>
          <w:rFonts w:hint="eastAsia" w:ascii="方正仿宋_GBK" w:hAnsi="方正仿宋_GBK" w:eastAsia="方正仿宋_GBK" w:cs="方正仿宋_GBK"/>
          <w:kern w:val="0"/>
          <w:sz w:val="32"/>
          <w:szCs w:val="32"/>
          <w:shd w:val="clear" w:fill="FFFFFF"/>
        </w:rPr>
        <w:t>。</w:t>
      </w:r>
    </w:p>
    <w:p>
      <w:pPr>
        <w:spacing w:line="594" w:lineRule="exact"/>
        <w:ind w:firstLine="640"/>
        <w:rPr>
          <w:rFonts w:hint="eastAsia" w:ascii="方正黑体_GBK" w:eastAsia="方正黑体_GBK" w:cs="Times New Roman"/>
          <w:sz w:val="32"/>
          <w:szCs w:val="32"/>
        </w:rPr>
      </w:pPr>
      <w:r>
        <w:rPr>
          <w:rFonts w:hint="eastAsia" w:ascii="方正黑体_GBK" w:eastAsia="方正黑体_GBK" w:cs="Times New Roman"/>
          <w:sz w:val="32"/>
          <w:szCs w:val="32"/>
          <w:lang w:eastAsia="zh-CN"/>
        </w:rPr>
        <w:t>六、</w:t>
      </w:r>
      <w:r>
        <w:rPr>
          <w:rFonts w:hint="eastAsia" w:ascii="方正黑体_GBK" w:eastAsia="方正黑体_GBK" w:cs="Times New Roman"/>
          <w:sz w:val="32"/>
          <w:szCs w:val="32"/>
        </w:rPr>
        <w:t>专业名词解释</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（四）结余分配：指单位按照国家有关规定，缴纳所得税、提取专用基金、转入非财政拨款结余等当年结余的分配情况。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（六）项目支出：指在基本支出之外为完成特定行政任务和事业发展目标所发生的支出。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（八）机关运行经费：为保障行政单位（含参照公务员法管理的事业单位）运行用于购买货物和服务等的各项公用经费，包括办公及印刷费、邮电费、差旅费、会议费、福利费、日常维护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（九）工资福利支出（支出经济分类科目类级）：反映单位开支的在职职工和编制外长期聘用人员的各类劳动报酬，以及为上述人员缴纳的各项社会保险费等。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（十）商品和服务支出（支出经济分类科目类级）：反映单位购买商品和服务的支出（不包括用于购置固定资产的支出、战略性和应急储备支出）。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（十一）对个人和家庭的补助（支出经济分类科目类级）：反映用于对个人和家庭的补助支出。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hint="eastAsia" w:ascii="方正黑体_GBK" w:eastAsia="方正黑体_GBK" w:cs="Times New Roman"/>
          <w:sz w:val="32"/>
          <w:szCs w:val="32"/>
        </w:rPr>
      </w:pPr>
      <w:r>
        <w:rPr>
          <w:rFonts w:hint="eastAsia" w:ascii="方正黑体_GBK" w:eastAsia="方正黑体_GBK" w:cs="Times New Roman"/>
          <w:sz w:val="32"/>
          <w:szCs w:val="32"/>
        </w:rPr>
        <w:t xml:space="preserve">    </w:t>
      </w:r>
      <w:r>
        <w:rPr>
          <w:rFonts w:hint="eastAsia" w:ascii="方正黑体_GBK" w:eastAsia="方正黑体_GBK" w:cs="Times New Roman"/>
          <w:sz w:val="32"/>
          <w:szCs w:val="32"/>
          <w:lang w:eastAsia="zh-CN"/>
        </w:rPr>
        <w:t>七</w:t>
      </w:r>
      <w:r>
        <w:rPr>
          <w:rFonts w:hint="eastAsia" w:ascii="方正黑体_GBK" w:eastAsia="方正黑体_GBK" w:cs="Times New Roman"/>
          <w:sz w:val="32"/>
          <w:szCs w:val="32"/>
        </w:rPr>
        <w:t>、决算公开联系方式及信息反馈渠道</w:t>
      </w:r>
      <w:bookmarkStart w:id="0" w:name="_GoBack"/>
      <w:bookmarkEnd w:id="0"/>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本单位决算公开信息反馈和联系方式：重庆市渝中区解放碑街道社区卫生服务中心，邮箱jfbzx@qq.com，联系电话：023－63931152。</w:t>
      </w:r>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FF1B"/>
    <w:multiLevelType w:val="singleLevel"/>
    <w:tmpl w:val="4C60FF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ZDM5YzdkZmViOGRmZjYyZTUzNzhiYmRkNTFiNWUyZTMifQ=="/>
  </w:docVars>
  <w:rsids>
    <w:rsidRoot w:val="00000000"/>
    <w:rsid w:val="0F1422CE"/>
    <w:rsid w:val="1FB227A1"/>
    <w:rsid w:val="3EB23790"/>
    <w:rsid w:val="553B5E36"/>
    <w:rsid w:val="5EF35BFD"/>
    <w:rsid w:val="6BDD1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17"/>
    <w:basedOn w:val="5"/>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9</Pages>
  <Words>3678</Words>
  <Characters>4026</Characters>
  <Lines>178</Lines>
  <Paragraphs>73</Paragraphs>
  <TotalTime>1</TotalTime>
  <ScaleCrop>false</ScaleCrop>
  <LinksUpToDate>false</LinksUpToDate>
  <CharactersWithSpaces>4316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2022-11-17T09:43:00Z</dcterms:created>
  <dc:creator>HP</dc:creator>
  <cp:lastModifiedBy>熺熺</cp:lastModifiedBy>
  <dcterms:modified xsi:type="dcterms:W3CDTF">2023-09-21T01:06:14Z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343E12CA13F948048C3BDEB1D0B15269_12</vt:lpwstr>
  </property>
</Properties>
</file>