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重庆市渝中区上</w:t>
      </w:r>
      <w:r>
        <w:rPr>
          <w:rFonts w:ascii="方正小标宋_GBK" w:eastAsia="方正小标宋_GBK" w:cs="Times New Roman"/>
          <w:sz w:val="44"/>
          <w:szCs w:val="44"/>
        </w:rPr>
        <w:t>清寺</w:t>
      </w:r>
      <w:r>
        <w:rPr>
          <w:rFonts w:hint="eastAsia" w:ascii="方正小标宋_GBK" w:eastAsia="方正小标宋_GBK" w:cs="Times New Roman"/>
          <w:sz w:val="44"/>
          <w:szCs w:val="44"/>
        </w:rPr>
        <w:t>街道社区卫生服务中心2021年度部门决算情况说明</w:t>
      </w:r>
    </w:p>
    <w:p>
      <w:pPr>
        <w:spacing w:line="594" w:lineRule="exact"/>
        <w:rPr>
          <w:rFonts w:ascii="Times New Roman" w:hAnsi="Times New Roman" w:eastAsia="方正仿宋_GBK" w:cs="Times New Roman"/>
          <w:sz w:val="32"/>
          <w:szCs w:val="32"/>
        </w:rPr>
      </w:pP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一、部门基本情况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（一）职能职责</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渝中区上清寺街道社区卫生服务中心为重庆市渝中区卫生健康委员会直属的事业单位，主要职责是：为人民的身体健康提供医疗与护理保健服务。承担辖区的医疗、预防、保健、康复。健康教育计划生育指导等工作，提供养老服务，实行上门服务，方便社区居民治病及咨询。</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（二）机构设置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部门内设16个职能科室，分别为：行政办公室、党务办公室、财务科（挂号室）、后勤综合科、医务科、护理部、护士站、门诊部、医养结合照护中心、中医科、药剂科、预防保健科、社区科、病案管理科、院感科、信息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（三）单位构成</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从预算单位构成看，纳入本部门2020年度决算编制的二级预算单位主要包括重庆市渝中区上清寺街道社区卫生服务中心。</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二、部门决算情况说明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1.总体情况。2021年度收入总计4,258.64万元，支出总计4,258.64万元。收支较上年决算数增加908.60万元、增长27.1%，主要原因是医疗收支增加。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2.收入情况。2021年度收入合计4,258.64万元，较上年决算数增加908.60万元，增长27.1%，主要原因是医疗收入增加。其中：财政拨款收入1,500.03万元，占35.2%；事业收入2,611.76万元，占61.3%；其他收入146.85万元，占3.4%。</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3.支出情况。2021年度支出合计4,236.94万元，较上年决算数增加917.96万元，增长27.7%，主要原因是医疗支出增加。其中：基本支出3,347.70万元，占79%；项目支出889.24万元，占21%。此外，结余分配21.70万元。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4.结转结余情况。2021年度年末结转和结余0.00万元，较上年决算数增加0.00万元，与上年持平。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（二）财政拨款收入支出决算总体情况说明。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2021年度财政拨款收、支总计1,500.03万元。与2020年相比，财政拨款收、支总计各增加202.03万元，增长15.6%。主要原因是退休疗养费增加。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（三）一般公共预算财政拨款收入支出决算情况说明。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1.收入情况。2021年度一般公共预算财政拨款收入1,500.03万元，较上年决算数增加280.67万元，增长23%。主要原因是退休疗养费增加。较年初预算数增加1,003.02万元，增长201.8%。主要原因是公共卫生服务。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2.支出情况。2021年度一般公共预算财政拨款支出1,500.03万元，较上年决算数增加280.67万元，增长23%。主要原因是退休疗养费增加。较年初预算数增加1,003.02万元，增长201.8%。主要原因是公共卫生服务。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3.结转结余情况。2021年度年末一般公共预算财政拨款结转和结余0.00万元，较上年决算数增加0.00万元，主要原因是与上年持平。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4.比较情况。本部门2021年度一般公共预算财政拨款支出主要用于以下几个方面：</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（1）社会保障与就业支出371.40万元，占24.8%，较年初预算数增加86.15万元，增长30.2%，主要原因是政策性调资。</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（2）卫生健康支出1,122.80万元，占74.9%，较年初预算数增加911.04万元，增长430.2%，主要原因是公共卫生服务。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（3）住房保障支出5.83万元，占0.4%，较年初预算数增加5.83万元，增长100%，主要原因是住房补贴。</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（四）一般公共预算财政拨款基本支出决算情况说明。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2021年度一般公共财政拨款基本支出610.80万元。其中：人员经费610.80万元，较上年决算数减少30.52万元，下降4.8%，主要原因是政策性调资。人员经费用途主要包括基本工资、津贴补贴、绩效工资、社会保障缴费。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（五）政府性基金预算收支决算情况说明。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政府性基金预算财政拨款年初结转结余0.00万元，年末结转结余0.00万元。本年收入0.00万元，较上年决算数减少78.64万元，下降100%，主要原因是减少抗疫特别国债。本年支出0.00万元，较上年决算数减少78.64万元，下降100%，主要原因是减少抗疫特别国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（六）国有资本经营预算财政拨款支出决算情况说明。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本部门2021年度无国有资本经营预算财政拨款支出。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三、“三公”经费情况说明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我单位性质为公益二类事业单位，无“三公”经费。</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四、其他需要说明的事项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（一）机关运行经费情况说明。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机关运行经费支出0.00万元，按照部门决算列报口径，我单位不在机关运行经费统计范围之内。机关运行经费较上年决算数增加0.00万元，按照部门决算列报口径，我单位不在机关运行经费统计范围之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（二）国有资产占用情况说明。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截至2021年12月31日，本部门共有车辆1辆，其中，副部（省）级及以上领导用车0辆、主要领导干部用车0辆、机要通信用车0辆、应急保障用车0辆、执法执勤用车0辆，特种专业技术用车1辆，离退休干部用车0辆，其他用车0辆。单价50万元（含）以上通用设备0台（套），单价100万元（含）以上专用设备0台（套）。</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（三）政府采购支出情况说明。</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本部门政府采购支出总额14.14万元，其中：政府采购货物支出14.14万元、政府采购工程支出0.00万元、政府采购服务支出0.00万元。授予中小企业合同金额14.14万元，占政府采购支出总额的100%，其中：授予小微企业合同金额14.14万元，占政府采购支出总额的100%。主要用于采购计算机。</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五、预算绩效管理情况说明</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（一）预算绩效管理工作开展情况</w:t>
      </w:r>
    </w:p>
    <w:p>
      <w:pPr>
        <w:spacing w:line="594" w:lineRule="exact"/>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根据预算绩效管理要求</w:t>
      </w:r>
      <w:bookmarkStart w:id="0" w:name="_GoBack"/>
      <w:bookmarkEnd w:id="0"/>
      <w:r>
        <w:rPr>
          <w:rFonts w:hint="eastAsia" w:ascii="方正黑体_GBK" w:eastAsia="方正黑体_GBK" w:cs="Times New Roman"/>
          <w:sz w:val="32"/>
          <w:szCs w:val="32"/>
          <w:lang w:val="en-US" w:eastAsia="zh-CN"/>
        </w:rPr>
        <w:t>，年初编制绩效目标项目14个，涉及资金488万元。本部门对14个项目开展了绩效自评，涉及资金488万元。</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（二）绩效目标自评结果</w:t>
      </w:r>
    </w:p>
    <w:p>
      <w:pPr>
        <w:spacing w:line="594" w:lineRule="exact"/>
        <w:rPr>
          <w:rFonts w:ascii="Times New Roman" w:hAnsi="Times New Roman" w:eastAsia="方正仿宋_GBK" w:cs="Times New Roman"/>
          <w:sz w:val="32"/>
          <w:szCs w:val="32"/>
        </w:rPr>
      </w:pPr>
      <w:r>
        <w:rPr>
          <w:rFonts w:hint="eastAsia" w:ascii="方正黑体_GBK" w:eastAsia="方正黑体_GBK" w:cs="Times New Roman"/>
          <w:sz w:val="32"/>
          <w:szCs w:val="32"/>
        </w:rPr>
        <w:t>根据年初设定的绩效目标，基本公共卫生服务项目考核得分为945.1分。主要产出和效果：一</w:t>
      </w:r>
      <w:r>
        <w:rPr>
          <w:rFonts w:hint="eastAsia" w:ascii="Times New Roman" w:hAnsi="Times New Roman" w:eastAsia="方正仿宋_GBK" w:cs="Times New Roman"/>
          <w:sz w:val="32"/>
          <w:szCs w:val="32"/>
        </w:rPr>
        <w:t xml:space="preserve">是高度重视基本公共卫生服务工作，扎实开展基本医疗和基本公共卫生服务，不断提升基层卫生服务能力，有力保障人民群众的健康。二是坚持重点突破，搭建医防融合的健康管理平台，有效应对突发公共卫生事件，保障全区居民平等的享有基本公共卫生服务。存在的问题：一基本医疗与基本公卫融合不够，项目覆盖面和服务质量有待进一步提升。二是全科医生队伍建设有待加强，与市级医院同质化服务水平相距较大，无法完全满足居民日益增长的多元化健康需求。下一步改进措施：一是发展特色医疗服务，做好基本医疗与公共卫生的有效衔接与配合。二加强人员培训，熟悉和掌握各项服务规范，努力推进“智慧家医”工作的开展。 </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w:t>
      </w:r>
      <w:r>
        <w:rPr>
          <w:rFonts w:hint="eastAsia" w:ascii="方正黑体_GBK" w:eastAsia="方正黑体_GBK" w:cs="Times New Roman"/>
          <w:sz w:val="32"/>
          <w:szCs w:val="32"/>
          <w:lang w:val="en-US" w:eastAsia="zh-CN"/>
        </w:rPr>
        <w:t>六</w:t>
      </w:r>
      <w:r>
        <w:rPr>
          <w:rFonts w:ascii="方正黑体_GBK" w:eastAsia="方正黑体_GBK" w:cs="Times New Roman"/>
          <w:sz w:val="32"/>
          <w:szCs w:val="32"/>
        </w:rPr>
        <w:t>、专业名词解释</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（三）经营收入：指事业单位在专业业务活动及其辅助活动之外开展非独立核算经营活动取得的现金流入。</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（五）使用非财政拨款结余：指单位在当年的“财政拨款收入”、“事业收入”、“经营收入”、“其他收入”等不足以安排当年支出的情况下，使用以前年度积累的非财政拨款结余弥补本年度收支缺口的资金。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（六）年初结转和结余：指单位上年结转本年使用的基本支出结转、项目支出结转和结余、经营结余。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（七）结余分配：指单位按照国家有关规定，缴纳所得税、提取专用基金、转入非财政拨款结余等当年结余的分配情况。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（八）年末结转和结余：指单位结转下年的基本支出结转、项目支出结转和结余、经营结余。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（十）项目支出：指在基本支出之外为完成特定行政任务和事业发展目标所发生的支出。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（十一）经营支出：指事业单位在专业业务活动及其辅助活动之外开展非独立核算经营活动发生的支出。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（十四）工资福利支出（支出经济分类科目类级）：反映单位开支的在职职工和编制外长期聘用人员的各类劳动报酬，以及为上述人员缴纳的各项社会保险费等。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（十五）商品和服务支出（支出经济分类科目类级）：反映单位购买商品和服务的支出（不包括用于购置固定资产的支出、战略性和应急储备支出）。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（十六）对个人和家庭的补助（支出经济分类科目类级）：反映用于对个人和家庭的补助支出。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hint="eastAsia" w:ascii="方正黑体_GBK" w:eastAsia="方正黑体_GBK" w:cs="Times New Roman"/>
          <w:sz w:val="32"/>
          <w:szCs w:val="32"/>
        </w:rPr>
      </w:pPr>
      <w:r>
        <w:rPr>
          <w:rFonts w:hint="eastAsia" w:ascii="方正黑体_GBK" w:eastAsia="方正黑体_GBK" w:cs="Times New Roman"/>
          <w:sz w:val="32"/>
          <w:szCs w:val="32"/>
        </w:rPr>
        <w:t xml:space="preserve">    </w:t>
      </w:r>
      <w:r>
        <w:rPr>
          <w:rFonts w:hint="eastAsia" w:ascii="方正黑体_GBK" w:eastAsia="方正黑体_GBK" w:cs="Times New Roman"/>
          <w:sz w:val="32"/>
          <w:szCs w:val="32"/>
          <w:lang w:val="en-US" w:eastAsia="zh-CN"/>
        </w:rPr>
        <w:t>七</w:t>
      </w:r>
      <w:r>
        <w:rPr>
          <w:rFonts w:hint="eastAsia" w:ascii="方正黑体_GBK" w:eastAsia="方正黑体_GBK" w:cs="Times New Roman"/>
          <w:sz w:val="32"/>
          <w:szCs w:val="32"/>
        </w:rPr>
        <w:t>、决算公开联系方式及信息反馈渠道</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本单位决算公开信息反馈和联系方式：重庆市渝中区上清寺街道社区卫生服务中心，邮箱yzqzyy@163.com，联系电话：023－63861148。</w:t>
      </w:r>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zVhMTRmZjBhOGNhZGViNWQ3YWExNDU2OTgyOTYwYTkifQ=="/>
  </w:docVars>
  <w:rsids>
    <w:rsidRoot w:val="00000000"/>
    <w:rsid w:val="6BD43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5"/>
    <w:basedOn w:val="5"/>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8</Pages>
  <Words>3348</Words>
  <Characters>3750</Characters>
  <Lines>158</Lines>
  <Paragraphs>59</Paragraphs>
  <TotalTime>3</TotalTime>
  <ScaleCrop>false</ScaleCrop>
  <LinksUpToDate>false</LinksUpToDate>
  <CharactersWithSpaces>3982</CharactersWithSpaces>
  <Application>WPS Office_12.1.0.15404_F1E327BC-269C-435d-A152-05C5408002CA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2022-11-17T09:43:00Z</dcterms:created>
  <dc:creator>HP</dc:creator>
  <cp:lastModifiedBy>林子扬</cp:lastModifiedBy>
  <dcterms:modified xsi:type="dcterms:W3CDTF">2023-09-20T08:36:52Z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82DA6F4BB1C74A89AD6F3BB748264F7B_12</vt:lpwstr>
  </property>
</Properties>
</file>