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94" w:lineRule="exact"/>
        <w:jc w:val="center"/>
        <w:rPr>
          <w:rFonts w:ascii="方正小标宋_GBK" w:eastAsia="方正小标宋_GBK" w:cs="Times New Roman"/>
          <w:sz w:val="44"/>
          <w:szCs w:val="44"/>
        </w:rPr>
      </w:pPr>
      <w:r>
        <w:rPr>
          <w:rFonts w:ascii="方正小标宋_GBK" w:eastAsia="方正小标宋_GBK" w:cs="Times New Roman" w:hint="eastAsia"/>
          <w:sz w:val="44"/>
          <w:szCs w:val="44"/>
        </w:rPr>
        <w:t>重庆市渝中区红</w:t>
      </w:r>
      <w:r>
        <w:rPr>
          <w:rFonts w:ascii="方正小标宋_GBK" w:eastAsia="方正小标宋_GBK" w:cs="Times New Roman"/>
          <w:sz w:val="44"/>
          <w:szCs w:val="44"/>
        </w:rPr>
        <w:t>十字会</w:t>
      </w:r>
    </w:p>
    <w:p>
      <w:pPr>
        <w:spacing w:line="594" w:lineRule="exact"/>
        <w:jc w:val="center"/>
        <w:rPr>
          <w:rFonts w:ascii="方正小标宋_GBK" w:eastAsia="方正小标宋_GBK" w:cs="Times New Roman"/>
          <w:sz w:val="44"/>
          <w:szCs w:val="44"/>
        </w:rPr>
      </w:pPr>
      <w:r>
        <w:rPr>
          <w:rFonts w:ascii="方正小标宋_GBK" w:eastAsia="方正小标宋_GBK" w:cs="Times New Roman" w:hint="eastAsia"/>
          <w:sz w:val="44"/>
          <w:szCs w:val="44"/>
        </w:rPr>
        <w:t>2022年度部门决算情况说明</w:t>
      </w:r>
    </w:p>
    <w:p>
      <w:pPr>
        <w:spacing w:line="594" w:lineRule="exact"/>
        <w:rPr>
          <w:rFonts w:ascii="Times New Roman" w:eastAsia="方正仿宋_GBK" w:cs="Times New Roman" w:hAnsi="Times New Roman"/>
          <w:sz w:val="32"/>
          <w:szCs w:val="32"/>
        </w:rPr>
      </w:pPr>
    </w:p>
    <w:p>
      <w:pPr>
        <w:spacing w:line="594" w:lineRule="exact"/>
        <w:rPr>
          <w:rFonts w:ascii="方正黑体_GBK" w:eastAsia="方正黑体_GBK" w:cs="Times New Roman"/>
          <w:sz w:val="32"/>
          <w:szCs w:val="32"/>
        </w:rPr>
      </w:pPr>
      <w:r>
        <w:rPr>
          <w:rFonts w:ascii="方正黑体_GBK" w:eastAsia="方正黑体_GBK" w:cs="Times New Roman" w:hint="eastAsia"/>
          <w:sz w:val="32"/>
          <w:szCs w:val="32"/>
        </w:rPr>
        <w:t xml:space="preserve">    一、部门基本情况</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（一）职能职责。</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渝中区红十字会为渝中区卫生健康委员会二级预算单位，主要职能是：（一）负责宣传、贯彻《中华人民共和国红十字会法》《中国红十字会章程》及相关法律法规，按照中国红十字会和市红十字会的要求，依法开展工作。（二）按照《中国红十字会章程》吸收会员，发展组员。（三）协助政府做好人道主义工作，开展抗灾救灾、抢险救助、扶危济困。组织社会捐助，呼吁和争取国际救援，监督和管理救援物资的使用。（四）普及卫生救护和防病知识开展群众性初级卫生救护培训，组织群众参加现场救护。（五）推动无偿献血，协助政府开展无偿献血的宣传、发动工作；开展骨髓、器官、遗体自愿捐献的动员、宣传组织和数据检索工作。（六）组织会员、志愿工作者开展社会服务活动；开展有益于青少年身心健康的红十字青少年活动。（七）在中国红十字会</w:t>
      </w:r>
      <w:bookmarkStart w:id="0" w:name="_GoBack"/>
      <w:bookmarkEnd w:id="0"/>
      <w:r>
        <w:rPr>
          <w:rFonts w:ascii="Times New Roman" w:eastAsia="方正仿宋_GBK" w:cs="Times New Roman" w:hAnsi="Times New Roman"/>
          <w:sz w:val="32"/>
          <w:szCs w:val="32"/>
        </w:rPr>
        <w:t>总会和市红十字会的指导下，参加国际和国内人道主义救援工作，开展国际交流与合作，办理国际查人转信事务。（八）负责宣传国际红十字和红新月运动的基本原则和日内瓦公约及其附加认定书。依照国际红十字和红新月运动的基本原则，完成人民政府委托事宜。（九）兴办符合红十字会宗旨的社会福利事业和经济实体。</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（二）机构设置。</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渝中区红十字会未设置内设机构</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（三）单位构成。</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从预算单位构成看，纳入本部门</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年度决算编制的预算单位1个，即渝中区红十字会，无下属单位。</w:t>
      </w:r>
    </w:p>
    <w:p>
      <w:pPr>
        <w:spacing w:line="594" w:lineRule="exact"/>
        <w:rPr>
          <w:rFonts w:ascii="方正黑体_GBK" w:eastAsia="方正黑体_GBK" w:cs="Times New Roman"/>
          <w:sz w:val="32"/>
          <w:szCs w:val="32"/>
        </w:rPr>
      </w:pPr>
      <w:r>
        <w:rPr>
          <w:rFonts w:ascii="方正黑体_GBK" w:eastAsia="方正黑体_GBK" w:cs="Times New Roman"/>
          <w:sz w:val="32"/>
          <w:szCs w:val="32"/>
        </w:rPr>
        <w:t xml:space="preserve">    二、部门决算情况说明</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（一）收入支出决算总体情况说明。</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1.总体情况。</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年度收入总计</w:t>
      </w:r>
      <w:r>
        <w:rPr>
          <w:rFonts w:ascii="Times New Roman" w:eastAsia="方正仿宋_GBK" w:cs="Times New Roman" w:hAnsi="Times New Roman" w:hint="eastAsia"/>
          <w:sz w:val="32"/>
          <w:szCs w:val="32"/>
        </w:rPr>
        <w:t>95.67</w:t>
      </w:r>
      <w:r>
        <w:rPr>
          <w:rFonts w:ascii="Times New Roman" w:eastAsia="方正仿宋_GBK" w:cs="Times New Roman" w:hAnsi="Times New Roman"/>
          <w:sz w:val="32"/>
          <w:szCs w:val="32"/>
        </w:rPr>
        <w:t>万元，支出总计</w:t>
      </w:r>
      <w:r>
        <w:rPr>
          <w:rFonts w:ascii="Times New Roman" w:eastAsia="方正仿宋_GBK" w:cs="Times New Roman" w:hAnsi="Times New Roman" w:hint="eastAsia"/>
          <w:sz w:val="32"/>
          <w:szCs w:val="32"/>
        </w:rPr>
        <w:t>95.67</w:t>
      </w:r>
      <w:r>
        <w:rPr>
          <w:rFonts w:ascii="Times New Roman" w:eastAsia="方正仿宋_GBK" w:cs="Times New Roman" w:hAnsi="Times New Roman"/>
          <w:sz w:val="32"/>
          <w:szCs w:val="32"/>
        </w:rPr>
        <w:t>万元。收支较上年决算数增加</w:t>
      </w:r>
      <w:r>
        <w:rPr>
          <w:rFonts w:ascii="Times New Roman" w:eastAsia="方正仿宋_GBK" w:cs="Times New Roman" w:hAnsi="Times New Roman" w:hint="eastAsia"/>
          <w:sz w:val="32"/>
          <w:szCs w:val="32"/>
        </w:rPr>
        <w:t>12.43</w:t>
      </w:r>
      <w:r>
        <w:rPr>
          <w:rFonts w:ascii="Times New Roman" w:eastAsia="方正仿宋_GBK" w:cs="Times New Roman" w:hAnsi="Times New Roman"/>
          <w:sz w:val="32"/>
          <w:szCs w:val="32"/>
        </w:rPr>
        <w:t>万元、增长</w:t>
      </w:r>
      <w:r>
        <w:rPr>
          <w:rFonts w:ascii="Times New Roman" w:eastAsia="方正仿宋_GBK" w:cs="Times New Roman" w:hAnsi="Times New Roman" w:hint="eastAsia"/>
          <w:sz w:val="32"/>
          <w:szCs w:val="32"/>
        </w:rPr>
        <w:t>14.9</w:t>
      </w:r>
      <w:r>
        <w:rPr>
          <w:rFonts w:ascii="Times New Roman" w:eastAsia="方正仿宋_GBK" w:cs="Times New Roman" w:hAnsi="Times New Roman"/>
          <w:sz w:val="32"/>
          <w:szCs w:val="32"/>
        </w:rPr>
        <w:t>%，主要原因是政策性调资</w:t>
      </w:r>
      <w:r>
        <w:rPr>
          <w:rFonts w:ascii="Times New Roman" w:eastAsia="方正仿宋_GBK" w:cs="Times New Roman" w:hAnsi="Times New Roman" w:hint="eastAsia"/>
          <w:sz w:val="32"/>
          <w:szCs w:val="32"/>
        </w:rPr>
        <w:t>及增加人员</w:t>
      </w:r>
      <w:r>
        <w:rPr>
          <w:rFonts w:ascii="Times New Roman" w:eastAsia="方正仿宋_GBK" w:cs="Times New Roman" w:hAnsi="Times New Roman"/>
          <w:sz w:val="32"/>
          <w:szCs w:val="32"/>
        </w:rPr>
        <w:t>。</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2.收入情况。</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年度收入合计</w:t>
      </w:r>
      <w:r>
        <w:rPr>
          <w:rFonts w:ascii="Times New Roman" w:eastAsia="方正仿宋_GBK" w:cs="Times New Roman" w:hAnsi="Times New Roman" w:hint="eastAsia"/>
          <w:sz w:val="32"/>
          <w:szCs w:val="32"/>
        </w:rPr>
        <w:t>91.90</w:t>
      </w:r>
      <w:r>
        <w:rPr>
          <w:rFonts w:ascii="Times New Roman" w:eastAsia="方正仿宋_GBK" w:cs="Times New Roman" w:hAnsi="Times New Roman"/>
          <w:sz w:val="32"/>
          <w:szCs w:val="32"/>
        </w:rPr>
        <w:t>万元，较上年决算数增加</w:t>
      </w:r>
      <w:r>
        <w:rPr>
          <w:rFonts w:ascii="Times New Roman" w:eastAsia="方正仿宋_GBK" w:cs="Times New Roman" w:hAnsi="Times New Roman" w:hint="eastAsia"/>
          <w:sz w:val="32"/>
          <w:szCs w:val="32"/>
        </w:rPr>
        <w:t>28.9</w:t>
      </w:r>
      <w:r>
        <w:rPr>
          <w:rFonts w:ascii="Times New Roman" w:eastAsia="方正仿宋_GBK" w:cs="Times New Roman" w:hAnsi="Times New Roman"/>
          <w:sz w:val="32"/>
          <w:szCs w:val="32"/>
        </w:rPr>
        <w:t>万元，增长</w:t>
      </w:r>
      <w:r>
        <w:rPr>
          <w:rFonts w:ascii="Times New Roman" w:eastAsia="方正仿宋_GBK" w:cs="Times New Roman" w:hAnsi="Times New Roman" w:hint="eastAsia"/>
          <w:sz w:val="32"/>
          <w:szCs w:val="32"/>
        </w:rPr>
        <w:t>45.9</w:t>
      </w:r>
      <w:r>
        <w:rPr>
          <w:rFonts w:ascii="Times New Roman" w:eastAsia="方正仿宋_GBK" w:cs="Times New Roman" w:hAnsi="Times New Roman"/>
          <w:sz w:val="32"/>
          <w:szCs w:val="32"/>
        </w:rPr>
        <w:t>%，主要原因是政策性调资</w:t>
      </w:r>
      <w:r>
        <w:rPr>
          <w:rFonts w:ascii="Times New Roman" w:eastAsia="方正仿宋_GBK" w:cs="Times New Roman" w:hAnsi="Times New Roman" w:hint="eastAsia"/>
          <w:sz w:val="32"/>
          <w:szCs w:val="32"/>
        </w:rPr>
        <w:t>及增加人员</w:t>
      </w:r>
      <w:r>
        <w:rPr>
          <w:rFonts w:ascii="Times New Roman" w:eastAsia="方正仿宋_GBK" w:cs="Times New Roman" w:hAnsi="Times New Roman"/>
          <w:sz w:val="32"/>
          <w:szCs w:val="32"/>
        </w:rPr>
        <w:t>。其中：财政拨款收入</w:t>
      </w:r>
      <w:r>
        <w:rPr>
          <w:rFonts w:ascii="Times New Roman" w:eastAsia="方正仿宋_GBK" w:cs="Times New Roman" w:hAnsi="Times New Roman" w:hint="eastAsia"/>
          <w:sz w:val="32"/>
          <w:szCs w:val="32"/>
        </w:rPr>
        <w:t>91.90</w:t>
      </w:r>
      <w:r>
        <w:rPr>
          <w:rFonts w:ascii="Times New Roman" w:eastAsia="方正仿宋_GBK" w:cs="Times New Roman" w:hAnsi="Times New Roman"/>
          <w:sz w:val="32"/>
          <w:szCs w:val="32"/>
        </w:rPr>
        <w:t>万元，占100%；年初结转和结余</w:t>
      </w:r>
      <w:r>
        <w:rPr>
          <w:rFonts w:ascii="Times New Roman" w:eastAsia="方正仿宋_GBK" w:cs="Times New Roman" w:hAnsi="Times New Roman" w:hint="eastAsia"/>
          <w:sz w:val="32"/>
          <w:szCs w:val="32"/>
        </w:rPr>
        <w:t>3.77</w:t>
      </w:r>
      <w:r>
        <w:rPr>
          <w:rFonts w:ascii="Times New Roman" w:eastAsia="方正仿宋_GBK" w:cs="Times New Roman" w:hAnsi="Times New Roman"/>
          <w:sz w:val="32"/>
          <w:szCs w:val="32"/>
        </w:rPr>
        <w:t>万元。</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3.支出情况。</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年度支出合计</w:t>
      </w:r>
      <w:r>
        <w:rPr>
          <w:rFonts w:ascii="Times New Roman" w:eastAsia="方正仿宋_GBK" w:cs="Times New Roman" w:hAnsi="Times New Roman" w:hint="eastAsia"/>
          <w:sz w:val="32"/>
          <w:szCs w:val="32"/>
        </w:rPr>
        <w:t>91.90</w:t>
      </w:r>
      <w:r>
        <w:rPr>
          <w:rFonts w:ascii="Times New Roman" w:eastAsia="方正仿宋_GBK" w:cs="Times New Roman" w:hAnsi="Times New Roman"/>
          <w:sz w:val="32"/>
          <w:szCs w:val="32"/>
        </w:rPr>
        <w:t>万元，较上年决算数增加</w:t>
      </w:r>
      <w:r>
        <w:rPr>
          <w:rFonts w:ascii="Times New Roman" w:eastAsia="方正仿宋_GBK" w:cs="Times New Roman" w:hAnsi="Times New Roman" w:hint="eastAsia"/>
          <w:sz w:val="32"/>
          <w:szCs w:val="32"/>
        </w:rPr>
        <w:t>12.55</w:t>
      </w:r>
      <w:r>
        <w:rPr>
          <w:rFonts w:ascii="Times New Roman" w:eastAsia="方正仿宋_GBK" w:cs="Times New Roman" w:hAnsi="Times New Roman"/>
          <w:sz w:val="32"/>
          <w:szCs w:val="32"/>
        </w:rPr>
        <w:t>万元，增长</w:t>
      </w:r>
      <w:r>
        <w:rPr>
          <w:rFonts w:ascii="Times New Roman" w:eastAsia="方正仿宋_GBK" w:cs="Times New Roman" w:hAnsi="Times New Roman" w:hint="eastAsia"/>
          <w:sz w:val="32"/>
          <w:szCs w:val="32"/>
        </w:rPr>
        <w:t>15.8</w:t>
      </w:r>
      <w:r>
        <w:rPr>
          <w:rFonts w:ascii="Times New Roman" w:eastAsia="方正仿宋_GBK" w:cs="Times New Roman" w:hAnsi="Times New Roman"/>
          <w:sz w:val="32"/>
          <w:szCs w:val="32"/>
        </w:rPr>
        <w:t>%，主要原因是政策性调资</w:t>
      </w:r>
      <w:r>
        <w:rPr>
          <w:rFonts w:ascii="Times New Roman" w:eastAsia="方正仿宋_GBK" w:cs="Times New Roman" w:hAnsi="Times New Roman" w:hint="eastAsia"/>
          <w:sz w:val="32"/>
          <w:szCs w:val="32"/>
        </w:rPr>
        <w:t>及人员增加</w:t>
      </w:r>
      <w:r>
        <w:rPr>
          <w:rFonts w:ascii="Times New Roman" w:eastAsia="方正仿宋_GBK" w:cs="Times New Roman" w:hAnsi="Times New Roman"/>
          <w:sz w:val="32"/>
          <w:szCs w:val="32"/>
        </w:rPr>
        <w:t>。其中：基本支出</w:t>
      </w:r>
      <w:r>
        <w:rPr>
          <w:rFonts w:ascii="Times New Roman" w:eastAsia="方正仿宋_GBK" w:cs="Times New Roman" w:hAnsi="Times New Roman" w:hint="eastAsia"/>
          <w:sz w:val="32"/>
          <w:szCs w:val="32"/>
        </w:rPr>
        <w:t>78.9</w:t>
      </w:r>
      <w:r>
        <w:rPr>
          <w:rFonts w:ascii="Times New Roman" w:eastAsia="方正仿宋_GBK" w:cs="Times New Roman" w:hAnsi="Times New Roman"/>
          <w:sz w:val="32"/>
          <w:szCs w:val="32"/>
        </w:rPr>
        <w:t>万元，占</w:t>
      </w:r>
      <w:r>
        <w:rPr>
          <w:rFonts w:ascii="Times New Roman" w:eastAsia="方正仿宋_GBK" w:cs="Times New Roman" w:hAnsi="Times New Roman" w:hint="eastAsia"/>
          <w:sz w:val="32"/>
          <w:szCs w:val="32"/>
        </w:rPr>
        <w:t>85.9</w:t>
      </w:r>
      <w:r>
        <w:rPr>
          <w:rFonts w:ascii="Times New Roman" w:eastAsia="方正仿宋_GBK" w:cs="Times New Roman" w:hAnsi="Times New Roman"/>
          <w:sz w:val="32"/>
          <w:szCs w:val="32"/>
        </w:rPr>
        <w:t>%；项目支出</w:t>
      </w:r>
      <w:r>
        <w:rPr>
          <w:rFonts w:ascii="Times New Roman" w:eastAsia="方正仿宋_GBK" w:cs="Times New Roman" w:hAnsi="Times New Roman" w:hint="eastAsia"/>
          <w:sz w:val="32"/>
          <w:szCs w:val="32"/>
        </w:rPr>
        <w:t>13.00</w:t>
      </w:r>
      <w:r>
        <w:rPr>
          <w:rFonts w:ascii="Times New Roman" w:eastAsia="方正仿宋_GBK" w:cs="Times New Roman" w:hAnsi="Times New Roman"/>
          <w:sz w:val="32"/>
          <w:szCs w:val="32"/>
        </w:rPr>
        <w:t>万元，占</w:t>
      </w:r>
      <w:r>
        <w:rPr>
          <w:rFonts w:ascii="Times New Roman" w:eastAsia="方正仿宋_GBK" w:cs="Times New Roman" w:hAnsi="Times New Roman" w:hint="eastAsia"/>
          <w:sz w:val="32"/>
          <w:szCs w:val="32"/>
        </w:rPr>
        <w:t>14.1</w:t>
      </w:r>
      <w:r>
        <w:rPr>
          <w:rFonts w:ascii="Times New Roman" w:eastAsia="方正仿宋_GBK" w:cs="Times New Roman" w:hAnsi="Times New Roman"/>
          <w:sz w:val="32"/>
          <w:szCs w:val="32"/>
        </w:rPr>
        <w:t>%。</w:t>
      </w:r>
    </w:p>
    <w:p>
      <w:pPr>
        <w:spacing w:line="594" w:lineRule="exact"/>
        <w:rPr>
          <w:rFonts w:ascii="Times New Roman" w:eastAsia="方正仿宋_GBK" w:cs="Times New Roman" w:hAnsi="Times New Roman"/>
          <w:color w:val="000000"/>
          <w:sz w:val="32"/>
          <w:szCs w:val="32"/>
        </w:rPr>
      </w:pPr>
      <w:r>
        <w:rPr>
          <w:rFonts w:ascii="Times New Roman" w:eastAsia="方正仿宋_GBK" w:cs="Times New Roman" w:hAnsi="Times New Roman"/>
          <w:sz w:val="32"/>
          <w:szCs w:val="32"/>
        </w:rPr>
        <w:t xml:space="preserve">    4.结转结余情况。</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年度年末结转和结余</w:t>
      </w:r>
      <w:r>
        <w:rPr>
          <w:rFonts w:ascii="Times New Roman" w:eastAsia="方正仿宋_GBK" w:cs="Times New Roman" w:hAnsi="Times New Roman" w:hint="eastAsia"/>
          <w:sz w:val="32"/>
          <w:szCs w:val="32"/>
        </w:rPr>
        <w:t>3.77</w:t>
      </w:r>
      <w:r>
        <w:rPr>
          <w:rFonts w:ascii="Times New Roman" w:eastAsia="方正仿宋_GBK" w:cs="Times New Roman" w:hAnsi="Times New Roman"/>
          <w:sz w:val="32"/>
          <w:szCs w:val="32"/>
        </w:rPr>
        <w:t>万元，较上年决算数减少</w:t>
      </w:r>
      <w:r>
        <w:rPr>
          <w:rFonts w:ascii="Times New Roman" w:eastAsia="方正仿宋_GBK" w:cs="Times New Roman" w:hAnsi="Times New Roman" w:hint="eastAsia"/>
          <w:sz w:val="32"/>
          <w:szCs w:val="32"/>
        </w:rPr>
        <w:t>0.12</w:t>
      </w:r>
      <w:r>
        <w:rPr>
          <w:rFonts w:ascii="Times New Roman" w:eastAsia="方正仿宋_GBK" w:cs="Times New Roman" w:hAnsi="Times New Roman"/>
          <w:sz w:val="32"/>
          <w:szCs w:val="32"/>
        </w:rPr>
        <w:t>万元，下降</w:t>
      </w:r>
      <w:r>
        <w:rPr>
          <w:rFonts w:ascii="Times New Roman" w:eastAsia="方正仿宋_GBK" w:cs="Times New Roman" w:hAnsi="Times New Roman" w:hint="eastAsia"/>
          <w:sz w:val="32"/>
          <w:szCs w:val="32"/>
        </w:rPr>
        <w:t>3.1</w:t>
      </w:r>
      <w:r>
        <w:rPr>
          <w:rFonts w:ascii="Times New Roman" w:eastAsia="方正仿宋_GBK" w:cs="Times New Roman" w:hAnsi="Times New Roman"/>
          <w:sz w:val="32"/>
          <w:szCs w:val="32"/>
        </w:rPr>
        <w:t>%，</w:t>
      </w:r>
      <w:r>
        <w:rPr>
          <w:rFonts w:ascii="Times New Roman" w:eastAsia="方正仿宋_GBK" w:cs="Times New Roman" w:hAnsi="Times New Roman"/>
          <w:color w:val="000000"/>
          <w:sz w:val="32"/>
          <w:szCs w:val="32"/>
        </w:rPr>
        <w:t>主要原因是政策性调资</w:t>
      </w:r>
      <w:r>
        <w:rPr>
          <w:rFonts w:ascii="Times New Roman" w:eastAsia="方正仿宋_GBK" w:cs="Times New Roman" w:hAnsi="Times New Roman" w:hint="eastAsia"/>
          <w:color w:val="000000"/>
          <w:sz w:val="32"/>
          <w:szCs w:val="32"/>
        </w:rPr>
        <w:t>、增加人员和运行经费调整。</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（二）财政拨款收入支出决算总体情况说明。</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年度财政拨款收、支</w:t>
      </w:r>
      <w:r>
        <w:rPr>
          <w:rFonts w:ascii="Times New Roman" w:eastAsia="方正仿宋_GBK" w:cs="Times New Roman" w:hAnsi="Times New Roman" w:hint="eastAsia"/>
          <w:sz w:val="32"/>
          <w:szCs w:val="32"/>
        </w:rPr>
        <w:t>各</w:t>
      </w:r>
      <w:r>
        <w:rPr>
          <w:rFonts w:ascii="Times New Roman" w:eastAsia="方正仿宋_GBK" w:cs="Times New Roman" w:hAnsi="Times New Roman"/>
          <w:sz w:val="32"/>
          <w:szCs w:val="32"/>
        </w:rPr>
        <w:t>总计</w:t>
      </w:r>
      <w:r>
        <w:rPr>
          <w:rFonts w:ascii="Times New Roman" w:eastAsia="方正仿宋_GBK" w:cs="Times New Roman" w:hAnsi="Times New Roman" w:hint="eastAsia"/>
          <w:sz w:val="32"/>
          <w:szCs w:val="32"/>
        </w:rPr>
        <w:t>91.9</w:t>
      </w:r>
      <w:r>
        <w:rPr>
          <w:rFonts w:ascii="Times New Roman" w:eastAsia="方正仿宋_GBK" w:cs="Times New Roman" w:hAnsi="Times New Roman"/>
          <w:sz w:val="32"/>
          <w:szCs w:val="32"/>
        </w:rPr>
        <w:t>万元。与202</w:t>
      </w:r>
      <w:r>
        <w:rPr>
          <w:rFonts w:ascii="Times New Roman" w:eastAsia="方正仿宋_GBK" w:cs="Times New Roman" w:hAnsi="Times New Roman" w:hint="eastAsia"/>
          <w:sz w:val="32"/>
          <w:szCs w:val="32"/>
        </w:rPr>
        <w:t>1</w:t>
      </w:r>
      <w:r>
        <w:rPr>
          <w:rFonts w:ascii="Times New Roman" w:eastAsia="方正仿宋_GBK" w:cs="Times New Roman" w:hAnsi="Times New Roman"/>
          <w:sz w:val="32"/>
          <w:szCs w:val="32"/>
        </w:rPr>
        <w:t>年相比，财政拨款收、支总计各增加</w:t>
      </w:r>
      <w:r>
        <w:rPr>
          <w:rFonts w:ascii="Times New Roman" w:eastAsia="方正仿宋_GBK" w:cs="Times New Roman" w:hAnsi="Times New Roman" w:hint="eastAsia"/>
          <w:sz w:val="32"/>
          <w:szCs w:val="32"/>
        </w:rPr>
        <w:t>12.55</w:t>
      </w:r>
      <w:r>
        <w:rPr>
          <w:rFonts w:ascii="Times New Roman" w:eastAsia="方正仿宋_GBK" w:cs="Times New Roman" w:hAnsi="Times New Roman"/>
          <w:sz w:val="32"/>
          <w:szCs w:val="32"/>
        </w:rPr>
        <w:t>万元，增长</w:t>
      </w:r>
      <w:r>
        <w:rPr>
          <w:rFonts w:ascii="Times New Roman" w:eastAsia="方正仿宋_GBK" w:cs="Times New Roman" w:hAnsi="Times New Roman" w:hint="eastAsia"/>
          <w:sz w:val="32"/>
          <w:szCs w:val="32"/>
        </w:rPr>
        <w:t>15.8</w:t>
      </w:r>
      <w:r>
        <w:rPr>
          <w:rFonts w:ascii="Times New Roman" w:eastAsia="方正仿宋_GBK" w:cs="Times New Roman" w:hAnsi="Times New Roman"/>
          <w:sz w:val="32"/>
          <w:szCs w:val="32"/>
        </w:rPr>
        <w:t>%。主要原因是政策性调资</w:t>
      </w:r>
      <w:r>
        <w:rPr>
          <w:rFonts w:ascii="Times New Roman" w:eastAsia="方正仿宋_GBK" w:cs="Times New Roman" w:hAnsi="Times New Roman" w:hint="eastAsia"/>
          <w:sz w:val="32"/>
          <w:szCs w:val="32"/>
        </w:rPr>
        <w:t>、增加人员和运行经费调整</w:t>
      </w:r>
      <w:r>
        <w:rPr>
          <w:rFonts w:ascii="Times New Roman" w:eastAsia="方正仿宋_GBK" w:cs="Times New Roman" w:hAnsi="Times New Roman"/>
          <w:sz w:val="32"/>
          <w:szCs w:val="32"/>
        </w:rPr>
        <w:t>。</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（三）一般公共预算财政拨款收入支出决算情况说明。</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1.收入情况。</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年度一般公共预算财政拨款收入</w:t>
      </w:r>
      <w:r>
        <w:rPr>
          <w:rFonts w:ascii="Times New Roman" w:eastAsia="方正仿宋_GBK" w:cs="Times New Roman" w:hAnsi="Times New Roman" w:hint="eastAsia"/>
          <w:sz w:val="32"/>
          <w:szCs w:val="32"/>
        </w:rPr>
        <w:t>91.90</w:t>
      </w:r>
      <w:r>
        <w:rPr>
          <w:rFonts w:ascii="Times New Roman" w:eastAsia="方正仿宋_GBK" w:cs="Times New Roman" w:hAnsi="Times New Roman"/>
          <w:sz w:val="32"/>
          <w:szCs w:val="32"/>
        </w:rPr>
        <w:t>万元，较上年决算数增加</w:t>
      </w:r>
      <w:r>
        <w:rPr>
          <w:rFonts w:ascii="Times New Roman" w:eastAsia="方正仿宋_GBK" w:cs="Times New Roman" w:hAnsi="Times New Roman" w:hint="eastAsia"/>
          <w:sz w:val="32"/>
          <w:szCs w:val="32"/>
        </w:rPr>
        <w:t>28.90</w:t>
      </w:r>
      <w:r>
        <w:rPr>
          <w:rFonts w:ascii="Times New Roman" w:eastAsia="方正仿宋_GBK" w:cs="Times New Roman" w:hAnsi="Times New Roman"/>
          <w:sz w:val="32"/>
          <w:szCs w:val="32"/>
        </w:rPr>
        <w:t>万元，增长</w:t>
      </w:r>
      <w:r>
        <w:rPr>
          <w:rFonts w:ascii="Times New Roman" w:eastAsia="方正仿宋_GBK" w:cs="Times New Roman" w:hAnsi="Times New Roman" w:hint="eastAsia"/>
          <w:sz w:val="32"/>
          <w:szCs w:val="32"/>
        </w:rPr>
        <w:t>45.9</w:t>
      </w:r>
      <w:r>
        <w:rPr>
          <w:rFonts w:ascii="Times New Roman" w:eastAsia="方正仿宋_GBK" w:cs="Times New Roman" w:hAnsi="Times New Roman"/>
          <w:sz w:val="32"/>
          <w:szCs w:val="32"/>
        </w:rPr>
        <w:t>%。主要原因是政策性调资</w:t>
      </w:r>
      <w:r>
        <w:rPr>
          <w:rFonts w:ascii="Times New Roman" w:eastAsia="方正仿宋_GBK" w:cs="Times New Roman" w:hAnsi="Times New Roman" w:hint="eastAsia"/>
          <w:sz w:val="32"/>
          <w:szCs w:val="32"/>
        </w:rPr>
        <w:t>、增加人员和公用经费调整</w:t>
      </w:r>
      <w:r>
        <w:rPr>
          <w:rFonts w:ascii="Times New Roman" w:eastAsia="方正仿宋_GBK" w:cs="Times New Roman" w:hAnsi="Times New Roman"/>
          <w:sz w:val="32"/>
          <w:szCs w:val="32"/>
        </w:rPr>
        <w:t>。较年初预算数增加</w:t>
      </w:r>
      <w:r>
        <w:rPr>
          <w:rFonts w:ascii="Times New Roman" w:eastAsia="方正仿宋_GBK" w:cs="Times New Roman" w:hAnsi="Times New Roman" w:hint="eastAsia"/>
          <w:sz w:val="32"/>
          <w:szCs w:val="32"/>
        </w:rPr>
        <w:t>24.85</w:t>
      </w:r>
      <w:r>
        <w:rPr>
          <w:rFonts w:ascii="Times New Roman" w:eastAsia="方正仿宋_GBK" w:cs="Times New Roman" w:hAnsi="Times New Roman"/>
          <w:sz w:val="32"/>
          <w:szCs w:val="32"/>
        </w:rPr>
        <w:t>万元，增长</w:t>
      </w:r>
      <w:r>
        <w:rPr>
          <w:rFonts w:ascii="Times New Roman" w:eastAsia="方正仿宋_GBK" w:cs="Times New Roman" w:hAnsi="Times New Roman" w:hint="eastAsia"/>
          <w:sz w:val="32"/>
          <w:szCs w:val="32"/>
        </w:rPr>
        <w:t>37.1</w:t>
      </w:r>
      <w:r>
        <w:rPr>
          <w:rFonts w:ascii="Times New Roman" w:eastAsia="方正仿宋_GBK" w:cs="Times New Roman" w:hAnsi="Times New Roman"/>
          <w:sz w:val="32"/>
          <w:szCs w:val="32"/>
        </w:rPr>
        <w:t>%。主要原因是政策性调资</w:t>
      </w:r>
      <w:r>
        <w:rPr>
          <w:rFonts w:ascii="Times New Roman" w:eastAsia="方正仿宋_GBK" w:cs="Times New Roman" w:hAnsi="Times New Roman" w:hint="eastAsia"/>
          <w:sz w:val="32"/>
          <w:szCs w:val="32"/>
        </w:rPr>
        <w:t>、增加人员和公用经费调整</w:t>
      </w:r>
      <w:r>
        <w:rPr>
          <w:rFonts w:ascii="Times New Roman" w:eastAsia="方正仿宋_GBK" w:cs="Times New Roman" w:hAnsi="Times New Roman"/>
          <w:sz w:val="32"/>
          <w:szCs w:val="32"/>
        </w:rPr>
        <w:t>。此外，年初财政拨款结转和结余</w:t>
      </w:r>
      <w:r>
        <w:rPr>
          <w:rFonts w:ascii="Times New Roman" w:eastAsia="方正仿宋_GBK" w:cs="Times New Roman" w:hAnsi="Times New Roman" w:hint="eastAsia"/>
          <w:sz w:val="32"/>
          <w:szCs w:val="32"/>
        </w:rPr>
        <w:t>3.89</w:t>
      </w:r>
      <w:r>
        <w:rPr>
          <w:rFonts w:ascii="Times New Roman" w:eastAsia="方正仿宋_GBK" w:cs="Times New Roman" w:hAnsi="Times New Roman"/>
          <w:sz w:val="32"/>
          <w:szCs w:val="32"/>
        </w:rPr>
        <w:t>万元。</w:t>
      </w:r>
    </w:p>
    <w:p>
      <w:pPr>
        <w:spacing w:line="594" w:lineRule="exact"/>
        <w:rPr>
          <w:rFonts w:ascii="Times New Roman" w:eastAsia="方正仿宋_GBK" w:cs="Times New Roman" w:hAnsi="Times New Roman"/>
          <w:color w:val="FF0000"/>
          <w:sz w:val="32"/>
          <w:szCs w:val="32"/>
        </w:rPr>
      </w:pPr>
      <w:r>
        <w:rPr>
          <w:rFonts w:ascii="Times New Roman" w:eastAsia="方正仿宋_GBK" w:cs="Times New Roman" w:hAnsi="Times New Roman"/>
          <w:sz w:val="32"/>
          <w:szCs w:val="32"/>
        </w:rPr>
        <w:t xml:space="preserve">    2.支出情况。</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年度一般公共预算财政拨款支出</w:t>
      </w:r>
      <w:r>
        <w:rPr>
          <w:rFonts w:ascii="Times New Roman" w:eastAsia="方正仿宋_GBK" w:cs="Times New Roman" w:hAnsi="Times New Roman" w:hint="eastAsia"/>
          <w:sz w:val="32"/>
          <w:szCs w:val="32"/>
        </w:rPr>
        <w:t>91.90</w:t>
      </w:r>
      <w:r>
        <w:rPr>
          <w:rFonts w:ascii="Times New Roman" w:eastAsia="方正仿宋_GBK" w:cs="Times New Roman" w:hAnsi="Times New Roman"/>
          <w:sz w:val="32"/>
          <w:szCs w:val="32"/>
        </w:rPr>
        <w:t>万元，较上年决算数增加</w:t>
      </w:r>
      <w:r>
        <w:rPr>
          <w:rFonts w:ascii="Times New Roman" w:eastAsia="方正仿宋_GBK" w:cs="Times New Roman" w:hAnsi="Times New Roman" w:hint="eastAsia"/>
          <w:sz w:val="32"/>
          <w:szCs w:val="32"/>
        </w:rPr>
        <w:t>12.55</w:t>
      </w:r>
      <w:r>
        <w:rPr>
          <w:rFonts w:ascii="Times New Roman" w:eastAsia="方正仿宋_GBK" w:cs="Times New Roman" w:hAnsi="Times New Roman"/>
          <w:sz w:val="32"/>
          <w:szCs w:val="32"/>
        </w:rPr>
        <w:t>万元，增长</w:t>
      </w:r>
      <w:r>
        <w:rPr>
          <w:rFonts w:ascii="Times New Roman" w:eastAsia="方正仿宋_GBK" w:cs="Times New Roman" w:hAnsi="Times New Roman" w:hint="eastAsia"/>
          <w:sz w:val="32"/>
          <w:szCs w:val="32"/>
        </w:rPr>
        <w:t>15.8</w:t>
      </w:r>
      <w:r>
        <w:rPr>
          <w:rFonts w:ascii="Times New Roman" w:eastAsia="方正仿宋_GBK" w:cs="Times New Roman" w:hAnsi="Times New Roman"/>
          <w:sz w:val="32"/>
          <w:szCs w:val="32"/>
        </w:rPr>
        <w:t>%。主要原因是政策性调资</w:t>
      </w:r>
      <w:r>
        <w:rPr>
          <w:rFonts w:ascii="Times New Roman" w:eastAsia="方正仿宋_GBK" w:cs="Times New Roman" w:hAnsi="Times New Roman" w:hint="eastAsia"/>
          <w:sz w:val="32"/>
          <w:szCs w:val="32"/>
        </w:rPr>
        <w:t>、增加人员和公用经费调整</w:t>
      </w:r>
      <w:r>
        <w:rPr>
          <w:rFonts w:ascii="Times New Roman" w:eastAsia="方正仿宋_GBK" w:cs="Times New Roman" w:hAnsi="Times New Roman"/>
          <w:sz w:val="32"/>
          <w:szCs w:val="32"/>
        </w:rPr>
        <w:t>。</w:t>
      </w:r>
      <w:r>
        <w:rPr>
          <w:rFonts w:ascii="Times New Roman" w:eastAsia="方正仿宋_GBK" w:cs="Times New Roman" w:hAnsi="Times New Roman"/>
          <w:color w:val="000000"/>
          <w:sz w:val="32"/>
          <w:szCs w:val="32"/>
        </w:rPr>
        <w:t>较年初预算数增加</w:t>
      </w:r>
      <w:r>
        <w:rPr>
          <w:rFonts w:ascii="Times New Roman" w:eastAsia="方正仿宋_GBK" w:cs="Times New Roman" w:hAnsi="Times New Roman" w:hint="eastAsia"/>
          <w:color w:val="000000"/>
          <w:sz w:val="32"/>
          <w:szCs w:val="32"/>
        </w:rPr>
        <w:t>24.85</w:t>
      </w:r>
      <w:r>
        <w:rPr>
          <w:rFonts w:ascii="Times New Roman" w:eastAsia="方正仿宋_GBK" w:cs="Times New Roman" w:hAnsi="Times New Roman"/>
          <w:color w:val="000000"/>
          <w:sz w:val="32"/>
          <w:szCs w:val="32"/>
        </w:rPr>
        <w:t>万元，增长</w:t>
      </w:r>
      <w:r>
        <w:rPr>
          <w:rFonts w:ascii="Times New Roman" w:eastAsia="方正仿宋_GBK" w:cs="Times New Roman" w:hAnsi="Times New Roman" w:hint="eastAsia"/>
          <w:color w:val="000000"/>
          <w:sz w:val="32"/>
          <w:szCs w:val="32"/>
        </w:rPr>
        <w:t>37.1</w:t>
      </w:r>
      <w:r>
        <w:rPr>
          <w:rFonts w:ascii="Times New Roman" w:eastAsia="方正仿宋_GBK" w:cs="Times New Roman" w:hAnsi="Times New Roman"/>
          <w:color w:val="000000"/>
          <w:sz w:val="32"/>
          <w:szCs w:val="32"/>
        </w:rPr>
        <w:t>%。主要原因是政策性调资</w:t>
      </w:r>
      <w:r>
        <w:rPr>
          <w:rFonts w:ascii="Times New Roman" w:eastAsia="方正仿宋_GBK" w:cs="Times New Roman" w:hAnsi="Times New Roman" w:hint="eastAsia"/>
          <w:color w:val="000000"/>
          <w:sz w:val="32"/>
          <w:szCs w:val="32"/>
        </w:rPr>
        <w:t>、增加人员和调整运行经费</w:t>
      </w:r>
      <w:r>
        <w:rPr>
          <w:rFonts w:ascii="Times New Roman" w:eastAsia="方正仿宋_GBK" w:cs="Times New Roman" w:hAnsi="Times New Roman"/>
          <w:color w:val="000000"/>
          <w:sz w:val="32"/>
          <w:szCs w:val="32"/>
        </w:rPr>
        <w:t>。</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3.结转结余情况。</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年度年末一般公共预算财政拨款结转和结余0.00万元，较上年决算数</w:t>
      </w:r>
      <w:r>
        <w:rPr>
          <w:rFonts w:ascii="Times New Roman" w:eastAsia="方正仿宋_GBK" w:cs="Times New Roman" w:hAnsi="Times New Roman" w:hint="eastAsia"/>
          <w:sz w:val="32"/>
          <w:szCs w:val="32"/>
        </w:rPr>
        <w:t>无变化</w:t>
      </w:r>
      <w:r>
        <w:rPr>
          <w:rFonts w:ascii="Times New Roman" w:eastAsia="方正仿宋_GBK" w:cs="Times New Roman" w:hAnsi="Times New Roman"/>
          <w:sz w:val="32"/>
          <w:szCs w:val="32"/>
        </w:rPr>
        <w:t>。</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4.比较情况。本部门</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年度一般公共预算财政拨款支出主要用于以下几个方面：</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（1）社会保障与就业支出</w:t>
      </w:r>
      <w:r>
        <w:rPr>
          <w:rFonts w:ascii="Times New Roman" w:eastAsia="方正仿宋_GBK" w:cs="Times New Roman" w:hAnsi="Times New Roman" w:hint="eastAsia"/>
          <w:sz w:val="32"/>
          <w:szCs w:val="32"/>
        </w:rPr>
        <w:t>7.60</w:t>
      </w:r>
      <w:r>
        <w:rPr>
          <w:rFonts w:ascii="Times New Roman" w:eastAsia="方正仿宋_GBK" w:cs="Times New Roman" w:hAnsi="Times New Roman"/>
          <w:sz w:val="32"/>
          <w:szCs w:val="32"/>
        </w:rPr>
        <w:t>万元，占</w:t>
      </w:r>
      <w:r>
        <w:rPr>
          <w:rFonts w:ascii="Times New Roman" w:eastAsia="方正仿宋_GBK" w:cs="Times New Roman" w:hAnsi="Times New Roman" w:hint="eastAsia"/>
          <w:sz w:val="32"/>
          <w:szCs w:val="32"/>
        </w:rPr>
        <w:t>8.3</w:t>
      </w:r>
      <w:r>
        <w:rPr>
          <w:rFonts w:ascii="Times New Roman" w:eastAsia="方正仿宋_GBK" w:cs="Times New Roman" w:hAnsi="Times New Roman"/>
          <w:sz w:val="32"/>
          <w:szCs w:val="32"/>
        </w:rPr>
        <w:t>%，较年初预算数增加</w:t>
      </w:r>
      <w:r>
        <w:rPr>
          <w:rFonts w:ascii="Times New Roman" w:eastAsia="方正仿宋_GBK" w:cs="Times New Roman" w:hAnsi="Times New Roman" w:hint="eastAsia"/>
          <w:sz w:val="32"/>
          <w:szCs w:val="32"/>
        </w:rPr>
        <w:t>0.00</w:t>
      </w:r>
      <w:r>
        <w:rPr>
          <w:rFonts w:ascii="Times New Roman" w:eastAsia="方正仿宋_GBK" w:cs="Times New Roman" w:hAnsi="Times New Roman"/>
          <w:sz w:val="32"/>
          <w:szCs w:val="32"/>
        </w:rPr>
        <w:t>万元，增长</w:t>
      </w:r>
      <w:r>
        <w:rPr>
          <w:rFonts w:ascii="Times New Roman" w:eastAsia="方正仿宋_GBK" w:cs="Times New Roman" w:hAnsi="Times New Roman" w:hint="eastAsia"/>
          <w:sz w:val="32"/>
          <w:szCs w:val="32"/>
        </w:rPr>
        <w:t>0</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与年初预算数一致</w:t>
      </w:r>
      <w:r>
        <w:rPr>
          <w:rFonts w:ascii="Times New Roman" w:eastAsia="方正仿宋_GBK" w:cs="Times New Roman" w:hAnsi="Times New Roman"/>
          <w:sz w:val="32"/>
          <w:szCs w:val="32"/>
        </w:rPr>
        <w:t>。</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（2）卫生健康支出</w:t>
      </w:r>
      <w:r>
        <w:rPr>
          <w:rFonts w:ascii="Times New Roman" w:eastAsia="方正仿宋_GBK" w:cs="Times New Roman" w:hAnsi="Times New Roman" w:hint="eastAsia"/>
          <w:sz w:val="32"/>
          <w:szCs w:val="32"/>
        </w:rPr>
        <w:t>81.94</w:t>
      </w:r>
      <w:r>
        <w:rPr>
          <w:rFonts w:ascii="Times New Roman" w:eastAsia="方正仿宋_GBK" w:cs="Times New Roman" w:hAnsi="Times New Roman"/>
          <w:sz w:val="32"/>
          <w:szCs w:val="32"/>
        </w:rPr>
        <w:t>万元，占</w:t>
      </w:r>
      <w:r>
        <w:rPr>
          <w:rFonts w:ascii="Times New Roman" w:eastAsia="方正仿宋_GBK" w:cs="Times New Roman" w:hAnsi="Times New Roman" w:hint="eastAsia"/>
          <w:sz w:val="32"/>
          <w:szCs w:val="32"/>
        </w:rPr>
        <w:t>89.2</w:t>
      </w:r>
      <w:r>
        <w:rPr>
          <w:rFonts w:ascii="Times New Roman" w:eastAsia="方正仿宋_GBK" w:cs="Times New Roman" w:hAnsi="Times New Roman"/>
          <w:sz w:val="32"/>
          <w:szCs w:val="32"/>
        </w:rPr>
        <w:t>%，较年初预算数增加</w:t>
      </w:r>
      <w:r>
        <w:rPr>
          <w:rFonts w:ascii="Times New Roman" w:eastAsia="方正仿宋_GBK" w:cs="Times New Roman" w:hAnsi="Times New Roman" w:hint="eastAsia"/>
          <w:sz w:val="32"/>
          <w:szCs w:val="32"/>
        </w:rPr>
        <w:t>24.84</w:t>
      </w:r>
      <w:r>
        <w:rPr>
          <w:rFonts w:ascii="Times New Roman" w:eastAsia="方正仿宋_GBK" w:cs="Times New Roman" w:hAnsi="Times New Roman"/>
          <w:sz w:val="32"/>
          <w:szCs w:val="32"/>
        </w:rPr>
        <w:t>万元，增长</w:t>
      </w:r>
      <w:r>
        <w:rPr>
          <w:rFonts w:ascii="Times New Roman" w:eastAsia="方正仿宋_GBK" w:cs="Times New Roman" w:hAnsi="Times New Roman" w:hint="eastAsia"/>
          <w:sz w:val="32"/>
          <w:szCs w:val="32"/>
        </w:rPr>
        <w:t>43.5</w:t>
      </w:r>
      <w:r>
        <w:rPr>
          <w:rFonts w:ascii="Times New Roman" w:eastAsia="方正仿宋_GBK" w:cs="Times New Roman" w:hAnsi="Times New Roman"/>
          <w:sz w:val="32"/>
          <w:szCs w:val="32"/>
        </w:rPr>
        <w:t>%，主要原因是政策性调资。</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（3）住房保障支出</w:t>
      </w:r>
      <w:r>
        <w:rPr>
          <w:rFonts w:ascii="Times New Roman" w:eastAsia="方正仿宋_GBK" w:cs="Times New Roman" w:hAnsi="Times New Roman" w:hint="eastAsia"/>
          <w:sz w:val="32"/>
          <w:szCs w:val="32"/>
        </w:rPr>
        <w:t>2.36</w:t>
      </w:r>
      <w:r>
        <w:rPr>
          <w:rFonts w:ascii="Times New Roman" w:eastAsia="方正仿宋_GBK" w:cs="Times New Roman" w:hAnsi="Times New Roman"/>
          <w:sz w:val="32"/>
          <w:szCs w:val="32"/>
        </w:rPr>
        <w:t>万元，占</w:t>
      </w:r>
      <w:r>
        <w:rPr>
          <w:rFonts w:ascii="Times New Roman" w:eastAsia="方正仿宋_GBK" w:cs="Times New Roman" w:hAnsi="Times New Roman" w:hint="eastAsia"/>
          <w:sz w:val="32"/>
          <w:szCs w:val="32"/>
        </w:rPr>
        <w:t>2.6</w:t>
      </w:r>
      <w:r>
        <w:rPr>
          <w:rFonts w:ascii="Times New Roman" w:eastAsia="方正仿宋_GBK" w:cs="Times New Roman" w:hAnsi="Times New Roman"/>
          <w:sz w:val="32"/>
          <w:szCs w:val="32"/>
        </w:rPr>
        <w:t>%，较年初预算数增加</w:t>
      </w:r>
      <w:r>
        <w:rPr>
          <w:rFonts w:ascii="Times New Roman" w:eastAsia="方正仿宋_GBK" w:cs="Times New Roman" w:hAnsi="Times New Roman" w:hint="eastAsia"/>
          <w:sz w:val="32"/>
          <w:szCs w:val="32"/>
        </w:rPr>
        <w:t>0.00</w:t>
      </w:r>
      <w:r>
        <w:rPr>
          <w:rFonts w:ascii="Times New Roman" w:eastAsia="方正仿宋_GBK" w:cs="Times New Roman" w:hAnsi="Times New Roman"/>
          <w:sz w:val="32"/>
          <w:szCs w:val="32"/>
        </w:rPr>
        <w:t>万元，增长</w:t>
      </w:r>
      <w:r>
        <w:rPr>
          <w:rFonts w:ascii="Times New Roman" w:eastAsia="方正仿宋_GBK" w:cs="Times New Roman" w:hAnsi="Times New Roman" w:hint="eastAsia"/>
          <w:sz w:val="32"/>
          <w:szCs w:val="32"/>
        </w:rPr>
        <w:t>0</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与年初预算数一致</w:t>
      </w:r>
      <w:r>
        <w:rPr>
          <w:rFonts w:ascii="Times New Roman" w:eastAsia="方正仿宋_GBK" w:cs="Times New Roman" w:hAnsi="Times New Roman"/>
          <w:sz w:val="32"/>
          <w:szCs w:val="32"/>
        </w:rPr>
        <w:t>。</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（四）一般公共预算财政拨款基本支出决算情况说明。</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年度一般公共财政拨款基本支出</w:t>
      </w:r>
      <w:r>
        <w:rPr>
          <w:rFonts w:ascii="Times New Roman" w:eastAsia="方正仿宋_GBK" w:cs="Times New Roman" w:hAnsi="Times New Roman" w:hint="eastAsia"/>
          <w:sz w:val="32"/>
          <w:szCs w:val="32"/>
        </w:rPr>
        <w:t>78.90</w:t>
      </w:r>
      <w:r>
        <w:rPr>
          <w:rFonts w:ascii="Times New Roman" w:eastAsia="方正仿宋_GBK" w:cs="Times New Roman" w:hAnsi="Times New Roman"/>
          <w:sz w:val="32"/>
          <w:szCs w:val="32"/>
        </w:rPr>
        <w:t>万元。其中：人员经费</w:t>
      </w:r>
      <w:r>
        <w:rPr>
          <w:rFonts w:ascii="Times New Roman" w:eastAsia="方正仿宋_GBK" w:cs="Times New Roman" w:hAnsi="Times New Roman" w:hint="eastAsia"/>
          <w:sz w:val="32"/>
          <w:szCs w:val="32"/>
        </w:rPr>
        <w:t>64.53</w:t>
      </w:r>
      <w:r>
        <w:rPr>
          <w:rFonts w:ascii="Times New Roman" w:eastAsia="方正仿宋_GBK" w:cs="Times New Roman" w:hAnsi="Times New Roman"/>
          <w:sz w:val="32"/>
          <w:szCs w:val="32"/>
        </w:rPr>
        <w:t>万元，较上年决算数</w:t>
      </w:r>
      <w:r>
        <w:rPr>
          <w:rFonts w:ascii="Times New Roman" w:eastAsia="方正仿宋_GBK" w:cs="Times New Roman" w:hAnsi="Times New Roman" w:hint="eastAsia"/>
          <w:sz w:val="32"/>
          <w:szCs w:val="32"/>
        </w:rPr>
        <w:t>增加24.80</w:t>
      </w:r>
      <w:r>
        <w:rPr>
          <w:rFonts w:ascii="Times New Roman" w:eastAsia="方正仿宋_GBK" w:cs="Times New Roman" w:hAnsi="Times New Roman"/>
          <w:sz w:val="32"/>
          <w:szCs w:val="32"/>
        </w:rPr>
        <w:t>万元，</w:t>
      </w:r>
      <w:r>
        <w:rPr>
          <w:rFonts w:ascii="Times New Roman" w:eastAsia="方正仿宋_GBK" w:cs="Times New Roman" w:hAnsi="Times New Roman" w:hint="eastAsia"/>
          <w:sz w:val="32"/>
          <w:szCs w:val="32"/>
        </w:rPr>
        <w:t>增加62.4</w:t>
      </w:r>
      <w:r>
        <w:rPr>
          <w:rFonts w:ascii="Times New Roman" w:eastAsia="方正仿宋_GBK" w:cs="Times New Roman" w:hAnsi="Times New Roman"/>
          <w:sz w:val="32"/>
          <w:szCs w:val="32"/>
        </w:rPr>
        <w:t>%，主要原因是上年政策性调资</w:t>
      </w:r>
      <w:r>
        <w:rPr>
          <w:rFonts w:ascii="Times New Roman" w:eastAsia="方正仿宋_GBK" w:cs="Times New Roman" w:hAnsi="Times New Roman" w:hint="eastAsia"/>
          <w:sz w:val="32"/>
          <w:szCs w:val="32"/>
        </w:rPr>
        <w:t>及人员增加</w:t>
      </w:r>
      <w:r>
        <w:rPr>
          <w:rFonts w:ascii="Times New Roman" w:eastAsia="方正仿宋_GBK" w:cs="Times New Roman" w:hAnsi="Times New Roman"/>
          <w:sz w:val="32"/>
          <w:szCs w:val="32"/>
        </w:rPr>
        <w:t>。人员经费用途主要包括基本工资、津贴补贴、奖金、社会保障缴费。公用经费</w:t>
      </w:r>
      <w:r>
        <w:rPr>
          <w:rFonts w:ascii="Times New Roman" w:eastAsia="方正仿宋_GBK" w:cs="Times New Roman" w:hAnsi="Times New Roman" w:hint="eastAsia"/>
          <w:sz w:val="32"/>
          <w:szCs w:val="32"/>
        </w:rPr>
        <w:t>14.36</w:t>
      </w:r>
      <w:r>
        <w:rPr>
          <w:rFonts w:ascii="Times New Roman" w:eastAsia="方正仿宋_GBK" w:cs="Times New Roman" w:hAnsi="Times New Roman"/>
          <w:sz w:val="32"/>
          <w:szCs w:val="32"/>
        </w:rPr>
        <w:t>万元，较上年决算数</w:t>
      </w:r>
      <w:r>
        <w:rPr>
          <w:rFonts w:ascii="Times New Roman" w:eastAsia="方正仿宋_GBK" w:cs="Times New Roman" w:hAnsi="Times New Roman" w:hint="eastAsia"/>
          <w:sz w:val="32"/>
          <w:szCs w:val="32"/>
        </w:rPr>
        <w:t>增加11.08</w:t>
      </w:r>
      <w:r>
        <w:rPr>
          <w:rFonts w:ascii="Times New Roman" w:eastAsia="方正仿宋_GBK" w:cs="Times New Roman" w:hAnsi="Times New Roman"/>
          <w:sz w:val="32"/>
          <w:szCs w:val="32"/>
        </w:rPr>
        <w:t>万元，</w:t>
      </w:r>
      <w:r>
        <w:rPr>
          <w:rFonts w:ascii="Times New Roman" w:eastAsia="方正仿宋_GBK" w:cs="Times New Roman" w:hAnsi="Times New Roman" w:hint="eastAsia"/>
          <w:sz w:val="32"/>
          <w:szCs w:val="32"/>
        </w:rPr>
        <w:t>增加337.8</w:t>
      </w:r>
      <w:r>
        <w:rPr>
          <w:rFonts w:ascii="Times New Roman" w:eastAsia="方正仿宋_GBK" w:cs="Times New Roman" w:hAnsi="Times New Roman"/>
          <w:sz w:val="32"/>
          <w:szCs w:val="32"/>
        </w:rPr>
        <w:t>%，主要原因是</w:t>
      </w:r>
      <w:r>
        <w:rPr>
          <w:rFonts w:ascii="Times New Roman" w:eastAsia="方正仿宋_GBK" w:cs="Times New Roman" w:hAnsi="Times New Roman" w:hint="eastAsia"/>
          <w:color w:val="000000"/>
          <w:sz w:val="32"/>
          <w:szCs w:val="32"/>
        </w:rPr>
        <w:t>开展红十字会相关宣传活动</w:t>
      </w:r>
      <w:r>
        <w:rPr>
          <w:rFonts w:ascii="Times New Roman" w:eastAsia="方正仿宋_GBK" w:cs="Times New Roman" w:hAnsi="Times New Roman" w:hint="eastAsia"/>
          <w:sz w:val="32"/>
          <w:szCs w:val="32"/>
        </w:rPr>
        <w:t>增加办公费、劳务费支出</w:t>
      </w:r>
      <w:r>
        <w:rPr>
          <w:rFonts w:ascii="Times New Roman" w:eastAsia="方正仿宋_GBK" w:cs="Times New Roman" w:hAnsi="Times New Roman"/>
          <w:sz w:val="32"/>
          <w:szCs w:val="32"/>
        </w:rPr>
        <w:t>。公用经费用途主要包括办公费、印刷费、咨询费、手续费、劳务费、差旅费、其他交通费用等。</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（五）政府性基金预算收支决算情况说明。</w:t>
      </w:r>
    </w:p>
    <w:p>
      <w:pPr>
        <w:spacing w:line="594"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本部门</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年度无政府性基金预算财政拨款支出，较上年决算数和年初预算数持平。</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（六）国有资本经营预算财政拨款支出决算情况说明。</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本部门</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年度无国有资本经营预算财政拨款支出，较上年决算数和年初预算数持平。</w:t>
      </w:r>
    </w:p>
    <w:p>
      <w:pPr>
        <w:spacing w:line="594" w:lineRule="exact"/>
        <w:rPr>
          <w:rFonts w:ascii="方正黑体_GBK" w:eastAsia="方正黑体_GBK" w:cs="Times New Roman"/>
          <w:sz w:val="32"/>
          <w:szCs w:val="32"/>
        </w:rPr>
      </w:pPr>
      <w:r>
        <w:rPr>
          <w:rFonts w:ascii="方正黑体_GBK" w:eastAsia="方正黑体_GBK" w:cs="Times New Roman"/>
          <w:sz w:val="32"/>
          <w:szCs w:val="32"/>
        </w:rPr>
        <w:t xml:space="preserve">    三、“三公”经费情况说明</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（一）“三公”经费支出总体情况说明。</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年度“三公”经费支出共计0.00万元，较年初预算数增加0.00万元，增长0%，主要原因是本部门</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年未发生“三公”经费。较上年支出数增加0.00万元，增长0%，与上年持平，主要原因是本部门</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年未发生“三公”经费。</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（二）“三公”经费分项支出情况。</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年度本部门因公出国（境）费用0.00万元，费用支出较年初预算数增加0.00万元，增长%，较上年支出数增加0.00万元，增长0%，与上年持平，主要原因是本部门</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年未发生因公出国（境）费用。</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公务车购置费0.00万元，费用支出较年初预算数增加0.00万元，与上年持平，主要原因是本部门</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年度未发生公务车购置费。</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公务车运行维护费0.00万元，费用支出较年初预算数增加0.00万元，与上年持平，主要原因是未发生公务车运行维护费。</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公务接待费0.00万元，费用支出较年初预算数增加0.00万元，与上年持平，主要原因是本部门</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年度未发生公务接待费。</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（三）“三公”经费实物量情况。</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年度本部门因公出国（境）共计0个团组，0人；公务用车购置0辆，公务车保有量为0辆；国内公务接待0批次0人，其中：国内外事接待0批次，0人；国（境）外公务接待0批次，0人。</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年本部门人均接待费0.00元，车均购置费0.00万元，车均维护费0.00万元。</w:t>
      </w:r>
    </w:p>
    <w:p>
      <w:pPr>
        <w:spacing w:line="594" w:lineRule="exact"/>
        <w:rPr>
          <w:rFonts w:ascii="方正黑体_GBK" w:eastAsia="方正黑体_GBK" w:cs="Times New Roman"/>
          <w:sz w:val="32"/>
          <w:szCs w:val="32"/>
        </w:rPr>
      </w:pPr>
      <w:r>
        <w:rPr>
          <w:rFonts w:ascii="方正黑体_GBK" w:eastAsia="方正黑体_GBK" w:cs="Times New Roman"/>
          <w:sz w:val="32"/>
          <w:szCs w:val="32"/>
        </w:rPr>
        <w:t xml:space="preserve">    四、其他需要说明的事项</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（一）一般公共预算财政拨款会议费和培训费情况说明。</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本年度会议费支出0.00万元，较上年决算数增加0.00万元，增长0%，主要原因是未发生会议费用。本年度培训费支出0.00万元，较上年决算数增加0.00万元，增长0%，主要原因是未发生培训费。</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（二）机关运行经费情况说明。</w:t>
      </w:r>
    </w:p>
    <w:p>
      <w:pPr>
        <w:spacing w:line="594" w:lineRule="exact"/>
        <w:ind w:firstLine="640"/>
        <w:rPr>
          <w:rFonts w:ascii="Times New Roman" w:eastAsia="方正仿宋_GBK" w:cs="Times New Roman" w:hAnsi="Times New Roman"/>
          <w:color w:val="000000"/>
          <w:sz w:val="32"/>
          <w:szCs w:val="32"/>
        </w:rPr>
      </w:pP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年度本部门机关运行经费支出</w:t>
      </w:r>
      <w:r>
        <w:rPr>
          <w:rFonts w:ascii="Times New Roman" w:eastAsia="方正仿宋_GBK" w:cs="Times New Roman" w:hAnsi="Times New Roman" w:hint="eastAsia"/>
          <w:sz w:val="32"/>
          <w:szCs w:val="32"/>
        </w:rPr>
        <w:t>14.36</w:t>
      </w:r>
      <w:r>
        <w:rPr>
          <w:rFonts w:ascii="Times New Roman" w:eastAsia="方正仿宋_GBK" w:cs="Times New Roman" w:hAnsi="Times New Roman"/>
          <w:sz w:val="32"/>
          <w:szCs w:val="32"/>
        </w:rPr>
        <w:t>万元，机关运行经费主要用于开支劳务费及其他交通费用。机关运行经费较上年决算数</w:t>
      </w:r>
      <w:r>
        <w:rPr>
          <w:rFonts w:ascii="Times New Roman" w:eastAsia="方正仿宋_GBK" w:cs="Times New Roman" w:hAnsi="Times New Roman" w:hint="eastAsia"/>
          <w:sz w:val="32"/>
          <w:szCs w:val="32"/>
        </w:rPr>
        <w:t>增加11.08</w:t>
      </w:r>
      <w:r>
        <w:rPr>
          <w:rFonts w:ascii="Times New Roman" w:eastAsia="方正仿宋_GBK" w:cs="Times New Roman" w:hAnsi="Times New Roman"/>
          <w:sz w:val="32"/>
          <w:szCs w:val="32"/>
        </w:rPr>
        <w:t>万元，</w:t>
      </w:r>
      <w:r>
        <w:rPr>
          <w:rFonts w:ascii="Times New Roman" w:eastAsia="方正仿宋_GBK" w:cs="Times New Roman" w:hAnsi="Times New Roman" w:hint="eastAsia"/>
          <w:sz w:val="32"/>
          <w:szCs w:val="32"/>
        </w:rPr>
        <w:t>增加337.8</w:t>
      </w:r>
      <w:r>
        <w:rPr>
          <w:rFonts w:ascii="Times New Roman" w:eastAsia="方正仿宋_GBK" w:cs="Times New Roman" w:hAnsi="Times New Roman"/>
          <w:sz w:val="32"/>
          <w:szCs w:val="32"/>
        </w:rPr>
        <w:t>%，主要原因是</w:t>
      </w:r>
      <w:r>
        <w:rPr>
          <w:rFonts w:ascii="Times New Roman" w:eastAsia="方正仿宋_GBK" w:cs="Times New Roman" w:hAnsi="Times New Roman" w:hint="eastAsia"/>
          <w:color w:val="000000"/>
          <w:sz w:val="32"/>
          <w:szCs w:val="32"/>
        </w:rPr>
        <w:t>开展红十字会相关宣传活动增加办公费、劳务费支出</w:t>
      </w:r>
      <w:r>
        <w:rPr>
          <w:rFonts w:ascii="Times New Roman" w:eastAsia="方正仿宋_GBK" w:cs="Times New Roman" w:hAnsi="Times New Roman"/>
          <w:color w:val="000000"/>
          <w:sz w:val="32"/>
          <w:szCs w:val="32"/>
        </w:rPr>
        <w:t>。</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（三）国有资产占用情况说明。</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截至</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12月31日，本部门共有车辆0辆，其中，副部（省）级及以上领导用车0辆、主要领导干部用车0辆、机要通信用车0辆、应急保障用车0辆、执法执勤用车0辆，特种专业技术用车0辆，离退休干部用车0辆，其他用车0辆，单价50万元（含）以上通用设备0台（套），单价100万元（含）以上专用设备0台（套）。</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（四）政府采购支出情况说明。</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本部门政府采购支出总额0.00万元，其中：政府采购货物支出0.00万元、政府采购工程支出0.00万元、政府采购服务支出0.00万元。授予中小企业合同金额0.00万元，占政府采购支出总额的%，其中：授予小微企业合同金额0.00万元，占政府采购支出总额的%。</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年度我单位未发生政府采购事项，无相关经费支出。</w:t>
      </w:r>
    </w:p>
    <w:p>
      <w:pPr>
        <w:spacing w:line="594" w:lineRule="exact"/>
        <w:rPr>
          <w:rFonts w:ascii="方正黑体_GBK" w:eastAsia="方正黑体_GBK" w:cs="Times New Roman"/>
          <w:sz w:val="32"/>
          <w:szCs w:val="32"/>
        </w:rPr>
      </w:pPr>
      <w:r>
        <w:rPr>
          <w:rFonts w:ascii="方正黑体_GBK" w:eastAsia="方正黑体_GBK" w:cs="Times New Roman"/>
          <w:sz w:val="32"/>
          <w:szCs w:val="32"/>
        </w:rPr>
        <w:t xml:space="preserve">    五、预算绩效管理情况说明</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（一）预算绩效管理工作开展情况。</w:t>
      </w:r>
    </w:p>
    <w:p>
      <w:pPr>
        <w:spacing w:line="594" w:lineRule="exact"/>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 xml:space="preserve">    根据预算绩效管理要求，本部门对1个项目开展了绩效自评，其中，以填报目标自评表形式开展自评1项，涉及资金</w:t>
      </w:r>
      <w:r>
        <w:rPr>
          <w:rFonts w:ascii="Times New Roman" w:eastAsia="方正仿宋_GBK" w:cs="Times New Roman" w:hAnsi="Times New Roman" w:hint="eastAsia"/>
          <w:color w:val="000000"/>
          <w:sz w:val="32"/>
          <w:szCs w:val="32"/>
        </w:rPr>
        <w:t>13</w:t>
      </w:r>
      <w:r>
        <w:rPr>
          <w:rFonts w:ascii="Times New Roman" w:eastAsia="方正仿宋_GBK" w:cs="Times New Roman" w:hAnsi="Times New Roman"/>
          <w:color w:val="000000"/>
          <w:sz w:val="32"/>
          <w:szCs w:val="32"/>
        </w:rPr>
        <w:t>万元，绩效管理工作达到预定的绩效目标，组织管理明确，资金到位及时、使用合法合规，财务管理和会计核算规范。</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（二）绩效自评结果。</w:t>
      </w:r>
    </w:p>
    <w:p>
      <w:pPr>
        <w:spacing w:line="594" w:lineRule="exact"/>
        <w:ind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根据年初设定的绩效目标，红十字会救护培训项目自评得分为</w:t>
      </w:r>
      <w:r>
        <w:rPr>
          <w:rFonts w:ascii="Times New Roman" w:eastAsia="方正仿宋_GBK" w:cs="Times New Roman" w:hAnsi="Times New Roman" w:hint="eastAsia"/>
          <w:sz w:val="32"/>
          <w:szCs w:val="32"/>
        </w:rPr>
        <w:t>100</w:t>
      </w:r>
      <w:r>
        <w:rPr>
          <w:rFonts w:ascii="Times New Roman" w:eastAsia="方正仿宋_GBK" w:cs="Times New Roman" w:hAnsi="Times New Roman"/>
          <w:sz w:val="32"/>
          <w:szCs w:val="32"/>
        </w:rPr>
        <w:t>分。主要产出和效果：</w:t>
      </w:r>
      <w:r>
        <w:rPr>
          <w:rFonts w:ascii="Times New Roman" w:eastAsia="方正仿宋_GBK" w:cs="Times New Roman" w:hAnsi="Times New Roman" w:hint="eastAsia"/>
          <w:sz w:val="32"/>
          <w:szCs w:val="32"/>
        </w:rPr>
        <w:t>2022</w:t>
      </w:r>
      <w:r>
        <w:rPr>
          <w:rFonts w:ascii="Times New Roman" w:eastAsia="方正仿宋_GBK" w:cs="Times New Roman" w:hAnsi="Times New Roman"/>
          <w:sz w:val="32"/>
          <w:szCs w:val="32"/>
        </w:rPr>
        <w:t>年</w:t>
      </w:r>
      <w:r>
        <w:rPr>
          <w:rFonts w:ascii="Times New Roman" w:eastAsia="方正仿宋_GBK" w:cs="Times New Roman" w:hAnsi="Times New Roman" w:hint="eastAsia"/>
          <w:sz w:val="32"/>
          <w:szCs w:val="32"/>
        </w:rPr>
        <w:t>开展创建红十字基层组织模范单位3个；培训救护员317人；应急救护“五进”培训覆盖7887人次；应急救护培训宣传覆盖10364人次；</w:t>
      </w:r>
      <w:r>
        <w:rPr>
          <w:rFonts w:ascii="Times New Roman" w:eastAsia="方正仿宋_GBK" w:cs="Times New Roman" w:hAnsi="Times New Roman"/>
          <w:sz w:val="32"/>
          <w:szCs w:val="32"/>
        </w:rPr>
        <w:t>组织开展应急无偿献血组织</w:t>
      </w:r>
      <w:r>
        <w:rPr>
          <w:rFonts w:ascii="Times New Roman" w:eastAsia="方正仿宋_GBK" w:cs="Times New Roman" w:hAnsi="Times New Roman" w:hint="eastAsia"/>
          <w:sz w:val="32"/>
          <w:szCs w:val="32"/>
        </w:rPr>
        <w:t>10226</w:t>
      </w:r>
      <w:r>
        <w:rPr>
          <w:rFonts w:ascii="Times New Roman" w:eastAsia="方正仿宋_GBK" w:cs="Times New Roman" w:hAnsi="Times New Roman"/>
          <w:sz w:val="32"/>
          <w:szCs w:val="32"/>
        </w:rPr>
        <w:t>人次；开展基层红十字工作者、志愿者培训300人次。</w:t>
      </w:r>
      <w:r>
        <w:rPr>
          <w:rFonts w:ascii="Times New Roman" w:eastAsia="方正仿宋_GBK" w:cs="Times New Roman" w:hAnsi="Times New Roman" w:hint="eastAsia"/>
          <w:sz w:val="32"/>
          <w:szCs w:val="32"/>
        </w:rPr>
        <w:t>服务对象满意度达90%以上。</w:t>
      </w:r>
      <w:r>
        <w:rPr>
          <w:rFonts w:ascii="Times New Roman" w:eastAsia="方正仿宋_GBK" w:cs="Times New Roman" w:hAnsi="Times New Roman"/>
          <w:sz w:val="32"/>
          <w:szCs w:val="32"/>
        </w:rPr>
        <w:t>发现问题及原因：活动开展中宣传资料的发放还待提高。下一步改进措施：加强宣传引导，更好的打造基层组织。本项目无政府采购，管理制度较健全，较好完成绩效目标。</w:t>
      </w:r>
    </w:p>
    <w:p>
      <w:pPr>
        <w:spacing w:line="594" w:lineRule="exact"/>
        <w:rPr>
          <w:rFonts w:ascii="方正黑体_GBK" w:eastAsia="方正黑体_GBK" w:cs="Times New Roman"/>
          <w:sz w:val="32"/>
          <w:szCs w:val="32"/>
        </w:rPr>
      </w:pPr>
      <w:r>
        <w:rPr>
          <w:rFonts w:ascii="方正黑体_GBK" w:eastAsia="方正黑体_GBK" w:cs="Times New Roman"/>
          <w:sz w:val="32"/>
          <w:szCs w:val="32"/>
        </w:rPr>
        <w:t xml:space="preserve">    六、专业名词解释</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（一）财政拨款收入：指本年度从本级财政部门取得的财政拨款，包括一般公共预算财政拨款和政府性基金预算财政拨款。</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（二）事业收入：指事业单位开展专业业务活动及其辅助活动取得的现金流入；事业单位收到的财政专户实际核拨的教育收费等资金在此反映。</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（三）经营收入：指事业单位在专业业务活动及其辅助活动之外开展非独立核算经营活动取得的现金流入。</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（五）使用非财政拨款结余：指单位在当年的“财政拨款收入”、“事业收入”、“经营收入”、“其他收入”等不足以安排当年支出的情况下，使用以前年度积累的非财政拨款结余弥补本年度收支缺口的资金。</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（六）年初结转和结余：指单位上年结转本年使用的基本支出结转、项目支出结转和结余、经营结余。</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（七）结余分配：指单位按照国家有关规定，缴纳所得税、提取专用基金、转入非财政拨款结余等当年结余的分配情况。</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（八）年末结转和结余：指单位结转下年的基本支出结转、项目支出结转和结余、经营结余。</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（十）项目支出：指在基本支出之外为完成特定行政任务和事业发展目标所发生的支出。</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（十一）经营支出：指事业单位在专业业务活动及其辅助活动之外开展非独立核算经营活动发生的支出。</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（十四）工资福利支出（支出经济分类科目类级）：反映单位开支的在职职工和编制外长期聘用人员的各类劳动报酬，以及为上述人员缴纳的各项社会保险费等。</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（十五）商品和服务支出（支出经济分类科目类级）：反映单位购买商品和服务的支出（不包括用于购置固定资产的支出、战略性和应急储备支出）。</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（十六）对个人和家庭的补助（支出经济分类科目类级）：反映用于对个人和家庭的补助支出。</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spacing w:line="594" w:lineRule="exact"/>
        <w:rPr>
          <w:rFonts w:ascii="方正黑体_GBK" w:eastAsia="方正黑体_GBK" w:cs="Times New Roman"/>
          <w:sz w:val="32"/>
          <w:szCs w:val="32"/>
        </w:rPr>
      </w:pPr>
      <w:r>
        <w:rPr>
          <w:rFonts w:ascii="方正黑体_GBK" w:eastAsia="方正黑体_GBK" w:cs="Times New Roman"/>
          <w:sz w:val="32"/>
          <w:szCs w:val="32"/>
        </w:rPr>
        <w:t xml:space="preserve">    七、决算公开联系方式及信息反馈渠道</w:t>
      </w:r>
    </w:p>
    <w:p>
      <w:pPr>
        <w:spacing w:line="594" w:lineRule="exact"/>
        <w:rPr>
          <w:rFonts w:hint="eastAsia"/>
        </w:rPr>
      </w:pPr>
      <w:r>
        <w:rPr>
          <w:rFonts w:ascii="Times New Roman" w:eastAsia="方正仿宋_GBK" w:cs="Times New Roman" w:hAnsi="Times New Roman"/>
          <w:sz w:val="32"/>
          <w:szCs w:val="32"/>
        </w:rPr>
        <w:t xml:space="preserve">    本单位决算公开信息反馈和联系方式：023-63765373</w:t>
      </w:r>
      <w:r>
        <w:rPr>
          <w:rFonts w:ascii="Times New Roman" w:eastAsia="方正仿宋_GBK" w:cs="Times New Roman" w:hAnsi="Times New Roman" w:hint="eastAsia"/>
          <w:sz w:val="32"/>
          <w:szCs w:val="32"/>
        </w:rPr>
        <w:t>。</w:t>
      </w:r>
    </w:p>
    <w:sectPr>
      <w:pgSz w:w="11906" w:h="16838"/>
      <w:pgMar w:top="1985" w:right="1446" w:bottom="1644" w:left="1446"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0000000000000000000"/>
    <w:charset w:val="86"/>
    <w:family w:val="script"/>
    <w:pitch w:val="variable"/>
    <w:sig w:usb0="00000001" w:usb1="080E0000" w:usb2="00000010" w:usb3="00000000" w:csb0="00040000" w:csb1="00000000"/>
  </w:font>
  <w:font w:name="Times New Roman">
    <w:altName w:val="DejaVu Sans"/>
    <w:panose1 w:val="02020603050405020304"/>
    <w:charset w:val="00"/>
    <w:family w:val="roman"/>
    <w:pitch w:val="variable"/>
    <w:sig w:usb0="E0002AFF" w:usb1="C0007841" w:usb2="00000009" w:usb3="00000000" w:csb0="000001FF" w:csb1="00000000"/>
  </w:font>
  <w:font w:name="方正仿宋_GBK">
    <w:altName w:val="永中宋体"/>
    <w:panose1 w:val="00000000000000000000"/>
    <w:charset w:val="86"/>
    <w:family w:val="script"/>
    <w:pitch w:val="variable"/>
    <w:sig w:usb0="00000001" w:usb1="080E0000" w:usb2="00000010" w:usb3="00000000" w:csb0="00040000" w:csb1="00000000"/>
  </w:font>
  <w:font w:name="方正黑体_GBK">
    <w:altName w:val="永中宋体"/>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等线">
    <w:altName w:val="永中宋体"/>
    <w:panose1 w:val="02010600030101010101"/>
    <w:charset w:val="86"/>
    <w:family w:val="auto"/>
    <w:pitch w:val="variable"/>
    <w:sig w:usb0="A00002BF" w:usb1="38CF7CFA" w:usb2="00000016" w:usb3="00000000" w:csb0="0004000F" w:csb1="00000000"/>
  </w:font>
  <w:font w:name="Arial">
    <w:altName w:val="DejaVu Sans"/>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compatSetting w:name="compatibilityMode" w:uri="http://schemas.microsoft.com/office/word" w:val="14"/>
  </w:compat>
  <w:docVars>
    <w:docVar w:name="commondata" w:val="eyJoZGlkIjoiZDgxZTIxNDY5ZTFmZDI3MjdmY2U4ZmNhMjkyMTg4MDk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2"/>
      <w:lang w:val="en-US" w:eastAsia="zh-CN" w:bidi="ar-SA"/>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15</TotalTime>
  <Application>Yozo_Office</Application>
  <Pages>10</Pages>
  <Words>4638</Words>
  <Characters>5057</Characters>
  <Lines>211</Lines>
  <Paragraphs>75</Paragraphs>
  <CharactersWithSpaces>5333</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HP</dc:creator>
  <cp:lastModifiedBy>xg</cp:lastModifiedBy>
  <cp:revision>6</cp:revision>
  <dcterms:created xsi:type="dcterms:W3CDTF">2022-11-17T09:43:00Z</dcterms:created>
  <dcterms:modified xsi:type="dcterms:W3CDTF">2023-10-27T06:18:07Z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2052-12.1.0.15712</vt:lpwstr>
  </property>
  <property fmtid="{D5CDD505-2E9C-101B-9397-08002B2CF9AE}" pid="3" name="ICV">
    <vt:lpwstr>A42B129F53674593BA989510BF7590B2</vt:lpwstr>
  </property>
</Properties>
</file>