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keepNext w:val="0"/>
        <w:keepLines w:val="0"/>
        <w:pageBreakBefore w:val="0"/>
        <w:widowControl/>
        <w:kinsoku/>
        <w:wordWrap/>
        <w:overflowPunct/>
        <w:topLinePunct w:val="0"/>
        <w:autoSpaceDN/>
        <w:bidi w:val="0"/>
        <w:adjustRightInd/>
        <w:spacing w:before="0" w:beforeAutospacing="0" w:after="0" w:afterAutospacing="0" w:line="594" w:lineRule="exact"/>
        <w:ind w:left="0" w:right="0"/>
        <w:jc w:val="center"/>
        <w:textAlignment w:val="auto"/>
        <w:rPr>
          <w:rFonts w:ascii="方正小标宋_GBK" w:eastAsia="方正小标宋_GBK" w:cs="方正小标宋_GBK" w:hint="eastAsia"/>
          <w:sz w:val="44"/>
          <w:szCs w:val="44"/>
        </w:rPr>
      </w:pPr>
      <w:r>
        <w:rPr>
          <w:rFonts w:ascii="方正小标宋_GBK" w:eastAsia="方正小标宋_GBK" w:cs="方正小标宋_GBK" w:hint="eastAsia"/>
          <w:sz w:val="44"/>
          <w:szCs w:val="44"/>
        </w:rPr>
        <w:t>重庆市渝中区卫生健康委员会</w:t>
      </w:r>
    </w:p>
    <w:p>
      <w:pPr>
        <w:pStyle w:val="19"/>
        <w:keepNext w:val="0"/>
        <w:keepLines w:val="0"/>
        <w:pageBreakBefore w:val="0"/>
        <w:widowControl/>
        <w:kinsoku/>
        <w:wordWrap/>
        <w:overflowPunct/>
        <w:topLinePunct w:val="0"/>
        <w:autoSpaceDN/>
        <w:bidi w:val="0"/>
        <w:adjustRightInd/>
        <w:spacing w:before="0" w:beforeAutospacing="0" w:after="0" w:afterAutospacing="0" w:line="594" w:lineRule="exact"/>
        <w:ind w:left="0" w:right="0"/>
        <w:jc w:val="center"/>
        <w:textAlignment w:val="auto"/>
        <w:rPr>
          <w:rFonts w:ascii="方正小标宋_GBK" w:eastAsia="方正小标宋_GBK" w:cs="方正小标宋_GBK" w:hint="eastAsia"/>
          <w:sz w:val="44"/>
          <w:szCs w:val="44"/>
          <w:shd w:val="clear" w:color="auto" w:fill="FFFFFF"/>
        </w:rPr>
      </w:pPr>
      <w:r>
        <w:rPr>
          <w:rFonts w:ascii="方正小标宋_GBK" w:eastAsia="方正小标宋_GBK" w:cs="方正小标宋_GBK" w:hint="eastAsia"/>
          <w:sz w:val="44"/>
          <w:szCs w:val="44"/>
          <w:shd w:val="clear" w:color="auto" w:fill="FFFFFF"/>
        </w:rPr>
        <w:t>2024年度决算公开说明</w:t>
      </w:r>
    </w:p>
    <w:p>
      <w:pPr>
        <w:pStyle w:val="19"/>
        <w:keepNext w:val="0"/>
        <w:keepLines w:val="0"/>
        <w:pageBreakBefore w:val="0"/>
        <w:widowControl/>
        <w:kinsoku/>
        <w:wordWrap/>
        <w:overflowPunct/>
        <w:topLinePunct w:val="0"/>
        <w:autoSpaceDN/>
        <w:bidi w:val="0"/>
        <w:adjustRightInd/>
        <w:spacing w:before="0" w:beforeAutospacing="0" w:after="0" w:afterAutospacing="0" w:line="594" w:lineRule="exact"/>
        <w:ind w:left="0" w:right="0"/>
        <w:jc w:val="both"/>
        <w:textAlignment w:val="auto"/>
        <w:rPr>
          <w:rFonts w:ascii="Times New Roman" w:eastAsia="方正小标宋_GBK" w:cs="Times New Roman" w:hAnsi="Times New Roman"/>
          <w:sz w:val="32"/>
          <w:szCs w:val="32"/>
          <w:shd w:val="clear" w:color="auto" w:fill="FFFFFF"/>
        </w:rPr>
      </w:pP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right="0" w:firstLineChars="200" w:firstLine="640"/>
        <w:textAlignment w:val="auto"/>
        <w:rPr>
          <w:rStyle w:val="20"/>
          <w:rFonts w:ascii="Times New Roman" w:eastAsia="方正黑体_GBK" w:cs="Times New Roman" w:hAnsi="Times New Roman"/>
          <w:sz w:val="32"/>
          <w:szCs w:val="32"/>
          <w:shd w:val="clear" w:color="auto" w:fill="FFFFFF"/>
        </w:rPr>
      </w:pPr>
      <w:r>
        <w:rPr>
          <w:rStyle w:val="20"/>
          <w:rFonts w:ascii="Times New Roman" w:eastAsia="方正黑体_GBK" w:cs="Times New Roman" w:hAnsi="Times New Roman"/>
          <w:sz w:val="32"/>
          <w:szCs w:val="32"/>
          <w:shd w:val="clear" w:color="auto" w:fill="FFFFFF"/>
        </w:rPr>
        <w:t>一、部门基本情况</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right="0" w:firstLineChars="200" w:firstLine="640"/>
        <w:textAlignment w:val="auto"/>
        <w:rPr>
          <w:rFonts w:ascii="Times New Roman" w:eastAsia="方正楷体_GBK" w:cs="Times New Roman" w:hAnsi="Times New Roman"/>
          <w:sz w:val="32"/>
          <w:szCs w:val="32"/>
        </w:rPr>
      </w:pPr>
      <w:r>
        <w:rPr>
          <w:rStyle w:val="20"/>
          <w:rFonts w:ascii="Times New Roman" w:eastAsia="方正楷体_GBK" w:cs="Times New Roman" w:hAnsi="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pacing w:line="594" w:lineRule="exact"/>
        <w:ind w:left="0" w:right="0" w:firstLine="601"/>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重庆市渝中区卫生健康委员会为区政府工作部门，主要职责是：1、贯彻执行国民健康和卫生健康事业发展的法规、规章、政策、标准。2、协调推进全区深化医药卫生体制改革，研究提出深化医药卫生体制改革重大政策、措施的建议。3、制定并组织落实全区疾病预防控制规划、免疫规划以及严重危害人民健康公共卫生问题的干预措施，根据国家检疫传染病和监测传染病目录开展相关工作。4、组织拟订并协调落实应对人口老龄化改革措施，负责推进全区老年健康服务体系建设和医养结合工作。5、落实国家药物政策和国家基本药物制度。6、负责职责范围内的职业卫生、放射卫生、环境卫生、学校卫生、公共场所卫生、饮用水卫生等公共卫生监督管理，负责传染病防治监督、卫生健康机构安全监督管理。7、组织实施医疗机构、医疗服务行业管理办法，建立医疗机构的医疗服务评价和监督体系。8、负责计划生育管理和服务工作，开展人口监测预警，研究提出人口与家庭发展相关政策建议，落实计划生育政策。9、负责机关、所属单位和行业社会组织党建工作。10、负责区级保健对象和高层次人才的医疗保健工作。11、拟定中医药中长期发展规划，并纳入全区卫生健康事业发展总体规划和战略目标。12、负责动物疫病防控和疫情管理工作。13、承担重庆市渝中区深化医药卫生体制改革领导小组、重庆市渝中区干部保健委员会、重庆市渝中区老龄工作委员会、重庆市渝中区防治艾滋病工作委员会、重庆市渝中区爱国卫生运动委员会的日常工作。14、负责行业安全生产监管工作。15、受区委委托，管理重庆市渝中区红十字会机关党务、人事、群团工作，代管重庆市渝中区计划生育协会机关。16、完成区委、区政府交办的其他任务。17、职能转变。区卫生健康委应当牢固树立大卫生、大健康理念，推动实施健康中国战略渝中实践，以改革创新为动力，以促健康、转模式、强基层、重保障为着力点，把治病为中心转变到以人民健康为中心，为人民群众提供全方位全周期健康服务。</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right="0" w:firstLine="420"/>
        <w:textAlignment w:val="auto"/>
        <w:rPr>
          <w:rFonts w:ascii="Times New Roman" w:eastAsia="方正楷体_GBK" w:cs="Times New Roman" w:hAnsi="Times New Roman"/>
          <w:sz w:val="32"/>
          <w:szCs w:val="32"/>
        </w:rPr>
      </w:pPr>
      <w:r>
        <w:rPr>
          <w:rStyle w:val="20"/>
          <w:rFonts w:ascii="Times New Roman" w:eastAsia="方正楷体_GBK" w:cs="Times New Roman" w:hAnsi="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pacing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部门内设11个职能科室，14个直属事业单位、2个群团组织。</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right="0" w:firstLineChars="200" w:firstLine="640"/>
        <w:textAlignment w:val="auto"/>
        <w:rPr>
          <w:rStyle w:val="20"/>
          <w:rFonts w:ascii="Times New Roman" w:eastAsia="方正黑体_GBK" w:cs="Times New Roman" w:hAnsi="Times New Roman"/>
          <w:sz w:val="32"/>
          <w:szCs w:val="32"/>
          <w:shd w:val="clear" w:color="auto" w:fill="FFFFFF"/>
        </w:rPr>
      </w:pPr>
      <w:r>
        <w:rPr>
          <w:rStyle w:val="20"/>
          <w:rFonts w:ascii="Times New Roman" w:eastAsia="方正黑体_GBK" w:cs="Times New Roman" w:hAnsi="Times New Roman"/>
          <w:sz w:val="32"/>
          <w:szCs w:val="32"/>
          <w:shd w:val="clear" w:color="auto" w:fill="FFFFFF"/>
        </w:rPr>
        <w:t>二、部门决算收支情况说明</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（一）收入支出决算总体情况说明</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仿宋_GBK" w:cs="Times New Roman" w:hAnsi="Times New Roman"/>
          <w:sz w:val="32"/>
          <w:szCs w:val="32"/>
          <w:shd w:val="clear" w:color="auto" w:fill="FFFFFF"/>
        </w:rPr>
        <w:t>1.总体情况。</w:t>
      </w:r>
      <w:r>
        <w:rPr>
          <w:rFonts w:ascii="Times New Roman" w:eastAsia="方正仿宋_GBK" w:cs="Times New Roman" w:hAnsi="Times New Roman"/>
          <w:sz w:val="32"/>
          <w:szCs w:val="32"/>
          <w:shd w:val="clear" w:color="auto" w:fill="FFFFFF"/>
        </w:rPr>
        <w:t>2024年度收入总计116359.89万元，支出总计</w:t>
      </w:r>
      <w:r>
        <w:rPr>
          <w:rFonts w:ascii="Times New Roman" w:eastAsia="方正仿宋_GBK" w:cs="Times New Roman" w:hAnsi="Times New Roman"/>
          <w:sz w:val="32"/>
          <w:szCs w:val="32"/>
        </w:rPr>
        <w:t>116359.89</w:t>
      </w:r>
      <w:r>
        <w:rPr>
          <w:rFonts w:ascii="Times New Roman" w:eastAsia="方正仿宋_GBK" w:cs="Times New Roman" w:hAnsi="Times New Roman"/>
          <w:sz w:val="32"/>
          <w:szCs w:val="32"/>
          <w:shd w:val="clear" w:color="auto" w:fill="FFFFFF"/>
        </w:rPr>
        <w:t>万元。收、支与2023年度相比，减少20721.33万元，下降15.1%，主要原因是2024年无专项债资金预算安排减少和部门项目整体压减支出。</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Style w:val="20"/>
          <w:rFonts w:ascii="Times New Roman" w:eastAsia="方正仿宋_GBK" w:cs="Times New Roman" w:hAnsi="Times New Roman"/>
          <w:sz w:val="32"/>
          <w:szCs w:val="32"/>
          <w:shd w:val="clear" w:color="auto" w:fill="FFFFFF"/>
        </w:rPr>
        <w:t>2.收入情况。</w:t>
      </w:r>
      <w:r>
        <w:rPr>
          <w:rFonts w:ascii="Times New Roman" w:eastAsia="方正仿宋_GBK" w:cs="Times New Roman" w:hAnsi="Times New Roman"/>
          <w:sz w:val="32"/>
          <w:szCs w:val="32"/>
          <w:shd w:val="clear" w:color="auto" w:fill="FFFFFF"/>
        </w:rPr>
        <w:t>2024年度收入合计112089.25万元，较上年决算数下降19175.46万元，下降14.6%，主要原因是2024年专项债资金预算安排减少和部门项目整体压减支出。其中：财政拨款收入</w:t>
      </w:r>
      <w:r>
        <w:rPr>
          <w:rFonts w:ascii="Times New Roman" w:eastAsia="方正仿宋_GBK" w:cs="Times New Roman" w:hAnsi="Times New Roman"/>
          <w:sz w:val="32"/>
          <w:szCs w:val="32"/>
        </w:rPr>
        <w:t>43049.87</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38.41</w:t>
      </w:r>
      <w:r>
        <w:rPr>
          <w:rFonts w:ascii="Times New Roman" w:eastAsia="方正仿宋_GBK" w:cs="Times New Roman" w:hAnsi="Times New Roman"/>
          <w:sz w:val="32"/>
          <w:szCs w:val="32"/>
          <w:shd w:val="clear" w:color="auto" w:fill="FFFFFF"/>
        </w:rPr>
        <w:t>%；事业收入</w:t>
      </w:r>
      <w:r>
        <w:rPr>
          <w:rFonts w:ascii="Times New Roman" w:eastAsia="方正仿宋_GBK" w:cs="Times New Roman" w:hAnsi="Times New Roman"/>
          <w:sz w:val="32"/>
          <w:szCs w:val="32"/>
        </w:rPr>
        <w:t>63767.71</w:t>
      </w:r>
      <w:r>
        <w:rPr>
          <w:rFonts w:ascii="Times New Roman" w:eastAsia="方正仿宋_GBK" w:cs="Times New Roman" w:hAnsi="Times New Roman"/>
          <w:sz w:val="32"/>
          <w:szCs w:val="32"/>
          <w:shd w:val="clear" w:color="auto" w:fill="FFFFFF"/>
        </w:rPr>
        <w:t>万元，占56.89%；经营收入</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万元，占0.00%；其他收入</w:t>
      </w:r>
      <w:r>
        <w:rPr>
          <w:rFonts w:ascii="Times New Roman" w:eastAsia="方正仿宋_GBK" w:cs="Times New Roman" w:hAnsi="Times New Roman"/>
          <w:sz w:val="32"/>
          <w:szCs w:val="32"/>
        </w:rPr>
        <w:t>5271.67</w:t>
      </w:r>
      <w:r>
        <w:rPr>
          <w:rFonts w:ascii="Times New Roman" w:eastAsia="方正仿宋_GBK" w:cs="Times New Roman" w:hAnsi="Times New Roman"/>
          <w:sz w:val="32"/>
          <w:szCs w:val="32"/>
          <w:shd w:val="clear" w:color="auto" w:fill="FFFFFF"/>
        </w:rPr>
        <w:t>万元，占4.70%。此外，使用非财政拨款结余和专用结余</w:t>
      </w:r>
      <w:r>
        <w:rPr>
          <w:rFonts w:ascii="Times New Roman" w:eastAsia="方正仿宋_GBK" w:cs="Times New Roman" w:hAnsi="Times New Roman"/>
          <w:sz w:val="32"/>
          <w:szCs w:val="32"/>
        </w:rPr>
        <w:t>2650.65</w:t>
      </w:r>
      <w:r>
        <w:rPr>
          <w:rFonts w:ascii="Times New Roman" w:eastAsia="方正仿宋_GBK" w:cs="Times New Roman" w:hAnsi="Times New Roman"/>
          <w:sz w:val="32"/>
          <w:szCs w:val="32"/>
          <w:shd w:val="clear" w:color="auto" w:fill="FFFFFF"/>
        </w:rPr>
        <w:t>万元，年初结转和结余</w:t>
      </w:r>
      <w:r>
        <w:rPr>
          <w:rFonts w:ascii="Times New Roman" w:eastAsia="方正仿宋_GBK" w:cs="Times New Roman" w:hAnsi="Times New Roman"/>
          <w:sz w:val="32"/>
          <w:szCs w:val="32"/>
        </w:rPr>
        <w:t>1619.99</w:t>
      </w:r>
      <w:r>
        <w:rPr>
          <w:rFonts w:ascii="Times New Roman" w:eastAsia="方正仿宋_GBK" w:cs="Times New Roman" w:hAnsi="Times New Roman"/>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Style w:val="20"/>
          <w:rFonts w:ascii="Times New Roman" w:eastAsia="方正仿宋_GBK" w:cs="Times New Roman" w:hAnsi="Times New Roman"/>
          <w:sz w:val="32"/>
          <w:szCs w:val="32"/>
          <w:shd w:val="clear" w:color="auto" w:fill="FFFFFF"/>
        </w:rPr>
        <w:t>3.支出情况。</w:t>
      </w:r>
      <w:r>
        <w:rPr>
          <w:rFonts w:ascii="Times New Roman" w:eastAsia="方正仿宋_GBK" w:cs="Times New Roman" w:hAnsi="Times New Roman"/>
          <w:sz w:val="32"/>
          <w:szCs w:val="32"/>
          <w:shd w:val="clear" w:color="auto" w:fill="FFFFFF"/>
        </w:rPr>
        <w:t>2024年度支出合计</w:t>
      </w:r>
      <w:r>
        <w:rPr>
          <w:rFonts w:ascii="Times New Roman" w:eastAsia="方正仿宋_GBK" w:cs="Times New Roman" w:hAnsi="Times New Roman"/>
          <w:sz w:val="32"/>
          <w:szCs w:val="32"/>
        </w:rPr>
        <w:t>113538.00</w:t>
      </w:r>
      <w:r>
        <w:rPr>
          <w:rFonts w:ascii="Times New Roman" w:eastAsia="方正仿宋_GBK" w:cs="Times New Roman" w:hAnsi="Times New Roman"/>
          <w:sz w:val="32"/>
          <w:szCs w:val="32"/>
          <w:shd w:val="clear" w:color="auto" w:fill="FFFFFF"/>
        </w:rPr>
        <w:t>万元，与2023年度相比，减少16994.05万元，下降13.0%，主要原因是2024年专项债资金预算安排减少和部门项目整体压减支出。其中：基本支出</w:t>
      </w:r>
      <w:r>
        <w:rPr>
          <w:rFonts w:ascii="Times New Roman" w:eastAsia="方正仿宋_GBK" w:cs="Times New Roman" w:hAnsi="Times New Roman"/>
          <w:sz w:val="32"/>
          <w:szCs w:val="32"/>
        </w:rPr>
        <w:t>67003.04</w:t>
      </w:r>
      <w:r>
        <w:rPr>
          <w:rFonts w:ascii="Times New Roman" w:eastAsia="方正仿宋_GBK" w:cs="Times New Roman" w:hAnsi="Times New Roman"/>
          <w:sz w:val="32"/>
          <w:szCs w:val="32"/>
          <w:shd w:val="clear" w:color="auto" w:fill="FFFFFF"/>
        </w:rPr>
        <w:t>万元，占59.01%；项目支出</w:t>
      </w:r>
      <w:r>
        <w:rPr>
          <w:rFonts w:ascii="Times New Roman" w:eastAsia="方正仿宋_GBK" w:cs="Times New Roman" w:hAnsi="Times New Roman"/>
          <w:sz w:val="32"/>
          <w:szCs w:val="32"/>
        </w:rPr>
        <w:t>46534.96</w:t>
      </w:r>
      <w:r>
        <w:rPr>
          <w:rFonts w:ascii="Times New Roman" w:eastAsia="方正仿宋_GBK" w:cs="Times New Roman" w:hAnsi="Times New Roman"/>
          <w:sz w:val="32"/>
          <w:szCs w:val="32"/>
          <w:shd w:val="clear" w:color="auto" w:fill="FFFFFF"/>
        </w:rPr>
        <w:t>万元，占40.99%；经营支出</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万元，占0.00%。此外，结余分配</w:t>
      </w:r>
      <w:r>
        <w:rPr>
          <w:rFonts w:ascii="Times New Roman" w:eastAsia="方正仿宋_GBK" w:cs="Times New Roman" w:hAnsi="Times New Roman"/>
          <w:sz w:val="32"/>
          <w:szCs w:val="32"/>
        </w:rPr>
        <w:t>2345.30</w:t>
      </w:r>
      <w:r>
        <w:rPr>
          <w:rFonts w:ascii="Times New Roman" w:eastAsia="方正仿宋_GBK" w:cs="Times New Roman" w:hAnsi="Times New Roman"/>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Style w:val="20"/>
          <w:rFonts w:ascii="Times New Roman" w:eastAsia="方正仿宋_GBK" w:cs="Times New Roman" w:hAnsi="Times New Roman"/>
          <w:sz w:val="32"/>
          <w:szCs w:val="32"/>
          <w:shd w:val="clear" w:color="auto" w:fill="FFFFFF"/>
        </w:rPr>
        <w:t>4.结转结余情况。</w:t>
      </w:r>
      <w:r>
        <w:rPr>
          <w:rFonts w:ascii="Times New Roman" w:eastAsia="方正仿宋_GBK" w:cs="Times New Roman" w:hAnsi="Times New Roman"/>
          <w:sz w:val="32"/>
          <w:szCs w:val="32"/>
          <w:shd w:val="clear" w:color="auto" w:fill="FFFFFF"/>
        </w:rPr>
        <w:t>2024年度年末结转和结余</w:t>
      </w:r>
      <w:r>
        <w:rPr>
          <w:rFonts w:ascii="Times New Roman" w:eastAsia="方正仿宋_GBK" w:cs="Times New Roman" w:hAnsi="Times New Roman"/>
          <w:sz w:val="32"/>
          <w:szCs w:val="32"/>
        </w:rPr>
        <w:t>476.59</w:t>
      </w:r>
      <w:r>
        <w:rPr>
          <w:rFonts w:ascii="Times New Roman" w:eastAsia="方正仿宋_GBK" w:cs="Times New Roman" w:hAnsi="Times New Roman"/>
          <w:sz w:val="32"/>
          <w:szCs w:val="32"/>
          <w:shd w:val="clear" w:color="auto" w:fill="FFFFFF"/>
        </w:rPr>
        <w:t>万元，与2023年度相比，减少1118.74万元，下降70.1%，主要原因是2024年委属单位基本支出结余190.37万元、项目支出结余286.22万元。</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（二）财政拨款收入支出决算总体情况说明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2024年度财政拨款收、支总计44577.76万元。与2023年相比，减少23105.44万元，下降34.1%。主要原因是2024年专项债资金预算安排</w:t>
      </w:r>
      <w:r>
        <w:rPr>
          <w:rFonts w:ascii="Times New Roman" w:eastAsia="方正仿宋_GBK" w:cs="Times New Roman" w:hAnsi="Times New Roman"/>
          <w:sz w:val="32"/>
          <w:szCs w:val="32"/>
          <w:shd w:val="clear" w:color="auto" w:fill="FFFFFF"/>
          <w:lang w:eastAsia="zh-CN"/>
        </w:rPr>
        <w:t>减少</w:t>
      </w:r>
      <w:r>
        <w:rPr>
          <w:rFonts w:ascii="Times New Roman" w:eastAsia="方正仿宋_GBK" w:cs="Times New Roman" w:hAnsi="Times New Roman"/>
          <w:sz w:val="32"/>
          <w:szCs w:val="32"/>
          <w:shd w:val="clear" w:color="auto" w:fill="FFFFFF"/>
        </w:rPr>
        <w:t>。</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（三）一般公共预算财政拨款收入支出决算情况说明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Style w:val="20"/>
          <w:rFonts w:ascii="Times New Roman" w:eastAsia="方正仿宋_GBK" w:cs="Times New Roman" w:hAnsi="Times New Roman"/>
          <w:sz w:val="32"/>
          <w:szCs w:val="32"/>
          <w:shd w:val="clear" w:color="auto" w:fill="FFFFFF"/>
        </w:rPr>
        <w:t>1.收入情况。</w:t>
      </w:r>
      <w:r>
        <w:rPr>
          <w:rFonts w:ascii="Times New Roman" w:eastAsia="方正仿宋_GBK" w:cs="Times New Roman" w:hAnsi="Times New Roman"/>
          <w:sz w:val="32"/>
          <w:szCs w:val="32"/>
          <w:shd w:val="clear" w:color="auto" w:fill="FFFFFF"/>
        </w:rPr>
        <w:t>2024年度一般公共预算财政拨款收入</w:t>
      </w:r>
      <w:r>
        <w:rPr>
          <w:rFonts w:ascii="Times New Roman" w:eastAsia="方正仿宋_GBK" w:cs="Times New Roman" w:hAnsi="Times New Roman"/>
          <w:sz w:val="32"/>
          <w:szCs w:val="32"/>
        </w:rPr>
        <w:t>27288.34</w:t>
      </w:r>
      <w:r>
        <w:rPr>
          <w:rFonts w:ascii="Times New Roman" w:eastAsia="方正仿宋_GBK" w:cs="Times New Roman" w:hAnsi="Times New Roman"/>
          <w:sz w:val="32"/>
          <w:szCs w:val="32"/>
          <w:shd w:val="clear" w:color="auto" w:fill="FFFFFF"/>
        </w:rPr>
        <w:t>万元，与2023年度相比，减少14382.15万元，下降34.5%。主要原因是2024年专项债资金预算安排</w:t>
      </w:r>
      <w:r>
        <w:rPr>
          <w:rFonts w:ascii="Times New Roman" w:eastAsia="方正仿宋_GBK" w:cs="Times New Roman" w:hAnsi="Times New Roman"/>
          <w:sz w:val="32"/>
          <w:szCs w:val="32"/>
          <w:shd w:val="clear" w:color="auto" w:fill="FFFFFF"/>
          <w:lang w:eastAsia="zh-CN"/>
        </w:rPr>
        <w:t>减少</w:t>
      </w:r>
      <w:r>
        <w:rPr>
          <w:rFonts w:ascii="Times New Roman" w:eastAsia="方正仿宋_GBK" w:cs="Times New Roman" w:hAnsi="Times New Roman"/>
          <w:sz w:val="32"/>
          <w:szCs w:val="32"/>
          <w:shd w:val="clear" w:color="auto" w:fill="FFFFFF"/>
        </w:rPr>
        <w:t>。较年初预算数增加773.57万元，增长2.9%。主要原因是年中追加人员经费，此外，年初财政拨款结转和结余</w:t>
      </w:r>
      <w:r>
        <w:rPr>
          <w:rFonts w:ascii="Times New Roman" w:eastAsia="方正仿宋_GBK" w:cs="Times New Roman" w:hAnsi="Times New Roman"/>
          <w:sz w:val="32"/>
          <w:szCs w:val="32"/>
        </w:rPr>
        <w:t>1527.89</w:t>
      </w:r>
      <w:r>
        <w:rPr>
          <w:rFonts w:ascii="Times New Roman" w:eastAsia="方正仿宋_GBK" w:cs="Times New Roman" w:hAnsi="Times New Roman"/>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Style w:val="20"/>
          <w:rFonts w:ascii="Times New Roman" w:eastAsia="方正仿宋_GBK" w:cs="Times New Roman" w:hAnsi="Times New Roman"/>
          <w:sz w:val="32"/>
          <w:szCs w:val="32"/>
          <w:shd w:val="clear" w:color="auto" w:fill="FFFFFF"/>
        </w:rPr>
        <w:t>2.支出情况。</w:t>
      </w:r>
      <w:r>
        <w:rPr>
          <w:rFonts w:ascii="Times New Roman" w:eastAsia="方正仿宋_GBK" w:cs="Times New Roman" w:hAnsi="Times New Roman"/>
          <w:sz w:val="32"/>
          <w:szCs w:val="32"/>
          <w:shd w:val="clear" w:color="auto" w:fill="FFFFFF"/>
        </w:rPr>
        <w:t>2024年度一般公共预算财政拨款支出</w:t>
      </w:r>
      <w:r>
        <w:rPr>
          <w:rFonts w:ascii="Times New Roman" w:eastAsia="方正仿宋_GBK" w:cs="Times New Roman" w:hAnsi="Times New Roman"/>
          <w:sz w:val="32"/>
          <w:szCs w:val="32"/>
        </w:rPr>
        <w:t>28474.15</w:t>
      </w:r>
      <w:r>
        <w:rPr>
          <w:rFonts w:ascii="Times New Roman" w:eastAsia="方正仿宋_GBK" w:cs="Times New Roman" w:hAnsi="Times New Roman"/>
          <w:sz w:val="32"/>
          <w:szCs w:val="32"/>
          <w:shd w:val="clear" w:color="auto" w:fill="FFFFFF"/>
        </w:rPr>
        <w:t>万元，与2023年度相比，减少13496.20万元，下降32.2%。主要原因是2024年疫情防控经费大幅减少，部门项目整体支出压减，较年初预算数增加1959.38万元，增长7.4%。主要原因是年中追加计生政策性扶助奖励、基本公共卫生、重大疾病预防控制等项目经费。</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Style w:val="20"/>
          <w:rFonts w:ascii="Times New Roman" w:eastAsia="方正仿宋_GBK" w:cs="Times New Roman" w:hAnsi="Times New Roman"/>
          <w:sz w:val="32"/>
          <w:szCs w:val="32"/>
          <w:shd w:val="clear" w:color="auto" w:fill="FFFFFF"/>
        </w:rPr>
        <w:t>3.结转结余情况。</w:t>
      </w:r>
      <w:r>
        <w:rPr>
          <w:rFonts w:ascii="Times New Roman" w:eastAsia="方正仿宋_GBK" w:cs="Times New Roman" w:hAnsi="Times New Roman"/>
          <w:sz w:val="32"/>
          <w:szCs w:val="32"/>
          <w:shd w:val="clear" w:color="auto" w:fill="FFFFFF"/>
        </w:rPr>
        <w:t>2024年度年末一般公共预算财政拨款结转和结余</w:t>
      </w:r>
      <w:r>
        <w:rPr>
          <w:rFonts w:ascii="Times New Roman" w:eastAsia="方正仿宋_GBK" w:cs="Times New Roman" w:hAnsi="Times New Roman"/>
          <w:sz w:val="32"/>
          <w:szCs w:val="32"/>
        </w:rPr>
        <w:t>342.09</w:t>
      </w:r>
      <w:r>
        <w:rPr>
          <w:rFonts w:ascii="Times New Roman" w:eastAsia="方正仿宋_GBK" w:cs="Times New Roman" w:hAnsi="Times New Roman"/>
          <w:sz w:val="32"/>
          <w:szCs w:val="32"/>
          <w:shd w:val="clear" w:color="auto" w:fill="FFFFFF"/>
        </w:rPr>
        <w:t>万元，与2023年度相比，减少1250.59万元，下降78.5%，主要原因是区疾控中心重大公共卫生服务项目2023年结余资金在2024年已基本使用完毕，2024年该项目结余资金大幅降低。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Style w:val="20"/>
          <w:rFonts w:ascii="Times New Roman" w:eastAsia="方正仿宋_GBK" w:cs="Times New Roman" w:hAnsi="Times New Roman"/>
          <w:sz w:val="32"/>
          <w:szCs w:val="32"/>
          <w:shd w:val="clear" w:color="auto" w:fill="FFFFFF"/>
        </w:rPr>
        <w:t xml:space="preserve"> 4.比较情况。</w:t>
      </w:r>
      <w:r>
        <w:rPr>
          <w:rFonts w:ascii="Times New Roman" w:eastAsia="方正仿宋_GBK" w:cs="Times New Roman" w:hAnsi="Times New Roman"/>
          <w:sz w:val="32"/>
          <w:szCs w:val="32"/>
          <w:shd w:val="clear" w:color="auto" w:fill="FFFFFF"/>
        </w:rPr>
        <w:t>本部门2024年度一般公共预算财政拨款支出主要用于以下几个方面：</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（1）一般公共服务支出</w:t>
      </w:r>
      <w:r>
        <w:rPr>
          <w:rFonts w:ascii="Times New Roman" w:eastAsia="方正仿宋_GBK" w:cs="Times New Roman" w:hAnsi="Times New Roman"/>
          <w:sz w:val="32"/>
          <w:szCs w:val="32"/>
        </w:rPr>
        <w:t>25.41</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0.09</w:t>
      </w:r>
      <w:r>
        <w:rPr>
          <w:rFonts w:ascii="Times New Roman" w:eastAsia="方正仿宋_GBK" w:cs="Times New Roman" w:hAnsi="Times New Roman"/>
          <w:sz w:val="32"/>
          <w:szCs w:val="32"/>
          <w:shd w:val="clear" w:color="auto" w:fill="FFFFFF"/>
        </w:rPr>
        <w:t>%，较年初预算数增加23.81万元，增长1488.1%，主要原因是年中追加党建经费。</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（2）国防支出</w:t>
      </w:r>
      <w:r>
        <w:rPr>
          <w:rFonts w:ascii="Times New Roman" w:eastAsia="方正仿宋_GBK" w:cs="Times New Roman" w:hAnsi="Times New Roman"/>
          <w:sz w:val="32"/>
          <w:szCs w:val="32"/>
        </w:rPr>
        <w:t>0.51</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%，较年初预算数无增减。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（3）教育支出</w:t>
      </w:r>
      <w:r>
        <w:rPr>
          <w:rFonts w:ascii="Times New Roman" w:eastAsia="方正仿宋_GBK" w:cs="Times New Roman" w:hAnsi="Times New Roman"/>
          <w:sz w:val="32"/>
          <w:szCs w:val="32"/>
        </w:rPr>
        <w:t>15.30</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0.05</w:t>
      </w:r>
      <w:r>
        <w:rPr>
          <w:rFonts w:ascii="Times New Roman" w:eastAsia="方正仿宋_GBK" w:cs="Times New Roman" w:hAnsi="Times New Roman"/>
          <w:sz w:val="32"/>
          <w:szCs w:val="32"/>
          <w:shd w:val="clear" w:color="auto" w:fill="FFFFFF"/>
        </w:rPr>
        <w:t>%，较年初预算数减少4.70万元，下降23.5%，主要原因是区疾控中心适龄女学生免费接种宫颈癌疫苗项目结余4.7万元。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（4）文化旅游体育与传媒支出</w:t>
      </w:r>
      <w:r>
        <w:rPr>
          <w:rFonts w:ascii="Times New Roman" w:eastAsia="方正仿宋_GBK" w:cs="Times New Roman" w:hAnsi="Times New Roman"/>
          <w:sz w:val="32"/>
          <w:szCs w:val="32"/>
        </w:rPr>
        <w:t>8.00</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0.03</w:t>
      </w:r>
      <w:r>
        <w:rPr>
          <w:rFonts w:ascii="Times New Roman" w:eastAsia="方正仿宋_GBK" w:cs="Times New Roman" w:hAnsi="Times New Roman"/>
          <w:sz w:val="32"/>
          <w:szCs w:val="32"/>
          <w:shd w:val="clear" w:color="auto" w:fill="FFFFFF"/>
        </w:rPr>
        <w:t>%，较年初预算数增加8.00万元，增长100.0%，主要原因是区疾控中心年中追加重大疾病预防控制经费8万元。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（5）社会保障与就业支出</w:t>
      </w:r>
      <w:r>
        <w:rPr>
          <w:rFonts w:ascii="Times New Roman" w:eastAsia="方正仿宋_GBK" w:cs="Times New Roman" w:hAnsi="Times New Roman"/>
          <w:sz w:val="32"/>
          <w:szCs w:val="32"/>
        </w:rPr>
        <w:t>3620.41</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12.71</w:t>
      </w:r>
      <w:r>
        <w:rPr>
          <w:rFonts w:ascii="Times New Roman" w:eastAsia="方正仿宋_GBK" w:cs="Times New Roman" w:hAnsi="Times New Roman"/>
          <w:sz w:val="32"/>
          <w:szCs w:val="32"/>
          <w:shd w:val="clear" w:color="auto" w:fill="FFFFFF"/>
        </w:rPr>
        <w:t>%，较年初预算数增加105.03万元，增长3.0%，主要原因是年中追加人员经费。</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（6）卫生健康支出</w:t>
      </w:r>
      <w:r>
        <w:rPr>
          <w:rFonts w:ascii="Times New Roman" w:eastAsia="方正仿宋_GBK" w:cs="Times New Roman" w:hAnsi="Times New Roman"/>
          <w:sz w:val="32"/>
          <w:szCs w:val="32"/>
        </w:rPr>
        <w:t>24381.48</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85.63</w:t>
      </w:r>
      <w:r>
        <w:rPr>
          <w:rFonts w:ascii="Times New Roman" w:eastAsia="方正仿宋_GBK" w:cs="Times New Roman" w:hAnsi="Times New Roman"/>
          <w:sz w:val="32"/>
          <w:szCs w:val="32"/>
          <w:shd w:val="clear" w:color="auto" w:fill="FFFFFF"/>
        </w:rPr>
        <w:t>%，较年初预算数增加1844.54万元，增长8.2%，主要原因是年中追加计生政策性扶助奖励、基本公共卫生、重大疾病预防控制等项目经费。</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（7）农林水支出</w:t>
      </w:r>
      <w:r>
        <w:rPr>
          <w:rFonts w:ascii="Times New Roman" w:eastAsia="方正仿宋_GBK" w:cs="Times New Roman" w:hAnsi="Times New Roman"/>
          <w:sz w:val="32"/>
          <w:szCs w:val="32"/>
        </w:rPr>
        <w:t>44.40</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0.16</w:t>
      </w:r>
      <w:r>
        <w:rPr>
          <w:rFonts w:ascii="Times New Roman" w:eastAsia="方正仿宋_GBK" w:cs="Times New Roman" w:hAnsi="Times New Roman"/>
          <w:sz w:val="32"/>
          <w:szCs w:val="32"/>
          <w:shd w:val="clear" w:color="auto" w:fill="FFFFFF"/>
        </w:rPr>
        <w:t>%，较年初预算数减少1.69万元，下降3.7%，主要原因是渝中区卫生健康综合执法大队动物卫生监督经费结余。</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（8）商业服务业等支出</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%，较年初预算数减少3.00万元，下降100.0%，主要原因是卫健委机关提升经济运行质量奖励收回。</w:t>
      </w:r>
    </w:p>
    <w:p>
      <w:pPr>
        <w:keepNext w:val="0"/>
        <w:keepLines w:val="0"/>
        <w:pageBreakBefore w:val="0"/>
        <w:widowControl/>
        <w:kinsoku/>
        <w:wordWrap/>
        <w:overflowPunct/>
        <w:topLinePunct w:val="0"/>
        <w:autoSpaceDN/>
        <w:bidi w:val="0"/>
        <w:adjustRightInd/>
        <w:spacing w:line="594" w:lineRule="exact"/>
        <w:ind w:left="0" w:right="0" w:firstLineChars="200" w:firstLine="640"/>
        <w:textAlignment w:val="auto"/>
        <w:rPr>
          <w:rFonts w:ascii="Times New Roman" w:eastAsia="方正仿宋_GBK" w:cs="Times New Roman" w:hAnsi="Times New Roman"/>
          <w:color w:val="FF0000"/>
          <w:sz w:val="32"/>
          <w:szCs w:val="32"/>
          <w:shd w:val="clear" w:color="auto" w:fill="FFFFFF"/>
        </w:rPr>
      </w:pPr>
      <w:r>
        <w:rPr>
          <w:rFonts w:ascii="Times New Roman" w:eastAsia="方正仿宋_GBK" w:cs="Times New Roman" w:hAnsi="Times New Roman"/>
          <w:sz w:val="32"/>
          <w:szCs w:val="32"/>
          <w:shd w:val="clear" w:color="auto" w:fill="FFFFFF"/>
        </w:rPr>
        <w:t>（9）</w:t>
      </w:r>
      <w:r>
        <w:rPr>
          <w:rFonts w:ascii="Times New Roman" w:eastAsia="方正仿宋_GBK" w:cs="Times New Roman" w:hAnsi="Times New Roman"/>
          <w:sz w:val="32"/>
          <w:szCs w:val="32"/>
        </w:rPr>
        <w:t>住房保障支出378.65</w:t>
      </w:r>
      <w:r>
        <w:rPr>
          <w:rFonts w:ascii="Times New Roman" w:eastAsia="方正仿宋_GBK" w:cs="Times New Roman" w:hAnsi="Times New Roman"/>
          <w:sz w:val="32"/>
          <w:szCs w:val="32"/>
          <w:shd w:val="clear" w:color="auto" w:fill="FFFFFF"/>
        </w:rPr>
        <w:t>万元，占</w:t>
      </w:r>
      <w:r>
        <w:rPr>
          <w:rFonts w:ascii="Times New Roman" w:eastAsia="方正仿宋_GBK" w:cs="Times New Roman" w:hAnsi="Times New Roman"/>
          <w:sz w:val="32"/>
          <w:szCs w:val="32"/>
        </w:rPr>
        <w:t>1.33</w:t>
      </w:r>
      <w:r>
        <w:rPr>
          <w:rFonts w:ascii="Times New Roman" w:eastAsia="方正仿宋_GBK" w:cs="Times New Roman" w:hAnsi="Times New Roman"/>
          <w:sz w:val="32"/>
          <w:szCs w:val="32"/>
          <w:shd w:val="clear" w:color="auto" w:fill="FFFFFF"/>
        </w:rPr>
        <w:t>%，较年初预算数减少12.60万元，下降3.2%，主要原因是人员变动。</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（四）一般公共预算财政拨款基本支出决算情况说明</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 2024年度一般公共财政拨款基本支出</w:t>
      </w:r>
      <w:r>
        <w:rPr>
          <w:rFonts w:ascii="Times New Roman" w:eastAsia="方正仿宋_GBK" w:cs="Times New Roman" w:hAnsi="Times New Roman"/>
          <w:sz w:val="32"/>
          <w:szCs w:val="32"/>
        </w:rPr>
        <w:t>11246.43</w:t>
      </w:r>
      <w:r>
        <w:rPr>
          <w:rFonts w:ascii="Times New Roman" w:eastAsia="方正仿宋_GBK" w:cs="Times New Roman" w:hAnsi="Times New Roman"/>
          <w:sz w:val="32"/>
          <w:szCs w:val="32"/>
          <w:shd w:val="clear" w:color="auto" w:fill="FFFFFF"/>
        </w:rPr>
        <w:t>万元。其中：人员经费</w:t>
      </w:r>
      <w:r>
        <w:rPr>
          <w:rFonts w:ascii="Times New Roman" w:eastAsia="方正仿宋_GBK" w:cs="Times New Roman" w:hAnsi="Times New Roman"/>
          <w:sz w:val="32"/>
          <w:szCs w:val="32"/>
        </w:rPr>
        <w:t>10578.54</w:t>
      </w:r>
      <w:r>
        <w:rPr>
          <w:rFonts w:ascii="Times New Roman" w:eastAsia="方正仿宋_GBK" w:cs="Times New Roman" w:hAnsi="Times New Roman"/>
          <w:sz w:val="32"/>
          <w:szCs w:val="32"/>
          <w:shd w:val="clear" w:color="auto" w:fill="FFFFFF"/>
        </w:rPr>
        <w:t>万元，与2023年度相比，减少70.70万元，下降0.7%，主要原因是人员变动，人员经费用途主要包括基本工资、津贴补贴、奖金、社会保障缴费。公用经费</w:t>
      </w:r>
      <w:r>
        <w:rPr>
          <w:rFonts w:ascii="Times New Roman" w:eastAsia="方正仿宋_GBK" w:cs="Times New Roman" w:hAnsi="Times New Roman"/>
          <w:sz w:val="32"/>
          <w:szCs w:val="32"/>
        </w:rPr>
        <w:t>667.89</w:t>
      </w:r>
      <w:r>
        <w:rPr>
          <w:rFonts w:ascii="Times New Roman" w:eastAsia="方正仿宋_GBK" w:cs="Times New Roman" w:hAnsi="Times New Roman"/>
          <w:sz w:val="32"/>
          <w:szCs w:val="32"/>
          <w:shd w:val="clear" w:color="auto" w:fill="FFFFFF"/>
        </w:rPr>
        <w:t>万元，与2023年度相比，增加122.93万元，增长22.6%，主要原因是编制人员增加，</w:t>
      </w:r>
      <w:bookmarkStart w:id="0" w:name="_GoBack"/>
      <w:bookmarkEnd w:id="0"/>
      <w:r>
        <w:rPr>
          <w:rFonts w:ascii="Times New Roman" w:eastAsia="方正仿宋_GBK" w:cs="Times New Roman" w:hAnsi="Times New Roman"/>
          <w:sz w:val="32"/>
          <w:szCs w:val="32"/>
          <w:shd w:val="clear" w:color="auto" w:fill="FFFFFF"/>
        </w:rPr>
        <w:t>公用经费用途主要包括办公费、印刷费、咨询费、手续费、差旅费、会议费等。</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（五）政府性基金预算收支决算情况说明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2024年度政府性基金预算财政拨款年初结转结余</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万元，年末结转结余</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万元。本年收入</w:t>
      </w:r>
      <w:r>
        <w:rPr>
          <w:rFonts w:ascii="Times New Roman" w:eastAsia="方正仿宋_GBK" w:cs="Times New Roman" w:hAnsi="Times New Roman"/>
          <w:sz w:val="32"/>
          <w:szCs w:val="32"/>
        </w:rPr>
        <w:t>15761.53</w:t>
      </w:r>
      <w:r>
        <w:rPr>
          <w:rFonts w:ascii="Times New Roman" w:eastAsia="方正仿宋_GBK" w:cs="Times New Roman" w:hAnsi="Times New Roman"/>
          <w:sz w:val="32"/>
          <w:szCs w:val="32"/>
          <w:shd w:val="clear" w:color="auto" w:fill="FFFFFF"/>
        </w:rPr>
        <w:t>万元，与2023年度相比，减少6738.47万元，下降30.0%，主要原因是中医骨科医院建设项目专项债资金预算减少，本年支出</w:t>
      </w:r>
      <w:r>
        <w:rPr>
          <w:rFonts w:ascii="Times New Roman" w:eastAsia="方正仿宋_GBK" w:cs="Times New Roman" w:hAnsi="Times New Roman"/>
          <w:sz w:val="32"/>
          <w:szCs w:val="32"/>
        </w:rPr>
        <w:t>15761.53</w:t>
      </w:r>
      <w:r>
        <w:rPr>
          <w:rFonts w:ascii="Times New Roman" w:eastAsia="方正仿宋_GBK" w:cs="Times New Roman" w:hAnsi="Times New Roman"/>
          <w:sz w:val="32"/>
          <w:szCs w:val="32"/>
          <w:shd w:val="clear" w:color="auto" w:fill="FFFFFF"/>
        </w:rPr>
        <w:t>万元，与2023年度相比，减少8358.66万元，下降34.7%，主要原因是中医骨科医院专项债资金支出减少。</w:t>
      </w:r>
    </w:p>
    <w:p>
      <w:pPr>
        <w:pStyle w:val="21"/>
        <w:keepNext w:val="0"/>
        <w:keepLines w:val="0"/>
        <w:pageBreakBefore w:val="0"/>
        <w:widowControl/>
        <w:numPr>
          <w:ilvl w:val="0"/>
          <w:numId w:val="1"/>
        </w:numPr>
        <w:kinsoku/>
        <w:wordWrap/>
        <w:overflowPunct/>
        <w:topLinePunct w:val="0"/>
        <w:autoSpaceDE w:val="0"/>
        <w:autoSpaceDN/>
        <w:bidi w:val="0"/>
        <w:adjustRightInd/>
        <w:spacing w:line="594" w:lineRule="exact"/>
        <w:ind w:left="0" w:right="0" w:firstLineChars="0" w:firstLine="643"/>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国有资本经营预算财政拨款支出决算情况说明</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本部门2024年度无国有资本经营预算财政拨款支出。</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right="0" w:firstLineChars="200" w:firstLine="640"/>
        <w:textAlignment w:val="auto"/>
        <w:rPr>
          <w:rStyle w:val="20"/>
          <w:rFonts w:ascii="Times New Roman" w:eastAsia="方正黑体_GBK" w:cs="Times New Roman" w:hAnsi="Times New Roman"/>
          <w:sz w:val="32"/>
          <w:szCs w:val="32"/>
          <w:shd w:val="clear" w:color="auto" w:fill="FFFFFF"/>
        </w:rPr>
      </w:pPr>
      <w:r>
        <w:rPr>
          <w:rStyle w:val="20"/>
          <w:rFonts w:ascii="Times New Roman" w:eastAsia="方正黑体_GBK" w:cs="Times New Roman" w:hAnsi="Times New Roman"/>
          <w:sz w:val="32"/>
          <w:szCs w:val="32"/>
          <w:shd w:val="clear" w:color="auto" w:fill="FFFFFF"/>
        </w:rPr>
        <w:t>三、财政拨款“三公”经费情况说明</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 xml:space="preserve"> （一）“三公”经费支出总体情况说明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lang w:eastAsia="zh-CN"/>
        </w:rPr>
      </w:pPr>
      <w:r>
        <w:rPr>
          <w:rFonts w:ascii="Times New Roman" w:eastAsia="方正仿宋_GBK" w:cs="Times New Roman" w:hAnsi="Times New Roman"/>
          <w:sz w:val="32"/>
          <w:szCs w:val="32"/>
          <w:shd w:val="clear" w:color="auto" w:fill="FFFFFF"/>
        </w:rPr>
        <w:t>2024年度“三公”经费支出共计</w:t>
      </w:r>
      <w:r>
        <w:rPr>
          <w:rFonts w:ascii="Times New Roman" w:eastAsia="方正仿宋_GBK" w:cs="Times New Roman" w:hAnsi="Times New Roman"/>
          <w:sz w:val="32"/>
          <w:szCs w:val="32"/>
        </w:rPr>
        <w:t>22.61</w:t>
      </w:r>
      <w:r>
        <w:rPr>
          <w:rFonts w:ascii="Times New Roman" w:eastAsia="方正仿宋_GBK" w:cs="Times New Roman" w:hAnsi="Times New Roman"/>
          <w:sz w:val="32"/>
          <w:szCs w:val="32"/>
          <w:shd w:val="clear" w:color="auto" w:fill="FFFFFF"/>
        </w:rPr>
        <w:t>万元，较年初预算数减少3.69万元，下降14.0%，主要原因是严控经费支出，较上年支出数增加2.33万元，增长11.5%，主要</w:t>
      </w:r>
      <w:r>
        <w:rPr>
          <w:rFonts w:ascii="Times New Roman" w:eastAsia="方正仿宋_GBK" w:cs="Times New Roman" w:hAnsi="Times New Roman"/>
          <w:sz w:val="32"/>
          <w:szCs w:val="32"/>
          <w:shd w:val="clear" w:color="auto" w:fill="FFFFFF"/>
          <w:lang w:eastAsia="zh-CN"/>
        </w:rPr>
        <w:t>原因是外出交流学习活动增加导致公务用车维护费增加。</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（二）“三公”经费分项支出情况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2024年度本部门因公出国（境）费用</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万元，费用支出较年初预算数无增减。与2023年度相比，无增减。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 公务车购置费</w:t>
      </w:r>
      <w:r>
        <w:rPr>
          <w:rFonts w:ascii="Times New Roman" w:eastAsia="方正仿宋_GBK" w:cs="Times New Roman" w:hAnsi="Times New Roman"/>
          <w:sz w:val="32"/>
          <w:szCs w:val="32"/>
        </w:rPr>
        <w:t>0.00</w:t>
      </w:r>
      <w:r>
        <w:rPr>
          <w:rFonts w:ascii="Times New Roman" w:eastAsia="方正仿宋_GBK" w:cs="Times New Roman" w:hAnsi="Times New Roman"/>
          <w:sz w:val="32"/>
          <w:szCs w:val="32"/>
          <w:shd w:val="clear" w:color="auto" w:fill="FFFFFF"/>
        </w:rPr>
        <w:t>万元，费用支出较年初预算数无增减，与2023年度相比，无增减。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 公务车运行维护费</w:t>
      </w:r>
      <w:r>
        <w:rPr>
          <w:rFonts w:ascii="Times New Roman" w:eastAsia="方正仿宋_GBK" w:cs="Times New Roman" w:hAnsi="Times New Roman"/>
          <w:sz w:val="32"/>
          <w:szCs w:val="32"/>
        </w:rPr>
        <w:t>20.94</w:t>
      </w:r>
      <w:r>
        <w:rPr>
          <w:rFonts w:ascii="Times New Roman" w:eastAsia="方正仿宋_GBK" w:cs="Times New Roman" w:hAnsi="Times New Roman"/>
          <w:sz w:val="32"/>
          <w:szCs w:val="32"/>
          <w:shd w:val="clear" w:color="auto" w:fill="FFFFFF"/>
        </w:rPr>
        <w:t>万元，主要用于公务车维保、加油、停车等，费用支出较年初预算数减少2.06万元，下降9.0%，主要原因是严控经费支出。较上年支出数增加2.89万元，增长16.0%，主要原因是外出交流学习活动增加。</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 公务接待费</w:t>
      </w:r>
      <w:r>
        <w:rPr>
          <w:rFonts w:ascii="Times New Roman" w:eastAsia="方正仿宋_GBK" w:cs="Times New Roman" w:hAnsi="Times New Roman"/>
          <w:sz w:val="32"/>
          <w:szCs w:val="32"/>
        </w:rPr>
        <w:t>1.67</w:t>
      </w:r>
      <w:r>
        <w:rPr>
          <w:rFonts w:ascii="Times New Roman" w:eastAsia="方正仿宋_GBK" w:cs="Times New Roman" w:hAnsi="Times New Roman"/>
          <w:sz w:val="32"/>
          <w:szCs w:val="32"/>
          <w:shd w:val="clear" w:color="auto" w:fill="FFFFFF"/>
        </w:rPr>
        <w:t>万元，主要用于招商引资接待，费用支出较年初预算数减少1.63万元，下降49.4%，主要原因是严控经费支出。较上年支出数减少0.56万元，下降25.1%，主要原因是严控经费支出。</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（三）“三公”经费实物量情况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  2024年度本部门因公出国（境）共计</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个团组，</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人；公务用车购置</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辆，公务车保有量为</w:t>
      </w:r>
      <w:r>
        <w:rPr>
          <w:rFonts w:ascii="Times New Roman" w:eastAsia="方正仿宋_GBK" w:cs="Times New Roman" w:hAnsi="Times New Roman"/>
          <w:sz w:val="32"/>
          <w:szCs w:val="32"/>
        </w:rPr>
        <w:t>8</w:t>
      </w:r>
      <w:r>
        <w:rPr>
          <w:rFonts w:ascii="Times New Roman" w:eastAsia="方正仿宋_GBK" w:cs="Times New Roman" w:hAnsi="Times New Roman"/>
          <w:sz w:val="32"/>
          <w:szCs w:val="32"/>
          <w:shd w:val="clear" w:color="auto" w:fill="FFFFFF"/>
        </w:rPr>
        <w:t>辆；国内公务接待</w:t>
      </w:r>
      <w:r>
        <w:rPr>
          <w:rFonts w:ascii="Times New Roman" w:eastAsia="方正仿宋_GBK" w:cs="Times New Roman" w:hAnsi="Times New Roman"/>
          <w:sz w:val="32"/>
          <w:szCs w:val="32"/>
        </w:rPr>
        <w:t>15</w:t>
      </w:r>
      <w:r>
        <w:rPr>
          <w:rFonts w:ascii="Times New Roman" w:eastAsia="方正仿宋_GBK" w:cs="Times New Roman" w:hAnsi="Times New Roman"/>
          <w:sz w:val="32"/>
          <w:szCs w:val="32"/>
          <w:shd w:val="clear" w:color="auto" w:fill="FFFFFF"/>
        </w:rPr>
        <w:t>批次</w:t>
      </w:r>
      <w:r>
        <w:rPr>
          <w:rFonts w:ascii="Times New Roman" w:eastAsia="方正仿宋_GBK" w:cs="Times New Roman" w:hAnsi="Times New Roman"/>
          <w:sz w:val="32"/>
          <w:szCs w:val="32"/>
        </w:rPr>
        <w:t>137</w:t>
      </w:r>
      <w:r>
        <w:rPr>
          <w:rFonts w:ascii="Times New Roman" w:eastAsia="方正仿宋_GBK" w:cs="Times New Roman" w:hAnsi="Times New Roman"/>
          <w:sz w:val="32"/>
          <w:szCs w:val="32"/>
          <w:shd w:val="clear" w:color="auto" w:fill="FFFFFF"/>
        </w:rPr>
        <w:t>人，其中：国内外事接待</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批次，</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人；国（境）外公务接待</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批次，</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人。2024年本部门人均接待费</w:t>
      </w:r>
      <w:r>
        <w:rPr>
          <w:rFonts w:ascii="Times New Roman" w:eastAsia="方正仿宋_GBK" w:cs="Times New Roman" w:hAnsi="Times New Roman"/>
          <w:sz w:val="32"/>
          <w:szCs w:val="32"/>
        </w:rPr>
        <w:t>122.12</w:t>
      </w:r>
      <w:r>
        <w:rPr>
          <w:rFonts w:ascii="Times New Roman" w:eastAsia="方正仿宋_GBK" w:cs="Times New Roman" w:hAnsi="Times New Roman"/>
          <w:sz w:val="32"/>
          <w:szCs w:val="32"/>
          <w:shd w:val="clear" w:color="auto" w:fill="FFFFFF"/>
        </w:rPr>
        <w:t>元，车均购置费</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万元，车均维护费</w:t>
      </w:r>
      <w:r>
        <w:rPr>
          <w:rFonts w:ascii="Times New Roman" w:eastAsia="方正仿宋_GBK" w:cs="Times New Roman" w:hAnsi="Times New Roman"/>
          <w:sz w:val="32"/>
          <w:szCs w:val="32"/>
        </w:rPr>
        <w:t>2.62</w:t>
      </w:r>
      <w:r>
        <w:rPr>
          <w:rFonts w:ascii="Times New Roman" w:eastAsia="方正仿宋_GBK" w:cs="Times New Roman" w:hAnsi="Times New Roman"/>
          <w:sz w:val="32"/>
          <w:szCs w:val="32"/>
          <w:shd w:val="clear" w:color="auto" w:fill="FFFFFF"/>
        </w:rPr>
        <w:t>万元。</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right="0" w:firstLineChars="200" w:firstLine="640"/>
        <w:textAlignment w:val="auto"/>
        <w:rPr>
          <w:rStyle w:val="20"/>
          <w:rFonts w:ascii="Times New Roman" w:eastAsia="方正黑体_GBK" w:cs="Times New Roman" w:hAnsi="Times New Roman"/>
          <w:sz w:val="32"/>
          <w:szCs w:val="32"/>
          <w:shd w:val="clear" w:color="auto" w:fill="FFFFFF"/>
        </w:rPr>
      </w:pPr>
      <w:r>
        <w:rPr>
          <w:rStyle w:val="20"/>
          <w:rFonts w:ascii="Times New Roman" w:eastAsia="方正黑体_GBK" w:cs="Times New Roman" w:hAnsi="Times New Roman"/>
          <w:sz w:val="32"/>
          <w:szCs w:val="32"/>
          <w:shd w:val="clear" w:color="auto" w:fill="FFFFFF"/>
        </w:rPr>
        <w:t>四、其他需要说明的事项</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楷体"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（一）财政拨款会议费和培训费情况说明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本年度会议费支出</w:t>
      </w:r>
      <w:r>
        <w:rPr>
          <w:rFonts w:ascii="Times New Roman" w:eastAsia="方正仿宋_GBK" w:cs="Times New Roman" w:hAnsi="Times New Roman"/>
          <w:sz w:val="32"/>
          <w:szCs w:val="32"/>
        </w:rPr>
        <w:t>17.90</w:t>
      </w:r>
      <w:r>
        <w:rPr>
          <w:rFonts w:ascii="Times New Roman" w:eastAsia="方正仿宋_GBK" w:cs="Times New Roman" w:hAnsi="Times New Roman"/>
          <w:sz w:val="32"/>
          <w:szCs w:val="32"/>
          <w:shd w:val="clear" w:color="auto" w:fill="FFFFFF"/>
        </w:rPr>
        <w:t>万元，与2023年度相比，减少7.82万元，下降30.4%，主要原因是会议活动减少，本年度培训费支出</w:t>
      </w:r>
      <w:r>
        <w:rPr>
          <w:rFonts w:ascii="Times New Roman" w:eastAsia="方正仿宋_GBK" w:cs="Times New Roman" w:hAnsi="Times New Roman"/>
          <w:sz w:val="32"/>
          <w:szCs w:val="32"/>
        </w:rPr>
        <w:t>95.37</w:t>
      </w:r>
      <w:r>
        <w:rPr>
          <w:rFonts w:ascii="Times New Roman" w:eastAsia="方正仿宋_GBK" w:cs="Times New Roman" w:hAnsi="Times New Roman"/>
          <w:sz w:val="32"/>
          <w:szCs w:val="32"/>
          <w:shd w:val="clear" w:color="auto" w:fill="FFFFFF"/>
        </w:rPr>
        <w:t>万元，与2023年度相比，增加47.72万元，增长100.2%，主要原因是医共体建设相关交流学习活动增加。</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（二）机关运行经费情况说明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2024年度本部门机关运行经费支出</w:t>
      </w:r>
      <w:r>
        <w:rPr>
          <w:rFonts w:ascii="Times New Roman" w:eastAsia="方正仿宋_GBK" w:cs="Times New Roman" w:hAnsi="Times New Roman"/>
          <w:sz w:val="32"/>
          <w:szCs w:val="32"/>
        </w:rPr>
        <w:t>398.33</w:t>
      </w:r>
      <w:r>
        <w:rPr>
          <w:rFonts w:ascii="Times New Roman" w:eastAsia="方正仿宋_GBK" w:cs="Times New Roman" w:hAnsi="Times New Roman"/>
          <w:sz w:val="32"/>
          <w:szCs w:val="32"/>
          <w:shd w:val="clear" w:color="auto" w:fill="FFFFFF"/>
        </w:rPr>
        <w:t>万元，机关运行经费主要用于开支办公费、邮寄费、差旅费、公务接待费、公车运行接待费。机关运行经费较上年支出数增加54.72万元，增长15.9%，主要原因是定额人员增加。</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（三）国有资产占用情况说明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截至2024年12月31日，本部门共有车辆</w:t>
      </w:r>
      <w:r>
        <w:rPr>
          <w:rFonts w:ascii="Times New Roman" w:eastAsia="方正仿宋_GBK" w:cs="Times New Roman" w:hAnsi="Times New Roman"/>
          <w:sz w:val="32"/>
          <w:szCs w:val="32"/>
        </w:rPr>
        <w:t>23</w:t>
      </w:r>
      <w:r>
        <w:rPr>
          <w:rFonts w:ascii="Times New Roman" w:eastAsia="方正仿宋_GBK" w:cs="Times New Roman" w:hAnsi="Times New Roman"/>
          <w:sz w:val="32"/>
          <w:szCs w:val="32"/>
          <w:shd w:val="clear" w:color="auto" w:fill="FFFFFF"/>
        </w:rPr>
        <w:t>辆，其中，副部（省）级及以上领导用车</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辆、主要负责人用车</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辆、机要通信用车</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辆、应急保障用车</w:t>
      </w:r>
      <w:r>
        <w:rPr>
          <w:rFonts w:ascii="Times New Roman" w:eastAsia="方正仿宋_GBK" w:cs="Times New Roman" w:hAnsi="Times New Roman"/>
          <w:sz w:val="32"/>
          <w:szCs w:val="32"/>
        </w:rPr>
        <w:t>11</w:t>
      </w:r>
      <w:r>
        <w:rPr>
          <w:rFonts w:ascii="Times New Roman" w:eastAsia="方正仿宋_GBK" w:cs="Times New Roman" w:hAnsi="Times New Roman"/>
          <w:sz w:val="32"/>
          <w:szCs w:val="32"/>
          <w:shd w:val="clear" w:color="auto" w:fill="FFFFFF"/>
        </w:rPr>
        <w:t>辆、执法执勤用车</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辆，特种专业技术用车</w:t>
      </w:r>
      <w:r>
        <w:rPr>
          <w:rFonts w:ascii="Times New Roman" w:eastAsia="方正仿宋_GBK" w:cs="Times New Roman" w:hAnsi="Times New Roman"/>
          <w:sz w:val="32"/>
          <w:szCs w:val="32"/>
        </w:rPr>
        <w:t>12</w:t>
      </w:r>
      <w:r>
        <w:rPr>
          <w:rFonts w:ascii="Times New Roman" w:eastAsia="方正仿宋_GBK" w:cs="Times New Roman" w:hAnsi="Times New Roman"/>
          <w:sz w:val="32"/>
          <w:szCs w:val="32"/>
          <w:shd w:val="clear" w:color="auto" w:fill="FFFFFF"/>
        </w:rPr>
        <w:t>辆，离退休干部用车</w:t>
      </w:r>
      <w:r>
        <w:rPr>
          <w:rFonts w:ascii="Times New Roman" w:eastAsia="方正仿宋_GBK" w:cs="Times New Roman" w:hAnsi="Times New Roman"/>
          <w:sz w:val="32"/>
          <w:szCs w:val="32"/>
        </w:rPr>
        <w:t>0</w:t>
      </w:r>
      <w:r>
        <w:rPr>
          <w:rFonts w:ascii="Times New Roman" w:eastAsia="方正仿宋_GBK" w:cs="Times New Roman" w:hAnsi="Times New Roman"/>
          <w:sz w:val="32"/>
          <w:szCs w:val="32"/>
          <w:shd w:val="clear" w:color="auto" w:fill="FFFFFF"/>
        </w:rPr>
        <w:t>辆。单价100万元（含）以上专用设备</w:t>
      </w:r>
      <w:r>
        <w:rPr>
          <w:rFonts w:ascii="Times New Roman" w:eastAsia="方正仿宋_GBK" w:cs="Times New Roman" w:hAnsi="Times New Roman"/>
          <w:sz w:val="32"/>
          <w:szCs w:val="32"/>
        </w:rPr>
        <w:t>31</w:t>
      </w:r>
      <w:r>
        <w:rPr>
          <w:rFonts w:ascii="Times New Roman" w:eastAsia="方正仿宋_GBK" w:cs="Times New Roman" w:hAnsi="Times New Roman"/>
          <w:sz w:val="32"/>
          <w:szCs w:val="32"/>
          <w:shd w:val="clear" w:color="auto" w:fill="FFFFFF"/>
        </w:rPr>
        <w:t>台（套）。</w:t>
      </w:r>
    </w:p>
    <w:p>
      <w:pPr>
        <w:pStyle w:val="21"/>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（四）政府采购支出情况说明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right="0" w:firstLineChars="200" w:firstLine="640"/>
        <w:jc w:val="both"/>
        <w:textAlignment w:val="auto"/>
        <w:rPr>
          <w:rFonts w:ascii="Times New Roman" w:eastAsia="方正仿宋_GBK" w:cs="Times New Roman" w:hAnsi="Times New Roman"/>
          <w:color w:val="FF0000"/>
          <w:sz w:val="32"/>
          <w:szCs w:val="32"/>
          <w:shd w:val="clear" w:color="auto" w:fill="FFFFFF"/>
        </w:rPr>
      </w:pPr>
      <w:r>
        <w:rPr>
          <w:rFonts w:ascii="Times New Roman" w:eastAsia="方正仿宋_GBK" w:cs="Times New Roman" w:hAnsi="Times New Roman"/>
          <w:sz w:val="32"/>
          <w:szCs w:val="32"/>
          <w:shd w:val="clear" w:color="auto" w:fill="FFFFFF"/>
        </w:rPr>
        <w:t>2024年度本部门政府采购支出总额</w:t>
      </w:r>
      <w:r>
        <w:rPr>
          <w:rFonts w:ascii="Times New Roman" w:eastAsia="方正仿宋_GBK" w:cs="Times New Roman" w:hAnsi="Times New Roman"/>
          <w:sz w:val="32"/>
          <w:szCs w:val="32"/>
        </w:rPr>
        <w:t>6436.33</w:t>
      </w:r>
      <w:r>
        <w:rPr>
          <w:rFonts w:ascii="Times New Roman" w:eastAsia="方正仿宋_GBK" w:cs="Times New Roman" w:hAnsi="Times New Roman"/>
          <w:sz w:val="32"/>
          <w:szCs w:val="32"/>
          <w:shd w:val="clear" w:color="auto" w:fill="FFFFFF"/>
        </w:rPr>
        <w:t>万元，其中：政府采购货物支出</w:t>
      </w:r>
      <w:r>
        <w:rPr>
          <w:rFonts w:ascii="Times New Roman" w:eastAsia="方正仿宋_GBK" w:cs="Times New Roman" w:hAnsi="Times New Roman"/>
          <w:sz w:val="32"/>
          <w:szCs w:val="32"/>
        </w:rPr>
        <w:t>4170.12</w:t>
      </w:r>
      <w:r>
        <w:rPr>
          <w:rFonts w:ascii="Times New Roman" w:eastAsia="方正仿宋_GBK" w:cs="Times New Roman" w:hAnsi="Times New Roman"/>
          <w:sz w:val="32"/>
          <w:szCs w:val="32"/>
          <w:shd w:val="clear" w:color="auto" w:fill="FFFFFF"/>
        </w:rPr>
        <w:t>万元、政府采购工程支出</w:t>
      </w:r>
      <w:r>
        <w:rPr>
          <w:rFonts w:ascii="Times New Roman" w:eastAsia="方正仿宋_GBK" w:cs="Times New Roman" w:hAnsi="Times New Roman"/>
          <w:sz w:val="32"/>
          <w:szCs w:val="32"/>
        </w:rPr>
        <w:t>1101.47</w:t>
      </w:r>
      <w:r>
        <w:rPr>
          <w:rFonts w:ascii="Times New Roman" w:eastAsia="方正仿宋_GBK" w:cs="Times New Roman" w:hAnsi="Times New Roman"/>
          <w:sz w:val="32"/>
          <w:szCs w:val="32"/>
          <w:shd w:val="clear" w:color="auto" w:fill="FFFFFF"/>
        </w:rPr>
        <w:t>万元、政府采购服务支出</w:t>
      </w:r>
      <w:r>
        <w:rPr>
          <w:rFonts w:ascii="Times New Roman" w:eastAsia="方正仿宋_GBK" w:cs="Times New Roman" w:hAnsi="Times New Roman"/>
          <w:sz w:val="32"/>
          <w:szCs w:val="32"/>
        </w:rPr>
        <w:t>1164.74</w:t>
      </w:r>
      <w:r>
        <w:rPr>
          <w:rFonts w:ascii="Times New Roman" w:eastAsia="方正仿宋_GBK" w:cs="Times New Roman" w:hAnsi="Times New Roman"/>
          <w:sz w:val="32"/>
          <w:szCs w:val="32"/>
          <w:shd w:val="clear" w:color="auto" w:fill="FFFFFF"/>
        </w:rPr>
        <w:t>万元。授予中小企业合同金额</w:t>
      </w:r>
      <w:r>
        <w:rPr>
          <w:rFonts w:ascii="Times New Roman" w:eastAsia="方正仿宋_GBK" w:cs="Times New Roman" w:hAnsi="Times New Roman"/>
          <w:sz w:val="32"/>
          <w:szCs w:val="32"/>
        </w:rPr>
        <w:t>4607.46万</w:t>
      </w:r>
      <w:r>
        <w:rPr>
          <w:rFonts w:ascii="Times New Roman" w:eastAsia="方正仿宋_GBK" w:cs="Times New Roman" w:hAnsi="Times New Roman"/>
          <w:sz w:val="32"/>
          <w:szCs w:val="32"/>
          <w:shd w:val="clear" w:color="auto" w:fill="FFFFFF"/>
        </w:rPr>
        <w:t>元，占政府采购支出总额的</w:t>
      </w:r>
      <w:r>
        <w:rPr>
          <w:rFonts w:ascii="Times New Roman" w:eastAsia="方正仿宋_GBK" w:cs="Times New Roman" w:hAnsi="Times New Roman"/>
          <w:sz w:val="32"/>
          <w:szCs w:val="32"/>
        </w:rPr>
        <w:t>71.59</w:t>
      </w:r>
      <w:r>
        <w:rPr>
          <w:rFonts w:ascii="Times New Roman" w:eastAsia="方正仿宋_GBK" w:cs="Times New Roman" w:hAnsi="Times New Roman"/>
          <w:sz w:val="32"/>
          <w:szCs w:val="32"/>
          <w:shd w:val="clear" w:color="auto" w:fill="FFFFFF"/>
        </w:rPr>
        <w:t>%，其中：授予小微企业合同金额</w:t>
      </w:r>
      <w:r>
        <w:rPr>
          <w:rFonts w:ascii="Times New Roman" w:eastAsia="方正仿宋_GBK" w:cs="Times New Roman" w:hAnsi="Times New Roman"/>
          <w:sz w:val="32"/>
          <w:szCs w:val="32"/>
        </w:rPr>
        <w:t>4332.66</w:t>
      </w:r>
      <w:r>
        <w:rPr>
          <w:rFonts w:ascii="Times New Roman" w:eastAsia="方正仿宋_GBK" w:cs="Times New Roman" w:hAnsi="Times New Roman"/>
          <w:sz w:val="32"/>
          <w:szCs w:val="32"/>
          <w:shd w:val="clear" w:color="auto" w:fill="FFFFFF"/>
        </w:rPr>
        <w:t>万元，占政府采购支出总额的</w:t>
      </w:r>
      <w:r>
        <w:rPr>
          <w:rFonts w:ascii="Times New Roman" w:eastAsia="方正仿宋_GBK" w:cs="Times New Roman" w:hAnsi="Times New Roman"/>
          <w:sz w:val="32"/>
          <w:szCs w:val="32"/>
        </w:rPr>
        <w:t>67.32</w:t>
      </w:r>
      <w:r>
        <w:rPr>
          <w:rFonts w:ascii="Times New Roman" w:eastAsia="方正仿宋_GBK" w:cs="Times New Roman" w:hAnsi="Times New Roman"/>
          <w:sz w:val="32"/>
          <w:szCs w:val="32"/>
          <w:shd w:val="clear" w:color="auto" w:fill="FFFFFF"/>
        </w:rPr>
        <w:t xml:space="preserve"> %。主要用于采购办公用品、计算机、空调、车辆维保服务等、云计算机服务等。</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Style w:val="20"/>
          <w:rFonts w:ascii="Times New Roman" w:eastAsia="方正黑体_GBK" w:cs="Times New Roman" w:hAnsi="Times New Roman"/>
          <w:sz w:val="32"/>
          <w:szCs w:val="32"/>
          <w:shd w:val="clear" w:color="auto" w:fill="FFFFFF"/>
        </w:rPr>
      </w:pPr>
      <w:r>
        <w:rPr>
          <w:rStyle w:val="20"/>
          <w:rFonts w:ascii="Times New Roman" w:eastAsia="方正黑体_GBK" w:cs="Times New Roman" w:hAnsi="Times New Roman"/>
          <w:sz w:val="32"/>
          <w:szCs w:val="32"/>
          <w:shd w:val="clear" w:color="auto" w:fill="FFFFFF"/>
        </w:rPr>
        <w:t>五、2024年度预算绩效管理情况说明</w:t>
      </w:r>
    </w:p>
    <w:p>
      <w:pPr>
        <w:pStyle w:val="2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left="0" w:right="0" w:firstLineChars="200" w:firstLine="64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（一）单位自评情况</w:t>
      </w:r>
    </w:p>
    <w:p>
      <w:pPr>
        <w:pStyle w:val="25"/>
        <w:keepNext w:val="0"/>
        <w:keepLines w:val="0"/>
        <w:pageBreakBefore w:val="0"/>
        <w:widowControl/>
        <w:tabs>
          <w:tab w:val="center" w:pos="4153"/>
          <w:tab w:val="left" w:pos="7275"/>
        </w:tabs>
        <w:kinsoku/>
        <w:wordWrap/>
        <w:overflowPunct/>
        <w:topLinePunct w:val="0"/>
        <w:autoSpaceDN/>
        <w:bidi w:val="0"/>
        <w:adjustRightInd/>
        <w:spacing w:line="594" w:lineRule="exact"/>
        <w:ind w:left="0" w:right="0"/>
        <w:textAlignment w:val="auto"/>
        <w:rPr>
          <w:rStyle w:val="23"/>
          <w:rFonts w:ascii="Times New Roman" w:eastAsia="方正仿宋_GBK" w:cs="Times New Roman" w:hAnsi="Times New Roman"/>
          <w:color w:val="FF0000"/>
          <w:sz w:val="32"/>
          <w:szCs w:val="32"/>
          <w:shd w:val="clear" w:color="auto" w:fill="FFFFFF"/>
        </w:rPr>
      </w:pPr>
      <w:r>
        <w:rPr>
          <w:rFonts w:ascii="Times New Roman" w:eastAsia="方正仿宋_GBK" w:cs="Times New Roman" w:hAnsi="Times New Roman"/>
          <w:sz w:val="32"/>
          <w:szCs w:val="32"/>
        </w:rPr>
        <w:t>根据预算绩效管理要求，我委对部门整体和181个项目开展了绩效自评，其中，以填报目标自评表形式开展自评181项，涉及资金31825.2万元。</w:t>
      </w:r>
    </w:p>
    <w:p>
      <w:pPr>
        <w:pStyle w:val="2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left="0" w:right="0" w:firstLineChars="200" w:firstLine="640"/>
        <w:textAlignment w:val="auto"/>
        <w:rPr>
          <w:rFonts w:ascii="Times New Roman" w:eastAsia="方正楷体_GBK" w:cs="Times New Roman" w:hAnsi="Times New Roman"/>
          <w:b/>
          <w:bCs/>
          <w:sz w:val="32"/>
          <w:szCs w:val="32"/>
          <w:shd w:val="clear" w:color="auto" w:fill="FFFFFF"/>
        </w:rPr>
      </w:pPr>
      <w:r>
        <w:rPr>
          <w:rFonts w:ascii="Times New Roman" w:eastAsia="方正楷体_GBK" w:cs="Times New Roman" w:hAnsi="Times New Roman"/>
          <w:b/>
          <w:bCs/>
          <w:sz w:val="32"/>
          <w:szCs w:val="32"/>
          <w:shd w:val="clear" w:color="auto" w:fill="FFFFFF"/>
        </w:rPr>
        <w:t>（二）部门绩效评价情况</w:t>
      </w:r>
    </w:p>
    <w:p>
      <w:pPr>
        <w:pStyle w:val="25"/>
        <w:keepNext w:val="0"/>
        <w:keepLines w:val="0"/>
        <w:pageBreakBefore w:val="0"/>
        <w:widowControl/>
        <w:kinsoku/>
        <w:wordWrap/>
        <w:overflowPunct/>
        <w:topLinePunct w:val="0"/>
        <w:autoSpaceDE w:val="0"/>
        <w:autoSpaceDN/>
        <w:bidi w:val="0"/>
        <w:adjustRightInd/>
        <w:spacing w:line="594" w:lineRule="exact"/>
        <w:ind w:left="0" w:right="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我部门未组织开展绩效评价。</w:t>
      </w:r>
    </w:p>
    <w:p>
      <w:pPr>
        <w:pStyle w:val="2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left="0" w:right="0"/>
        <w:textAlignment w:val="auto"/>
        <w:rPr>
          <w:rFonts w:ascii="Times New Roman" w:eastAsia="方正仿宋_GBK" w:cs="Times New Roman" w:hAnsi="Times New Roman"/>
          <w:sz w:val="32"/>
          <w:szCs w:val="32"/>
        </w:rPr>
      </w:pPr>
      <w:r>
        <w:rPr>
          <w:rStyle w:val="23"/>
          <w:rFonts w:ascii="Times New Roman" w:eastAsia="方正仿宋_GBK" w:cs="Times New Roman" w:hAnsi="Times New Roman"/>
          <w:sz w:val="32"/>
          <w:szCs w:val="32"/>
          <w:shd w:val="clear" w:color="auto" w:fill="FFFFFF"/>
        </w:rPr>
        <w:t xml:space="preserve"> </w:t>
      </w:r>
      <w:r>
        <w:rPr>
          <w:rStyle w:val="23"/>
          <w:rFonts w:ascii="Times New Roman" w:eastAsia="方正黑体_GBK" w:cs="Times New Roman" w:hAnsi="Times New Roman"/>
          <w:sz w:val="32"/>
          <w:szCs w:val="32"/>
          <w:shd w:val="clear" w:color="auto" w:fill="FFFFFF"/>
        </w:rPr>
        <w:t xml:space="preserve">  </w:t>
      </w:r>
      <w:r>
        <w:rPr>
          <w:rStyle w:val="20"/>
          <w:rFonts w:ascii="Times New Roman" w:eastAsia="方正黑体_GBK" w:cs="Times New Roman" w:hAnsi="Times New Roman"/>
          <w:sz w:val="32"/>
          <w:szCs w:val="32"/>
          <w:shd w:val="clear" w:color="auto" w:fill="FFFFFF"/>
        </w:rPr>
        <w:t xml:space="preserve"> 六、专业名词解释</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（一）财政拨款收入：</w:t>
      </w:r>
      <w:r>
        <w:rPr>
          <w:rFonts w:ascii="Times New Roman" w:eastAsia="方正仿宋_GBK" w:cs="Times New Roman" w:hAnsi="Times New Roman"/>
          <w:sz w:val="32"/>
          <w:szCs w:val="32"/>
          <w:shd w:val="clear" w:color="auto" w:fill="FFFFFF"/>
        </w:rPr>
        <w:t>指本年度从本级财政部门取得的财政拨款，包括一般公共预算财政拨款和政府性基金预算财政拨款。</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（二）事业收入：</w:t>
      </w:r>
      <w:r>
        <w:rPr>
          <w:rFonts w:ascii="Times New Roman" w:eastAsia="方正仿宋_GBK" w:cs="Times New Roman" w:hAnsi="Times New Roman"/>
          <w:sz w:val="32"/>
          <w:szCs w:val="32"/>
          <w:shd w:val="clear" w:color="auto" w:fill="FFFFFF"/>
        </w:rPr>
        <w:t>指事业单位开展专业业务活动及其辅助活动取得的现金流入；事业单位收到的财政专户实际核拨的教育收费等资金在此反映。</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（三）经营收入：</w:t>
      </w:r>
      <w:r>
        <w:rPr>
          <w:rFonts w:ascii="Times New Roman" w:eastAsia="方正仿宋_GBK" w:cs="Times New Roman" w:hAnsi="Times New Roman"/>
          <w:sz w:val="32"/>
          <w:szCs w:val="32"/>
          <w:shd w:val="clear" w:color="auto" w:fill="FFFFFF"/>
        </w:rPr>
        <w:t>指事业单位在专业业务活动及其辅助活动之外开展非独立核算经营活动取得的现金流入。</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（四）其他收入：</w:t>
      </w:r>
      <w:r>
        <w:rPr>
          <w:rFonts w:ascii="Times New Roman" w:eastAsia="方正仿宋_GBK" w:cs="Times New Roman" w:hAnsi="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（五）使用非财政拨款结余：</w:t>
      </w:r>
      <w:r>
        <w:rPr>
          <w:rFonts w:ascii="Times New Roman" w:eastAsia="方正仿宋_GBK" w:cs="Times New Roman" w:hAnsi="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（六）年初结转和结余：</w:t>
      </w:r>
      <w:r>
        <w:rPr>
          <w:rFonts w:ascii="Times New Roman" w:eastAsia="方正仿宋_GBK" w:cs="Times New Roman" w:hAnsi="Times New Roman"/>
          <w:sz w:val="32"/>
          <w:szCs w:val="32"/>
          <w:shd w:val="clear" w:color="auto" w:fill="FFFFFF"/>
        </w:rPr>
        <w:t>指单位上年结转本年使用的基本支出结转、项目支出结转和结余、经营结余。</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（七）结余分配：</w:t>
      </w:r>
      <w:r>
        <w:rPr>
          <w:rFonts w:ascii="Times New Roman" w:eastAsia="方正仿宋_GBK" w:cs="Times New Roman" w:hAnsi="Times New Roman"/>
          <w:sz w:val="32"/>
          <w:szCs w:val="32"/>
          <w:shd w:val="clear" w:color="auto" w:fill="FFFFFF"/>
        </w:rPr>
        <w:t>指单位按照国家有关规定，缴纳所得税、提取专用基金、转入非财政拨款结余等当年结余的分配情况。</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（八）年末结转和结余：</w:t>
      </w:r>
      <w:r>
        <w:rPr>
          <w:rFonts w:ascii="Times New Roman" w:eastAsia="方正仿宋_GBK" w:cs="Times New Roman" w:hAnsi="Times New Roman"/>
          <w:sz w:val="32"/>
          <w:szCs w:val="32"/>
          <w:shd w:val="clear" w:color="auto" w:fill="FFFFFF"/>
        </w:rPr>
        <w:t>指单位结转下年的基本支出结转、项目支出结转和结余、经营结余。</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（九）基本支出：</w:t>
      </w:r>
      <w:r>
        <w:rPr>
          <w:rFonts w:ascii="Times New Roman" w:eastAsia="方正仿宋_GBK" w:cs="Times New Roman" w:hAnsi="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（十）项目支出：</w:t>
      </w:r>
      <w:r>
        <w:rPr>
          <w:rFonts w:ascii="Times New Roman" w:eastAsia="方正仿宋_GBK" w:cs="Times New Roman" w:hAnsi="Times New Roman"/>
          <w:sz w:val="32"/>
          <w:szCs w:val="32"/>
          <w:shd w:val="clear" w:color="auto" w:fill="FFFFFF"/>
        </w:rPr>
        <w:t>指在基本支出之外为完成特定行政任务和事业发展目标所发生的支出。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（十一）经营支出：</w:t>
      </w:r>
      <w:r>
        <w:rPr>
          <w:rFonts w:ascii="Times New Roman" w:eastAsia="方正仿宋_GBK" w:cs="Times New Roman" w:hAnsi="Times New Roman"/>
          <w:sz w:val="32"/>
          <w:szCs w:val="32"/>
          <w:shd w:val="clear" w:color="auto" w:fill="FFFFFF"/>
        </w:rPr>
        <w:t>指事业单位在专业业务活动及其辅助活动之外开展非独立核算经营活动发生的支出。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（十二）“三公”经费：</w:t>
      </w:r>
      <w:r>
        <w:rPr>
          <w:rFonts w:ascii="Times New Roman" w:eastAsia="方正仿宋_GBK" w:cs="Times New Roman"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（十三）机关运行经费：</w:t>
      </w:r>
      <w:r>
        <w:rPr>
          <w:rFonts w:ascii="Times New Roman" w:eastAsia="方正仿宋_GBK" w:cs="Times New Roman"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（十四）工资福利支出（支出经济分类科目类级）：</w:t>
      </w:r>
      <w:r>
        <w:rPr>
          <w:rFonts w:ascii="Times New Roman" w:eastAsia="方正仿宋_GBK" w:cs="Times New Roman" w:hAnsi="Times New Roman"/>
          <w:sz w:val="32"/>
          <w:szCs w:val="32"/>
          <w:shd w:val="clear" w:color="auto" w:fill="FFFFFF"/>
        </w:rPr>
        <w:t>反映单位开支的在职职工和编制外长期聘用人员的各类劳动报酬，以及为上述人员缴纳的各项社会保险费等。</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（十五）商品和服务支出（支出经济分类科目类级）：</w:t>
      </w:r>
      <w:r>
        <w:rPr>
          <w:rFonts w:ascii="Times New Roman" w:eastAsia="方正仿宋_GBK" w:cs="Times New Roman" w:hAnsi="Times New Roman"/>
          <w:sz w:val="32"/>
          <w:szCs w:val="32"/>
          <w:shd w:val="clear" w:color="auto" w:fill="FFFFFF"/>
        </w:rPr>
        <w:t>反映单位购买商品和服务的支出（不包括用于购置固定资产的支出、战略性和应急储备支出）。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（十六）对个人和家庭的补助（支出经济分类科目类级）：</w:t>
      </w:r>
      <w:r>
        <w:rPr>
          <w:rFonts w:ascii="Times New Roman" w:eastAsia="方正仿宋_GBK" w:cs="Times New Roman" w:hAnsi="Times New Roman"/>
          <w:sz w:val="32"/>
          <w:szCs w:val="32"/>
          <w:shd w:val="clear" w:color="auto" w:fill="FFFFFF"/>
        </w:rPr>
        <w:t>反映用于对个人和家庭的补助支出。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Style w:val="20"/>
          <w:rFonts w:ascii="Times New Roman" w:eastAsia="方正楷体_GBK" w:cs="Times New Roman" w:hAnsi="Times New Roman"/>
          <w:sz w:val="32"/>
          <w:szCs w:val="32"/>
          <w:shd w:val="clear" w:color="auto" w:fill="FFFFFF"/>
        </w:rPr>
        <w:t>（十七）其他资本性支出（支出经济分类科目类级）：</w:t>
      </w:r>
      <w:r>
        <w:rPr>
          <w:rFonts w:ascii="Times New Roman" w:eastAsia="方正仿宋_GBK" w:cs="Times New Roman"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黑体_GBK" w:cs="Times New Roman" w:hAnsi="Times New Roman"/>
          <w:sz w:val="32"/>
          <w:szCs w:val="32"/>
        </w:rPr>
      </w:pPr>
      <w:r>
        <w:rPr>
          <w:rStyle w:val="20"/>
          <w:rFonts w:ascii="Times New Roman" w:eastAsia="方正黑体_GBK" w:cs="Times New Roman" w:hAnsi="Times New Roman"/>
          <w:sz w:val="32"/>
          <w:szCs w:val="32"/>
          <w:shd w:val="clear" w:color="auto" w:fill="FFFFFF"/>
        </w:rPr>
        <w:t>七、决算公开联系方式及信息反馈渠道</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shd w:val="clear" w:color="auto" w:fill="FFFFFF"/>
        </w:rPr>
        <w:t>本单位决算公开信息反馈和联系方式：</w:t>
      </w:r>
    </w:p>
    <w:p>
      <w:pPr>
        <w:pStyle w:val="22"/>
        <w:keepNext w:val="0"/>
        <w:keepLines w:val="0"/>
        <w:pageBreakBefore w:val="0"/>
        <w:widowControl/>
        <w:kinsoku/>
        <w:wordWrap/>
        <w:overflowPunct/>
        <w:topLinePunct w:val="0"/>
        <w:autoSpaceDN/>
        <w:bidi w:val="0"/>
        <w:adjustRightInd/>
        <w:spacing w:before="0" w:beforeAutospacing="0" w:after="0" w:afterAutospacing="0" w:line="594" w:lineRule="exact"/>
        <w:ind w:left="0" w:right="0" w:firstLineChars="200" w:firstLine="640"/>
        <w:textAlignment w:val="auto"/>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廖玲珑   023-63765145</w:t>
      </w:r>
    </w:p>
    <w:sectPr>
      <w:headerReference w:type="default" r:id="rId2"/>
      <w:footerReference w:type="default" r:id="rId3"/>
      <w:pgSz w:w="11850" w:h="16783"/>
      <w:pgMar w:top="1984" w:right="1446" w:bottom="1644" w:left="1446" w:header="0" w:footer="283"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方正黑体_GBK">
    <w:altName w:val="永中宋体"/>
    <w:panose1 w:val="03000509000000000000"/>
    <w:charset w:val="86"/>
    <w:family w:val="script"/>
    <w:pitch w:val="variable"/>
    <w:sig w:usb0="00000001" w:usb1="080E0000" w:usb2="00000000" w:usb3="00000000" w:csb0="00040000" w:csb1="00000000"/>
  </w:font>
  <w:font w:name="方正楷体_GBK">
    <w:altName w:val="永中宋体"/>
    <w:panose1 w:val="03000509000000000000"/>
    <w:charset w:val="86"/>
    <w:family w:val="script"/>
    <w:pitch w:val="variable"/>
    <w:sig w:usb0="00000001" w:usb1="080E0000" w:usb2="00000000" w:usb3="00000000" w:csb0="00040000" w:csb1="00000000"/>
  </w:font>
  <w:font w:name="方正仿宋_GBK">
    <w:altName w:val="永中宋体"/>
    <w:panose1 w:val="03000509000000000000"/>
    <w:charset w:val="86"/>
    <w:family w:val="script"/>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2" behindDoc="0" locked="0" layoutInCell="1" hidden="0" allowOverlap="0">
              <wp:simplePos x="0" y="0"/>
              <wp:positionH relativeFrom="margin">
                <wp:align>center</wp:align>
              </wp:positionH>
              <wp:positionV relativeFrom="paragraph">
                <wp:posOffset>0</wp:posOffset>
              </wp:positionV>
              <wp:extent cx="342900" cy="148018"/>
              <wp:effectExtent l="0" t="0" r="0" b="0"/>
              <wp:wrapNone/>
              <wp:docPr id="1" name="文本框 127"/>
              <wp:cNvGraphicFramePr>
                <a:graphicFrameLocks noChangeAspect="0"/>
              </wp:cNvGraphicFramePr>
              <a:graphic>
                <a:graphicData uri="http://schemas.microsoft.com/office/word/2010/wordprocessingShape">
                  <wps:wsp>
                    <wps:cNvSpPr/>
                    <wps:spPr>
                      <a:xfrm rot="0">
                        <a:off x="0" y="0"/>
                        <a:ext cx="342900" cy="148018"/>
                      </a:xfrm>
                      <a:prstGeom prst="rect"/>
                      <a:noFill/>
                      <a:ln w="6350" cmpd="sng" cap="flat">
                        <a:noFill/>
                        <a:prstDash val="solid"/>
                        <a:round/>
                      </a:ln>
                    </wps:spPr>
                    <wps:txbx id="2">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21 -</w:t>
                          </w:r>
                          <w:r>
                            <w:fldChar w:fldCharType="end"/>
                          </w:r>
                          <w:r>
                            <w:t xml:space="preserve"> </w:t>
                          </w:r>
                        </w:p>
                      </w:txbxContent>
                    </wps:txbx>
                    <wps:bodyPr vert="horz" wrap="none" lIns="0" tIns="0" rIns="0" bIns="0" anchor="t" anchorCtr="0" upright="0">
                      <a:spAutoFit/>
                    </wps:bodyPr>
                  </wps:wsp>
                </a:graphicData>
              </a:graphic>
            </wp:anchor>
          </w:drawing>
        </mc:Choice>
        <mc:Fallback>
          <w:pict>
            <v:shape type="#_x0000_t202" id="文本框 127 3" o:spid="_x0000_s3" filled="f" stroked="f" strokeweight="0.5pt" o:allowoverlap="f" style="position:absolute;margin-left:0.0pt;margin-top:0.0pt;width:27.0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21 -</w:t>
                    </w:r>
                    <w:r>
                      <w:fldChar w:fldCharType="end"/>
                    </w:r>
                    <w:r>
                      <w:t xml:space="preserve"> </w:t>
                    </w:r>
                  </w:p>
                </w:txbxContent>
              </v:textbox>
            </v:shape>
          </w:pict>
        </mc:Fallback>
      </mc:AlternateContent>
    </w:r>
    <w:r>
      <mc:AlternateContent>
        <mc:Choice Requires="wps">
          <w:drawing>
            <wp:anchor distT="0" distB="0" distL="114298" distR="114298" simplePos="0" relativeHeight="11"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4" name="文本框 126"/>
              <wp:cNvGraphicFramePr>
                <a:graphicFrameLocks noChangeAspect="0"/>
              </wp:cNvGraphicFramePr>
              <a:graphic>
                <a:graphicData uri="http://schemas.microsoft.com/office/word/2010/wordprocessingShape">
                  <wps:wsp>
                    <wps:cNvSpPr/>
                    <wps:spPr>
                      <a:xfrm rot="0">
                        <a:off x="0" y="0"/>
                        <a:ext cx="581024" cy="220979"/>
                      </a:xfrm>
                      <a:prstGeom prst="rect"/>
                      <a:noFill/>
                      <a:ln w="6350" cmpd="sng" cap="flat">
                        <a:noFill/>
                        <a:prstDash val="solid"/>
                        <a:round/>
                      </a:ln>
                    </wps:spPr>
                    <wps:txbx id="5">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0">
                      <a:noAutofit/>
                    </wps:bodyPr>
                  </wps:wsp>
                </a:graphicData>
              </a:graphic>
            </wp:anchor>
          </w:drawing>
        </mc:Choice>
        <mc:Fallback>
          <w:pict>
            <v:shape type="#_x0000_t202" id="文本框 126 6" o:spid="_x0000_s6" filled="f" stroked="f" strokeweight="0.5pt" o:allowoverlap="f" style="position:absolute;margin-left:0.0pt;margin-top:1160.4pt;width:45.74999pt;height:17.399973pt;z-index:11;mso-position-horizontal:center;mso-position-horizontal-relative:margin;mso-position-vertical:absolute;mso-position-vertical-relative:page;mso-wrap-distance-left:8.999863pt;mso-wrap-distance-right:8.999863pt;mso-wrap-style:none;">
              <v:stroke color="#000000"/>
              <v:textbox id="849"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EC42B848"/>
    <w:multiLevelType w:val="singleLevel"/>
    <w:tmpl w:val="EC42B848"/>
    <w:lvl w:ilvl="0">
      <w:start w:val="6"/>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65"/>
  <w:displayHorizontalDrawingGridEvery w:val="0"/>
  <w:displayVerticalDrawingGridEvery w:val="2"/>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OGQwYWQ1YTE0ZDA0NjgxYzlhMjZlMDExNTFmMWI3M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列出段落3"/>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12</Pages>
  <Words>5230</Words>
  <Characters>6055</Characters>
  <Lines>246</Lines>
  <Paragraphs>80</Paragraphs>
  <CharactersWithSpaces>6071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11</cp:revision>
  <dcterms:created xsi:type="dcterms:W3CDTF">2025-06-26T07:40:00Z</dcterms:created>
  <dcterms:modified xsi:type="dcterms:W3CDTF">2025-10-17T06:26:25Z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48D539FCE2B34E1FB39DB9CE4CF55D90_13</vt:lpwstr>
  </property>
  <property fmtid="{D5CDD505-2E9C-101B-9397-08002B2CF9AE}" pid="4" name="KSOTemplateDocerSaveRecord">
    <vt:lpwstr>eyJoZGlkIjoiMmUzOWE4MWNiMTQ5NGY3ZDA4OWU3MDE3NTUzMzU2ZDkiLCJ1c2VySWQiOiIxNTgzNTI3NDI3In0=</vt:lpwstr>
  </property>
</Properties>
</file>