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19"/>
        <w:spacing w:before="0" w:beforeAutospacing="0" w:after="0" w:afterAutospacing="0" w:line="596" w:lineRule="exact"/>
        <w:jc w:val="center"/>
        <w:rPr>
          <w:rFonts w:ascii="方正小标宋_GBK" w:eastAsia="方正小标宋_GBK" w:cs="方正小标宋_GBK"/>
          <w:sz w:val="44"/>
          <w:szCs w:val="44"/>
        </w:rPr>
      </w:pPr>
      <w:r>
        <w:rPr>
          <w:rFonts w:ascii="方正小标宋_GBK" w:eastAsia="方正小标宋_GBK" w:cs="方正小标宋_GBK"/>
          <w:sz w:val="44"/>
          <w:szCs w:val="44"/>
        </w:rPr>
        <w:t>重庆市渝中区卫生健康委员会（本级）</w:t>
      </w:r>
    </w:p>
    <w:p>
      <w:pPr>
        <w:pStyle w:val="19"/>
        <w:spacing w:before="0" w:beforeAutospacing="0" w:after="0" w:afterAutospacing="0" w:line="596" w:lineRule="exact"/>
        <w:jc w:val="center"/>
        <w:rPr>
          <w:rFonts w:ascii="方正小标宋_GBK" w:eastAsia="方正小标宋_GBK" w:cs="方正小标宋_GBK"/>
          <w:sz w:val="44"/>
          <w:szCs w:val="44"/>
          <w:shd w:val="clear" w:color="auto" w:fill="FFFFFF"/>
        </w:rPr>
      </w:pPr>
      <w:r>
        <w:rPr>
          <w:rFonts w:ascii="Times New Roman" w:eastAsia="方正小标宋_GBK" w:hAnsi="Times New Roman"/>
          <w:sz w:val="44"/>
          <w:szCs w:val="44"/>
          <w:shd w:val="clear" w:color="auto" w:fill="FFFFFF"/>
        </w:rPr>
        <w:t>2024</w:t>
      </w:r>
      <w:r>
        <w:rPr>
          <w:rFonts w:ascii="方正小标宋_GBK" w:eastAsia="方正小标宋_GBK" w:cs="方正小标宋_GBK"/>
          <w:sz w:val="44"/>
          <w:szCs w:val="44"/>
          <w:shd w:val="clear" w:color="auto" w:fill="FFFFFF"/>
        </w:rPr>
        <w:t>年度决算公开说明</w:t>
      </w:r>
    </w:p>
    <w:p>
      <w:pPr>
        <w:pStyle w:val="19"/>
        <w:shd w:val="clear" w:color="auto" w:fill="FFFFFF"/>
        <w:spacing w:before="0" w:beforeAutospacing="0" w:after="0" w:afterAutospacing="0" w:line="596" w:lineRule="exact"/>
        <w:ind w:firstLineChars="200" w:firstLine="640"/>
        <w:rPr>
          <w:rStyle w:val="20"/>
          <w:rFonts w:ascii="黑体" w:eastAsia="黑体" w:cs="黑体"/>
          <w:sz w:val="32"/>
          <w:szCs w:val="32"/>
          <w:shd w:val="clear" w:color="auto" w:fill="FFFFFF"/>
        </w:rPr>
      </w:pPr>
      <w:r>
        <w:rPr>
          <w:rStyle w:val="20"/>
          <w:rFonts w:ascii="黑体" w:eastAsia="黑体" w:cs="黑体"/>
          <w:sz w:val="32"/>
          <w:szCs w:val="32"/>
          <w:shd w:val="clear" w:color="auto" w:fill="FFFFFF"/>
        </w:rPr>
        <w:t>一、单位基本情况</w:t>
      </w:r>
    </w:p>
    <w:p>
      <w:pPr>
        <w:pStyle w:val="19"/>
        <w:shd w:val="clear" w:color="auto" w:fill="FFFFFF"/>
        <w:ind w:firstLine="420"/>
        <w:rPr>
          <w:rFonts w:ascii="方正仿宋_GBK" w:eastAsia="方正仿宋_GBK" w:cs="方正仿宋_GBK"/>
          <w:sz w:val="32"/>
          <w:szCs w:val="32"/>
        </w:rPr>
      </w:pPr>
      <w:r>
        <w:rPr>
          <w:rStyle w:val="20"/>
          <w:rFonts w:ascii="楷体" w:eastAsia="楷体" w:cs="楷体"/>
          <w:sz w:val="32"/>
          <w:szCs w:val="32"/>
          <w:shd w:val="clear" w:color="auto" w:fill="FFFFFF"/>
        </w:rPr>
        <w:t>（一）职能职责</w:t>
      </w:r>
    </w:p>
    <w:p>
      <w:pPr>
        <w:spacing w:line="594" w:lineRule="exact"/>
        <w:ind w:firstLine="601"/>
        <w:jc w:val="both"/>
        <w:rPr>
          <w:rFonts w:ascii="方正仿宋_GBK" w:eastAsia="方正仿宋_GBK" w:cs="方正仿宋_GBK"/>
          <w:sz w:val="30"/>
          <w:szCs w:val="30"/>
        </w:rPr>
      </w:pPr>
      <w:r>
        <w:rPr>
          <w:rFonts w:ascii="方正仿宋_GBK" w:eastAsia="方正仿宋_GBK" w:cs="方正仿宋_GBK"/>
          <w:sz w:val="30"/>
          <w:szCs w:val="30"/>
        </w:rPr>
        <w:t>重庆市渝中区卫生健康委员会为区政府工作部门，主要职责是：1、贯彻执行国民健康和卫生健康事业发展的法规、规章、政策、标准。2、协调推进全区深化医药卫生体制改革，研究提出深化医药卫生体制改革重大政策、措施的建议。3、制定并组织落实全区疾病预防控制规划、免疫规划以及严重危害人民健康公共卫生问题的干预措施，根据国家检疫传染病和监测传染病目录开展相关工作。4、组织拟订并协调落实应对人口老龄化改革措施，负责推进全区老年健康服务体系建设和医养结合工作。5、落实国家药物政策和国家基本药物制度。6、负责职责范围内的职业卫生、放射卫生、环境卫生、学校卫生、公共场所卫生、饮用水卫生等公共卫生监督管理，负责传染病防治监督、卫生健康机构安全监督管理。7、组织实施医疗机构、医疗服务行业管理办法，建立医疗机构的医疗服务评价和监督体系。8、负责计划生育管理和服务工作，开展人口监测预警，研究提出人口与家庭发展相关政策建议，落实计划生育政策。9、负责机关、所属单位和行业社会组织党建工作。10、负责区级保健对象和高层次人才的医疗保健工作。11、拟定中医药中长期发展规划，并纳入全区卫生健康事业发展总体规划和战略目标。12、负责动物疫病防控和疫情管理工作。13、承担重庆市渝中区深化医药卫生体制改革领导小组、重庆市渝中区干部保健委员会、重庆市渝中区老龄工作委员会、重庆市渝中区防治艾滋病工作委员会、重庆市渝中区爱国卫生运动委员会的日常工作。14、负责行业安全生产监管工作。15、受区委委托，管理重庆市渝中区红十字会机关党务、人事、群团工作，代管重庆市渝中区计划生育协会机关。16、完成区委、区政府交办的其他任务。17、职能转变。区卫生健康委应当牢固树立大卫生、大健康理念，推动实施健康中国战略渝中实践，以改革创新为动力，以促健康、转模式、强基层、重保障为着力点，把治病为中心转变到以人民健康为中心，为人民群众提供全方位全周期健康服务。</w:t>
      </w:r>
    </w:p>
    <w:p>
      <w:pPr>
        <w:pStyle w:val="19"/>
        <w:shd w:val="clear" w:color="auto" w:fill="FFFFFF"/>
        <w:ind w:firstLine="420"/>
        <w:rPr>
          <w:rFonts w:ascii="楷体" w:eastAsia="楷体" w:cs="楷体"/>
          <w:sz w:val="32"/>
          <w:szCs w:val="32"/>
        </w:rPr>
      </w:pPr>
      <w:r>
        <w:rPr>
          <w:rStyle w:val="20"/>
          <w:rFonts w:ascii="楷体" w:eastAsia="楷体" w:cs="楷体"/>
          <w:sz w:val="32"/>
          <w:szCs w:val="32"/>
          <w:shd w:val="clear" w:color="auto" w:fill="FFFFFF"/>
        </w:rPr>
        <w:t>（二）机构设置</w:t>
      </w:r>
    </w:p>
    <w:p>
      <w:pPr>
        <w:spacing w:line="594" w:lineRule="exact"/>
        <w:ind w:rightChars="200" w:right="480" w:firstLineChars="200" w:firstLine="600"/>
        <w:jc w:val="both"/>
        <w:rPr>
          <w:rFonts w:ascii="方正仿宋_GBK" w:eastAsia="方正仿宋_GBK" w:cs="方正仿宋_GBK"/>
          <w:sz w:val="32"/>
          <w:szCs w:val="32"/>
        </w:rPr>
      </w:pPr>
      <w:r>
        <w:rPr>
          <w:rFonts w:ascii="方正仿宋_GBK" w:eastAsia="方正仿宋_GBK" w:cs="方正仿宋_GBK"/>
          <w:sz w:val="30"/>
          <w:szCs w:val="30"/>
        </w:rPr>
        <w:t>部门内设11个职能科室，14个直属事业单位、2个群团组织。</w:t>
      </w:r>
    </w:p>
    <w:p>
      <w:pPr>
        <w:pStyle w:val="19"/>
        <w:shd w:val="clear" w:color="auto" w:fill="FFFFFF"/>
        <w:spacing w:before="0" w:beforeAutospacing="0" w:after="0" w:afterAutospacing="0" w:line="596" w:lineRule="exact"/>
        <w:ind w:firstLineChars="200" w:firstLine="640"/>
        <w:rPr>
          <w:rFonts w:ascii="方正仿宋_GBK" w:eastAsia="方正仿宋_GBK" w:cs="方正仿宋_GBK"/>
          <w:sz w:val="32"/>
          <w:szCs w:val="32"/>
        </w:rPr>
      </w:pPr>
      <w:r>
        <w:rPr>
          <w:rStyle w:val="20"/>
          <w:rFonts w:ascii="黑体" w:eastAsia="黑体" w:cs="黑体"/>
          <w:sz w:val="32"/>
          <w:szCs w:val="32"/>
          <w:shd w:val="clear" w:color="auto" w:fill="FFFFFF"/>
        </w:rPr>
        <w:t>二、单位决算收支情况说明</w:t>
      </w:r>
    </w:p>
    <w:p>
      <w:pPr>
        <w:pStyle w:val="21"/>
        <w:autoSpaceDE w:val="0"/>
        <w:rPr>
          <w:rFonts w:ascii="楷体" w:eastAsia="楷体" w:cs="楷体"/>
          <w:b/>
          <w:bCs/>
          <w:sz w:val="32"/>
          <w:szCs w:val="32"/>
          <w:shd w:val="clear" w:color="auto" w:fill="FFFFFF"/>
        </w:rPr>
      </w:pPr>
      <w:r>
        <w:rPr>
          <w:rFonts w:ascii="楷体" w:eastAsia="楷体" w:cs="楷体" w:hint="eastAsia"/>
          <w:b/>
          <w:bCs/>
          <w:sz w:val="32"/>
          <w:szCs w:val="32"/>
          <w:shd w:val="clear" w:color="auto" w:fill="FFFFFF"/>
        </w:rPr>
        <w:t>（一）收入支出决算总体情况说明。</w:t>
      </w:r>
    </w:p>
    <w:p>
      <w:pPr>
        <w:pStyle w:val="19"/>
        <w:shd w:val="clear" w:color="auto" w:fill="FFFFFF"/>
        <w:ind w:firstLineChars="200" w:firstLine="640"/>
        <w:rPr>
          <w:rFonts w:ascii="方正仿宋_GBK" w:eastAsia="方正仿宋_GBK" w:cs="方正仿宋_GBK"/>
          <w:sz w:val="32"/>
          <w:szCs w:val="32"/>
        </w:rPr>
      </w:pPr>
      <w:r>
        <w:rPr>
          <w:rStyle w:val="20"/>
          <w:rFonts w:ascii="方正仿宋_GBK" w:eastAsia="方正仿宋_GBK" w:cs="方正仿宋_GBK"/>
          <w:sz w:val="32"/>
          <w:szCs w:val="32"/>
          <w:shd w:val="clear" w:color="auto" w:fill="FFFFFF"/>
        </w:rPr>
        <w:t>1.总体情况。</w:t>
      </w:r>
      <w:r>
        <w:rPr>
          <w:rFonts w:ascii="方正仿宋_GBK" w:eastAsia="方正仿宋_GBK" w:cs="方正仿宋_GBK"/>
          <w:sz w:val="32"/>
          <w:szCs w:val="32"/>
          <w:shd w:val="clear" w:color="auto" w:fill="FFFFFF"/>
        </w:rPr>
        <w:t>2024年度收入总计7245.68万元，支出总计</w:t>
      </w:r>
      <w:r>
        <w:rPr>
          <w:rFonts w:ascii="方正仿宋_GBK" w:eastAsia="方正仿宋_GBK" w:cs="方正仿宋_GBK"/>
          <w:sz w:val="32"/>
          <w:szCs w:val="32"/>
        </w:rPr>
        <w:t>7245.68</w:t>
      </w:r>
      <w:r>
        <w:rPr>
          <w:rFonts w:ascii="方正仿宋_GBK" w:eastAsia="方正仿宋_GBK" w:cs="方正仿宋_GBK"/>
          <w:sz w:val="32"/>
          <w:szCs w:val="32"/>
          <w:shd w:val="clear" w:color="auto" w:fill="FFFFFF"/>
        </w:rPr>
        <w:t>万元。收、支与2023年度相比，减少19568.02万元，下降73.0%，主要原因是主要原因是2024年</w:t>
      </w:r>
      <w:r>
        <w:rPr>
          <w:rFonts w:ascii="方正仿宋_GBK" w:eastAsia="方正仿宋_GBK" w:cs="方正仿宋_GBK" w:hint="eastAsia"/>
          <w:sz w:val="32"/>
          <w:szCs w:val="32"/>
          <w:shd w:val="clear" w:color="auto" w:fill="FFFFFF"/>
          <w:lang w:eastAsia="zh-CN"/>
        </w:rPr>
        <w:t>无</w:t>
      </w:r>
      <w:r>
        <w:rPr>
          <w:rFonts w:ascii="方正仿宋_GBK" w:eastAsia="方正仿宋_GBK" w:cs="方正仿宋_GBK"/>
          <w:sz w:val="32"/>
          <w:szCs w:val="32"/>
          <w:shd w:val="clear" w:color="auto" w:fill="FFFFFF"/>
        </w:rPr>
        <w:t>专项债资金预算安排和部门项目整体压减支出。</w:t>
      </w:r>
    </w:p>
    <w:p>
      <w:pPr>
        <w:pStyle w:val="19"/>
        <w:snapToGrid w:val="0"/>
        <w:spacing w:before="0" w:beforeAutospacing="0" w:after="0" w:afterAutospacing="0" w:line="600" w:lineRule="exact"/>
        <w:ind w:firstLineChars="200" w:firstLine="640"/>
        <w:jc w:val="both"/>
        <w:rPr>
          <w:rFonts w:ascii="方正仿宋_GBK" w:eastAsia="方正仿宋_GBK" w:cs="方正仿宋_GBK"/>
          <w:sz w:val="32"/>
          <w:szCs w:val="32"/>
          <w:shd w:val="clear" w:color="auto" w:fill="FFFFFF"/>
        </w:rPr>
      </w:pPr>
      <w:r>
        <w:rPr>
          <w:rStyle w:val="20"/>
          <w:rFonts w:ascii="方正仿宋_GBK" w:eastAsia="方正仿宋_GBK" w:cs="方正仿宋_GBK"/>
          <w:sz w:val="32"/>
          <w:szCs w:val="32"/>
          <w:shd w:val="clear" w:color="auto" w:fill="FFFFFF"/>
        </w:rPr>
        <w:t>2.收入情况。</w:t>
      </w:r>
      <w:r>
        <w:rPr>
          <w:rFonts w:ascii="方正仿宋_GBK" w:eastAsia="方正仿宋_GBK" w:cs="方正仿宋_GBK"/>
          <w:sz w:val="32"/>
          <w:szCs w:val="32"/>
          <w:shd w:val="clear" w:color="auto" w:fill="FFFFFF"/>
        </w:rPr>
        <w:t>2024年度收入合计7239.19万元，与2023年度相比，减少19574.51万元，下降73.0%，主要原因是2024年</w:t>
      </w:r>
      <w:r>
        <w:rPr>
          <w:rFonts w:ascii="方正仿宋_GBK" w:eastAsia="方正仿宋_GBK" w:cs="方正仿宋_GBK" w:hint="eastAsia"/>
          <w:sz w:val="32"/>
          <w:szCs w:val="32"/>
          <w:shd w:val="clear" w:color="auto" w:fill="FFFFFF"/>
          <w:lang w:eastAsia="zh-CN"/>
        </w:rPr>
        <w:t>无</w:t>
      </w:r>
      <w:r>
        <w:rPr>
          <w:rFonts w:ascii="方正仿宋_GBK" w:eastAsia="方正仿宋_GBK" w:cs="方正仿宋_GBK"/>
          <w:sz w:val="32"/>
          <w:szCs w:val="32"/>
          <w:shd w:val="clear" w:color="auto" w:fill="FFFFFF"/>
        </w:rPr>
        <w:t>专项债资金预算安排和部门项目整体压减支出</w:t>
      </w:r>
      <w:r>
        <w:rPr>
          <w:rFonts w:ascii="方正仿宋_GBK" w:eastAsia="方正仿宋_GBK" w:cs="方正仿宋_GBK" w:hint="eastAsia"/>
          <w:sz w:val="32"/>
          <w:szCs w:val="32"/>
          <w:shd w:val="clear" w:color="auto" w:fill="FFFFFF"/>
          <w:lang w:eastAsia="zh-CN"/>
        </w:rPr>
        <w:t>。</w:t>
      </w:r>
      <w:r>
        <w:rPr>
          <w:rFonts w:ascii="方正仿宋_GBK" w:eastAsia="方正仿宋_GBK" w:cs="方正仿宋_GBK"/>
          <w:sz w:val="32"/>
          <w:szCs w:val="32"/>
          <w:shd w:val="clear" w:color="auto" w:fill="FFFFFF"/>
        </w:rPr>
        <w:t>其中：财政拨款收入</w:t>
      </w:r>
      <w:r>
        <w:rPr>
          <w:rFonts w:ascii="方正仿宋_GBK" w:eastAsia="方正仿宋_GBK" w:cs="方正仿宋_GBK"/>
          <w:sz w:val="32"/>
          <w:szCs w:val="32"/>
        </w:rPr>
        <w:t>7239.19</w:t>
      </w:r>
      <w:r>
        <w:rPr>
          <w:rFonts w:ascii="方正仿宋_GBK" w:eastAsia="方正仿宋_GBK" w:cs="方正仿宋_GBK"/>
          <w:sz w:val="32"/>
          <w:szCs w:val="32"/>
          <w:shd w:val="clear" w:color="auto" w:fill="FFFFFF"/>
        </w:rPr>
        <w:t>万元，占</w:t>
      </w:r>
      <w:r>
        <w:rPr>
          <w:rFonts w:ascii="方正仿宋_GBK" w:eastAsia="方正仿宋_GBK" w:cs="方正仿宋_GBK"/>
          <w:sz w:val="32"/>
          <w:szCs w:val="32"/>
        </w:rPr>
        <w:t>100.00</w:t>
      </w:r>
      <w:r>
        <w:rPr>
          <w:rFonts w:ascii="方正仿宋_GBK" w:eastAsia="方正仿宋_GBK" w:cs="方正仿宋_GBK"/>
          <w:sz w:val="32"/>
          <w:szCs w:val="32"/>
          <w:shd w:val="clear" w:color="auto" w:fill="FFFFFF"/>
        </w:rPr>
        <w:t>%；事业收入</w:t>
      </w:r>
      <w:r>
        <w:rPr>
          <w:rFonts w:ascii="方正仿宋_GBK" w:eastAsia="方正仿宋_GBK" w:cs="方正仿宋_GBK"/>
          <w:sz w:val="32"/>
          <w:szCs w:val="32"/>
        </w:rPr>
        <w:t>0.00</w:t>
      </w:r>
      <w:r>
        <w:rPr>
          <w:rFonts w:ascii="方正仿宋_GBK" w:eastAsia="方正仿宋_GBK" w:cs="方正仿宋_GBK"/>
          <w:sz w:val="32"/>
          <w:szCs w:val="32"/>
          <w:shd w:val="clear" w:color="auto" w:fill="FFFFFF"/>
        </w:rPr>
        <w:t>万元，占0.00%；经营收入</w:t>
      </w:r>
      <w:r>
        <w:rPr>
          <w:rFonts w:ascii="方正仿宋_GBK" w:eastAsia="方正仿宋_GBK" w:cs="方正仿宋_GBK"/>
          <w:sz w:val="32"/>
          <w:szCs w:val="32"/>
        </w:rPr>
        <w:t>0.00</w:t>
      </w:r>
      <w:r>
        <w:rPr>
          <w:rFonts w:ascii="方正仿宋_GBK" w:eastAsia="方正仿宋_GBK" w:cs="方正仿宋_GBK"/>
          <w:sz w:val="32"/>
          <w:szCs w:val="32"/>
          <w:shd w:val="clear" w:color="auto" w:fill="FFFFFF"/>
        </w:rPr>
        <w:t>万元，占0.00%；其他收入</w:t>
      </w:r>
      <w:r>
        <w:rPr>
          <w:rFonts w:ascii="方正仿宋_GBK" w:eastAsia="方正仿宋_GBK" w:cs="方正仿宋_GBK"/>
          <w:sz w:val="32"/>
          <w:szCs w:val="32"/>
        </w:rPr>
        <w:t>0.00</w:t>
      </w:r>
      <w:r>
        <w:rPr>
          <w:rFonts w:ascii="方正仿宋_GBK" w:eastAsia="方正仿宋_GBK" w:cs="方正仿宋_GBK"/>
          <w:sz w:val="32"/>
          <w:szCs w:val="32"/>
          <w:shd w:val="clear" w:color="auto" w:fill="FFFFFF"/>
        </w:rPr>
        <w:t>万元，占0.00%。此外，使用非财政拨款结余和专用结余</w:t>
      </w:r>
      <w:r>
        <w:rPr>
          <w:rFonts w:ascii="方正仿宋_GBK" w:eastAsia="方正仿宋_GBK" w:cs="方正仿宋_GBK"/>
          <w:sz w:val="32"/>
          <w:szCs w:val="32"/>
        </w:rPr>
        <w:t>0.00</w:t>
      </w:r>
      <w:r>
        <w:rPr>
          <w:rFonts w:ascii="方正仿宋_GBK" w:eastAsia="方正仿宋_GBK" w:cs="方正仿宋_GBK"/>
          <w:sz w:val="32"/>
          <w:szCs w:val="32"/>
          <w:shd w:val="clear" w:color="auto" w:fill="FFFFFF"/>
        </w:rPr>
        <w:t>万元，年初结转和结余</w:t>
      </w:r>
      <w:r>
        <w:rPr>
          <w:rFonts w:ascii="方正仿宋_GBK" w:eastAsia="方正仿宋_GBK" w:cs="方正仿宋_GBK"/>
          <w:sz w:val="32"/>
          <w:szCs w:val="32"/>
        </w:rPr>
        <w:t>6.48</w:t>
      </w:r>
      <w:r>
        <w:rPr>
          <w:rFonts w:ascii="方正仿宋_GBK" w:eastAsia="方正仿宋_GBK" w:cs="方正仿宋_GBK"/>
          <w:sz w:val="32"/>
          <w:szCs w:val="32"/>
          <w:shd w:val="clear" w:color="auto" w:fill="FFFFFF"/>
        </w:rPr>
        <w:t>万元。</w:t>
      </w:r>
    </w:p>
    <w:p>
      <w:pPr>
        <w:pStyle w:val="19"/>
        <w:snapToGrid w:val="0"/>
        <w:spacing w:before="0" w:beforeAutospacing="0" w:after="0" w:afterAutospacing="0" w:line="600" w:lineRule="exact"/>
        <w:ind w:firstLineChars="200" w:firstLine="640"/>
        <w:jc w:val="both"/>
        <w:rPr>
          <w:rFonts w:ascii="方正仿宋_GBK" w:eastAsia="方正仿宋_GBK" w:cs="方正仿宋_GBK"/>
          <w:sz w:val="32"/>
          <w:szCs w:val="32"/>
          <w:shd w:val="clear" w:color="auto" w:fill="FFFFFF"/>
        </w:rPr>
      </w:pPr>
      <w:r>
        <w:rPr>
          <w:rStyle w:val="20"/>
          <w:rFonts w:ascii="方正仿宋_GBK" w:eastAsia="方正仿宋_GBK" w:cs="方正仿宋_GBK"/>
          <w:sz w:val="32"/>
          <w:szCs w:val="32"/>
          <w:shd w:val="clear" w:color="auto" w:fill="FFFFFF"/>
        </w:rPr>
        <w:t>3.支出情况。</w:t>
      </w:r>
      <w:r>
        <w:rPr>
          <w:rFonts w:ascii="方正仿宋_GBK" w:eastAsia="方正仿宋_GBK" w:cs="方正仿宋_GBK"/>
          <w:sz w:val="32"/>
          <w:szCs w:val="32"/>
          <w:shd w:val="clear" w:color="auto" w:fill="FFFFFF"/>
        </w:rPr>
        <w:t>2024年度支出合计</w:t>
      </w:r>
      <w:r>
        <w:rPr>
          <w:rFonts w:ascii="方正仿宋_GBK" w:eastAsia="方正仿宋_GBK" w:cs="方正仿宋_GBK"/>
          <w:sz w:val="32"/>
          <w:szCs w:val="32"/>
        </w:rPr>
        <w:t>7245.68</w:t>
      </w:r>
      <w:r>
        <w:rPr>
          <w:rFonts w:ascii="方正仿宋_GBK" w:eastAsia="方正仿宋_GBK" w:cs="方正仿宋_GBK"/>
          <w:sz w:val="32"/>
          <w:szCs w:val="32"/>
          <w:shd w:val="clear" w:color="auto" w:fill="FFFFFF"/>
        </w:rPr>
        <w:t>万元，与2023年度相比，减少19568.02万元，下降73.0%，主要原因是2024年</w:t>
      </w:r>
      <w:r>
        <w:rPr>
          <w:rFonts w:ascii="方正仿宋_GBK" w:eastAsia="方正仿宋_GBK" w:cs="方正仿宋_GBK" w:hint="eastAsia"/>
          <w:sz w:val="32"/>
          <w:szCs w:val="32"/>
          <w:shd w:val="clear" w:color="auto" w:fill="FFFFFF"/>
          <w:lang w:eastAsia="zh-CN"/>
        </w:rPr>
        <w:t>无</w:t>
      </w:r>
      <w:r>
        <w:rPr>
          <w:rFonts w:ascii="方正仿宋_GBK" w:eastAsia="方正仿宋_GBK" w:cs="方正仿宋_GBK"/>
          <w:sz w:val="32"/>
          <w:szCs w:val="32"/>
          <w:shd w:val="clear" w:color="auto" w:fill="FFFFFF"/>
        </w:rPr>
        <w:t>专项债资金预算安排和部门项目整体压减支出。其中：基本支出</w:t>
      </w:r>
      <w:r>
        <w:rPr>
          <w:rFonts w:ascii="方正仿宋_GBK" w:eastAsia="方正仿宋_GBK" w:cs="方正仿宋_GBK"/>
          <w:sz w:val="32"/>
          <w:szCs w:val="32"/>
        </w:rPr>
        <w:t>731.84</w:t>
      </w:r>
      <w:r>
        <w:rPr>
          <w:rFonts w:ascii="方正仿宋_GBK" w:eastAsia="方正仿宋_GBK" w:cs="方正仿宋_GBK"/>
          <w:sz w:val="32"/>
          <w:szCs w:val="32"/>
          <w:shd w:val="clear" w:color="auto" w:fill="FFFFFF"/>
        </w:rPr>
        <w:t>万元，占10.10%；项目支出</w:t>
      </w:r>
      <w:r>
        <w:rPr>
          <w:rFonts w:ascii="方正仿宋_GBK" w:eastAsia="方正仿宋_GBK" w:cs="方正仿宋_GBK"/>
          <w:sz w:val="32"/>
          <w:szCs w:val="32"/>
        </w:rPr>
        <w:t>6513.84</w:t>
      </w:r>
      <w:r>
        <w:rPr>
          <w:rFonts w:ascii="方正仿宋_GBK" w:eastAsia="方正仿宋_GBK" w:cs="方正仿宋_GBK"/>
          <w:sz w:val="32"/>
          <w:szCs w:val="32"/>
          <w:shd w:val="clear" w:color="auto" w:fill="FFFFFF"/>
        </w:rPr>
        <w:t>万元，占89.90%；经营支出</w:t>
      </w:r>
      <w:r>
        <w:rPr>
          <w:rFonts w:ascii="方正仿宋_GBK" w:eastAsia="方正仿宋_GBK" w:cs="方正仿宋_GBK"/>
          <w:sz w:val="32"/>
          <w:szCs w:val="32"/>
        </w:rPr>
        <w:t>0.00</w:t>
      </w:r>
      <w:r>
        <w:rPr>
          <w:rFonts w:ascii="方正仿宋_GBK" w:eastAsia="方正仿宋_GBK" w:cs="方正仿宋_GBK"/>
          <w:sz w:val="32"/>
          <w:szCs w:val="32"/>
          <w:shd w:val="clear" w:color="auto" w:fill="FFFFFF"/>
        </w:rPr>
        <w:t>万元，占0.00%。此外，结余分配</w:t>
      </w:r>
      <w:r>
        <w:rPr>
          <w:rFonts w:ascii="方正仿宋_GBK" w:eastAsia="方正仿宋_GBK" w:cs="方正仿宋_GBK"/>
          <w:sz w:val="32"/>
          <w:szCs w:val="32"/>
        </w:rPr>
        <w:t>0.00</w:t>
      </w:r>
      <w:r>
        <w:rPr>
          <w:rFonts w:ascii="方正仿宋_GBK" w:eastAsia="方正仿宋_GBK" w:cs="方正仿宋_GBK"/>
          <w:sz w:val="32"/>
          <w:szCs w:val="32"/>
          <w:shd w:val="clear" w:color="auto" w:fill="FFFFFF"/>
        </w:rPr>
        <w:t>万元。</w:t>
      </w:r>
    </w:p>
    <w:p>
      <w:pPr>
        <w:pStyle w:val="19"/>
        <w:snapToGrid w:val="0"/>
        <w:spacing w:before="0" w:beforeAutospacing="0" w:after="0" w:afterAutospacing="0" w:line="600" w:lineRule="exact"/>
        <w:ind w:firstLineChars="200" w:firstLine="640"/>
        <w:jc w:val="both"/>
        <w:rPr>
          <w:rFonts w:ascii="方正仿宋_GBK" w:eastAsia="方正仿宋_GBK" w:cs="方正仿宋_GBK" w:hint="eastAsia"/>
          <w:sz w:val="32"/>
          <w:szCs w:val="32"/>
          <w:lang w:eastAsia="zh-CN"/>
        </w:rPr>
      </w:pPr>
      <w:r>
        <w:rPr>
          <w:rStyle w:val="20"/>
          <w:rFonts w:ascii="方正仿宋_GBK" w:eastAsia="方正仿宋_GBK" w:cs="方正仿宋_GBK"/>
          <w:sz w:val="32"/>
          <w:szCs w:val="32"/>
          <w:shd w:val="clear" w:color="auto" w:fill="FFFFFF"/>
        </w:rPr>
        <w:t>4.结转结余情况。</w:t>
      </w:r>
      <w:r>
        <w:rPr>
          <w:rFonts w:ascii="方正仿宋_GBK" w:eastAsia="方正仿宋_GBK" w:cs="方正仿宋_GBK"/>
          <w:sz w:val="32"/>
          <w:szCs w:val="32"/>
          <w:shd w:val="clear" w:color="auto" w:fill="FFFFFF"/>
        </w:rPr>
        <w:t>2024年度年末结转和结余</w:t>
      </w:r>
      <w:r>
        <w:rPr>
          <w:rFonts w:ascii="方正仿宋_GBK" w:eastAsia="方正仿宋_GBK" w:cs="方正仿宋_GBK"/>
          <w:sz w:val="32"/>
          <w:szCs w:val="32"/>
        </w:rPr>
        <w:t>0.00</w:t>
      </w:r>
      <w:r>
        <w:rPr>
          <w:rFonts w:ascii="方正仿宋_GBK" w:eastAsia="方正仿宋_GBK" w:cs="方正仿宋_GBK"/>
          <w:sz w:val="32"/>
          <w:szCs w:val="32"/>
          <w:shd w:val="clear" w:color="auto" w:fill="FFFFFF"/>
        </w:rPr>
        <w:t>万元，与2023年度相比，无增减</w:t>
      </w:r>
      <w:r>
        <w:rPr>
          <w:rFonts w:ascii="方正仿宋_GBK" w:eastAsia="方正仿宋_GBK" w:cs="方正仿宋_GBK" w:hint="eastAsia"/>
          <w:sz w:val="32"/>
          <w:szCs w:val="32"/>
          <w:shd w:val="clear" w:color="auto" w:fill="FFFFFF"/>
          <w:lang w:eastAsia="zh-CN"/>
        </w:rPr>
        <w:t>。</w:t>
      </w:r>
    </w:p>
    <w:p>
      <w:pPr>
        <w:pStyle w:val="21"/>
        <w:autoSpaceDE w:val="0"/>
        <w:rPr>
          <w:rFonts w:ascii="楷体" w:eastAsia="楷体" w:cs="楷体"/>
          <w:b/>
          <w:bCs/>
          <w:sz w:val="32"/>
          <w:szCs w:val="32"/>
          <w:shd w:val="clear" w:color="auto" w:fill="FFFFFF"/>
        </w:rPr>
      </w:pPr>
      <w:r>
        <w:rPr>
          <w:rFonts w:ascii="楷体" w:eastAsia="楷体" w:cs="楷体" w:hint="eastAsia"/>
          <w:b/>
          <w:bCs/>
          <w:sz w:val="32"/>
          <w:szCs w:val="32"/>
          <w:shd w:val="clear" w:color="auto" w:fill="FFFFFF"/>
        </w:rPr>
        <w:t>（二）财政拨款收入支出决算总体情况说明</w:t>
      </w:r>
    </w:p>
    <w:p>
      <w:pPr>
        <w:pStyle w:val="19"/>
        <w:snapToGrid w:val="0"/>
        <w:spacing w:before="0" w:beforeAutospacing="0" w:after="0" w:afterAutospacing="0" w:line="600" w:lineRule="exact"/>
        <w:ind w:firstLineChars="200" w:firstLine="640"/>
        <w:jc w:val="both"/>
        <w:rPr>
          <w:rFonts w:ascii="方正仿宋_GBK" w:eastAsia="方正仿宋_GBK" w:cs="方正仿宋_GBK"/>
          <w:sz w:val="32"/>
          <w:szCs w:val="32"/>
        </w:rPr>
      </w:pPr>
      <w:r>
        <w:rPr>
          <w:rFonts w:ascii="方正仿宋_GBK" w:eastAsia="方正仿宋_GBK" w:cs="方正仿宋_GBK"/>
          <w:sz w:val="32"/>
          <w:szCs w:val="32"/>
          <w:shd w:val="clear" w:color="auto" w:fill="FFFFFF"/>
        </w:rPr>
        <w:t>2024年度财政拨款收、支总计7245.68万元。与2023年相比，财政拨款收、支总计各减少19568.02万元，下降73.0%。主要原因是2024年</w:t>
      </w:r>
      <w:r>
        <w:rPr>
          <w:rFonts w:ascii="方正仿宋_GBK" w:eastAsia="方正仿宋_GBK" w:cs="方正仿宋_GBK" w:hint="eastAsia"/>
          <w:sz w:val="32"/>
          <w:szCs w:val="32"/>
          <w:shd w:val="clear" w:color="auto" w:fill="FFFFFF"/>
          <w:lang w:eastAsia="zh-CN"/>
        </w:rPr>
        <w:t>无</w:t>
      </w:r>
      <w:r>
        <w:rPr>
          <w:rFonts w:ascii="方正仿宋_GBK" w:eastAsia="方正仿宋_GBK" w:cs="方正仿宋_GBK"/>
          <w:sz w:val="32"/>
          <w:szCs w:val="32"/>
          <w:shd w:val="clear" w:color="auto" w:fill="FFFFFF"/>
        </w:rPr>
        <w:t>专项债资金预算安排和部门项目整体压减支出。</w:t>
      </w:r>
    </w:p>
    <w:p>
      <w:pPr>
        <w:pStyle w:val="21"/>
        <w:autoSpaceDE w:val="0"/>
        <w:rPr>
          <w:rFonts w:ascii="楷体" w:eastAsia="楷体" w:cs="楷体"/>
          <w:b/>
          <w:bCs/>
          <w:sz w:val="32"/>
          <w:szCs w:val="32"/>
          <w:shd w:val="clear" w:color="auto" w:fill="FFFFFF"/>
        </w:rPr>
      </w:pPr>
      <w:r>
        <w:rPr>
          <w:rFonts w:ascii="楷体" w:eastAsia="楷体" w:cs="楷体" w:hint="eastAsia"/>
          <w:b/>
          <w:bCs/>
          <w:sz w:val="32"/>
          <w:szCs w:val="32"/>
          <w:shd w:val="clear" w:color="auto" w:fill="FFFFFF"/>
        </w:rPr>
        <w:t>（三）一般公共预算财政拨款收入支出决算情况说明</w:t>
      </w:r>
    </w:p>
    <w:p>
      <w:pPr>
        <w:pStyle w:val="19"/>
        <w:snapToGrid w:val="0"/>
        <w:spacing w:before="0" w:beforeAutospacing="0" w:after="0" w:afterAutospacing="0" w:line="600" w:lineRule="exact"/>
        <w:ind w:firstLineChars="200" w:firstLine="640"/>
        <w:jc w:val="both"/>
        <w:rPr>
          <w:rFonts w:ascii="方正仿宋_GBK" w:eastAsia="方正仿宋_GBK" w:cs="方正仿宋_GBK"/>
          <w:sz w:val="32"/>
          <w:szCs w:val="32"/>
        </w:rPr>
      </w:pPr>
      <w:r>
        <w:rPr>
          <w:rStyle w:val="20"/>
          <w:rFonts w:ascii="方正仿宋_GBK" w:eastAsia="方正仿宋_GBK" w:cs="方正仿宋_GBK"/>
          <w:sz w:val="32"/>
          <w:szCs w:val="32"/>
          <w:shd w:val="clear" w:color="auto" w:fill="FFFFFF"/>
        </w:rPr>
        <w:t>1.收入情况。</w:t>
      </w:r>
      <w:r>
        <w:rPr>
          <w:rFonts w:ascii="方正仿宋_GBK" w:eastAsia="方正仿宋_GBK" w:cs="方正仿宋_GBK"/>
          <w:sz w:val="32"/>
          <w:szCs w:val="32"/>
          <w:shd w:val="clear" w:color="auto" w:fill="FFFFFF"/>
        </w:rPr>
        <w:t>2024年度一般公共预算财政拨款收入</w:t>
      </w:r>
      <w:r>
        <w:rPr>
          <w:rFonts w:ascii="方正仿宋_GBK" w:eastAsia="方正仿宋_GBK" w:cs="方正仿宋_GBK"/>
          <w:sz w:val="32"/>
          <w:szCs w:val="32"/>
        </w:rPr>
        <w:t>7239.19</w:t>
      </w:r>
      <w:r>
        <w:rPr>
          <w:rFonts w:ascii="方正仿宋_GBK" w:eastAsia="方正仿宋_GBK" w:cs="方正仿宋_GBK"/>
          <w:sz w:val="32"/>
          <w:szCs w:val="32"/>
          <w:shd w:val="clear" w:color="auto" w:fill="FFFFFF"/>
        </w:rPr>
        <w:t>万元，与2023年度相比，减少7074.51万元，下降49.4%。主要原因是</w:t>
      </w:r>
      <w:r>
        <w:rPr>
          <w:rFonts w:ascii="方正仿宋_GBK" w:eastAsia="方正仿宋_GBK" w:cs="方正仿宋_GBK" w:hint="eastAsia"/>
          <w:sz w:val="32"/>
          <w:szCs w:val="32"/>
          <w:shd w:val="clear" w:color="auto" w:fill="FFFFFF"/>
          <w:lang w:val="en-US" w:eastAsia="zh-CN"/>
        </w:rPr>
        <w:t>2024年疫情防控经费减少支出</w:t>
      </w:r>
      <w:r>
        <w:rPr>
          <w:rFonts w:ascii="方正仿宋_GBK" w:eastAsia="方正仿宋_GBK" w:cs="方正仿宋_GBK" w:hint="eastAsia"/>
          <w:sz w:val="32"/>
          <w:szCs w:val="32"/>
          <w:shd w:val="clear" w:color="auto" w:fill="FFFFFF"/>
          <w:lang w:eastAsia="zh-CN"/>
        </w:rPr>
        <w:t>。</w:t>
      </w:r>
      <w:r>
        <w:rPr>
          <w:rFonts w:ascii="方正仿宋_GBK" w:eastAsia="方正仿宋_GBK" w:cs="方正仿宋_GBK"/>
          <w:sz w:val="32"/>
          <w:szCs w:val="32"/>
          <w:shd w:val="clear" w:color="auto" w:fill="FFFFFF"/>
        </w:rPr>
        <w:t>较年初预算数减少7484.05万元，下降50.8%。主要原因是</w:t>
      </w:r>
      <w:r>
        <w:rPr>
          <w:rFonts w:ascii="方正仿宋_GBK" w:eastAsia="方正仿宋_GBK" w:cs="方正仿宋_GBK" w:hint="eastAsia"/>
          <w:sz w:val="32"/>
          <w:szCs w:val="32"/>
          <w:shd w:val="clear" w:color="auto" w:fill="FFFFFF"/>
          <w:lang w:eastAsia="zh-CN"/>
        </w:rPr>
        <w:t>基本公卫、重大疾病预防控制等项目经费调剂至委属单位，决算未在本级体现。</w:t>
      </w:r>
      <w:r>
        <w:rPr>
          <w:rFonts w:ascii="方正仿宋_GBK" w:eastAsia="方正仿宋_GBK" w:cs="方正仿宋_GBK"/>
          <w:sz w:val="32"/>
          <w:szCs w:val="32"/>
          <w:shd w:val="clear" w:color="auto" w:fill="FFFFFF"/>
        </w:rPr>
        <w:t>此外，年初财政拨款结转和结余</w:t>
      </w:r>
      <w:r>
        <w:rPr>
          <w:rFonts w:ascii="方正仿宋_GBK" w:eastAsia="方正仿宋_GBK" w:cs="方正仿宋_GBK"/>
          <w:sz w:val="32"/>
          <w:szCs w:val="32"/>
        </w:rPr>
        <w:t>6.48</w:t>
      </w:r>
      <w:r>
        <w:rPr>
          <w:rFonts w:ascii="方正仿宋_GBK" w:eastAsia="方正仿宋_GBK" w:cs="方正仿宋_GBK"/>
          <w:sz w:val="32"/>
          <w:szCs w:val="32"/>
          <w:shd w:val="clear" w:color="auto" w:fill="FFFFFF"/>
        </w:rPr>
        <w:t>万元。</w:t>
      </w:r>
    </w:p>
    <w:p>
      <w:pPr>
        <w:pStyle w:val="19"/>
        <w:snapToGrid w:val="0"/>
        <w:spacing w:before="0" w:beforeAutospacing="0" w:after="0" w:afterAutospacing="0" w:line="600" w:lineRule="exact"/>
        <w:ind w:firstLineChars="200" w:firstLine="640"/>
        <w:jc w:val="both"/>
        <w:rPr>
          <w:rFonts w:ascii="方正仿宋_GBK" w:eastAsia="方正仿宋_GBK" w:cs="方正仿宋_GBK" w:hint="eastAsia"/>
          <w:sz w:val="32"/>
          <w:szCs w:val="32"/>
          <w:shd w:val="clear" w:color="auto" w:fill="FFFFFF"/>
          <w:lang w:eastAsia="zh-CN"/>
        </w:rPr>
      </w:pPr>
      <w:r>
        <w:rPr>
          <w:rStyle w:val="20"/>
          <w:rFonts w:ascii="方正仿宋_GBK" w:eastAsia="方正仿宋_GBK" w:cs="方正仿宋_GBK"/>
          <w:sz w:val="32"/>
          <w:szCs w:val="32"/>
          <w:shd w:val="clear" w:color="auto" w:fill="FFFFFF"/>
        </w:rPr>
        <w:t>2.支出情况。</w:t>
      </w:r>
      <w:r>
        <w:rPr>
          <w:rFonts w:ascii="方正仿宋_GBK" w:eastAsia="方正仿宋_GBK" w:cs="方正仿宋_GBK"/>
          <w:sz w:val="32"/>
          <w:szCs w:val="32"/>
          <w:shd w:val="clear" w:color="auto" w:fill="FFFFFF"/>
        </w:rPr>
        <w:t>2024年度一般公共预算财政拨款支出</w:t>
      </w:r>
      <w:r>
        <w:rPr>
          <w:rFonts w:ascii="方正仿宋_GBK" w:eastAsia="方正仿宋_GBK" w:cs="方正仿宋_GBK"/>
          <w:sz w:val="32"/>
          <w:szCs w:val="32"/>
        </w:rPr>
        <w:t>7245.68</w:t>
      </w:r>
      <w:r>
        <w:rPr>
          <w:rFonts w:ascii="方正仿宋_GBK" w:eastAsia="方正仿宋_GBK" w:cs="方正仿宋_GBK"/>
          <w:sz w:val="32"/>
          <w:szCs w:val="32"/>
          <w:shd w:val="clear" w:color="auto" w:fill="FFFFFF"/>
        </w:rPr>
        <w:t>万元，与2023年度相比，减少7068.02万元，下降49.4%。主要原因是</w:t>
      </w:r>
      <w:r>
        <w:rPr>
          <w:rFonts w:ascii="方正仿宋_GBK" w:eastAsia="方正仿宋_GBK" w:cs="方正仿宋_GBK" w:hint="eastAsia"/>
          <w:sz w:val="32"/>
          <w:szCs w:val="32"/>
          <w:shd w:val="clear" w:color="auto" w:fill="FFFFFF"/>
          <w:lang w:val="en-US" w:eastAsia="zh-CN"/>
        </w:rPr>
        <w:t>2024年疫情防控经费减少支出。</w:t>
      </w:r>
      <w:r>
        <w:rPr>
          <w:rFonts w:ascii="方正仿宋_GBK" w:eastAsia="方正仿宋_GBK" w:cs="方正仿宋_GBK"/>
          <w:sz w:val="32"/>
          <w:szCs w:val="32"/>
          <w:shd w:val="clear" w:color="auto" w:fill="FFFFFF"/>
        </w:rPr>
        <w:t>较年初预算数减少7477.56万元，下降50.8%。主要原因是主要原因是</w:t>
      </w:r>
      <w:r>
        <w:rPr>
          <w:rFonts w:ascii="方正仿宋_GBK" w:eastAsia="方正仿宋_GBK" w:cs="方正仿宋_GBK" w:hint="eastAsia"/>
          <w:sz w:val="32"/>
          <w:szCs w:val="32"/>
          <w:shd w:val="clear" w:color="auto" w:fill="FFFFFF"/>
          <w:lang w:eastAsia="zh-CN"/>
        </w:rPr>
        <w:t>基本公卫、重大疾病预防控制等项目经费调剂至委属单位，决算未在本级体现。</w:t>
      </w:r>
    </w:p>
    <w:p>
      <w:pPr>
        <w:pStyle w:val="19"/>
        <w:snapToGrid w:val="0"/>
        <w:spacing w:before="0" w:beforeAutospacing="0" w:after="0" w:afterAutospacing="0" w:line="600" w:lineRule="exact"/>
        <w:ind w:firstLineChars="200" w:firstLine="640"/>
        <w:jc w:val="both"/>
        <w:rPr>
          <w:rFonts w:ascii="方正仿宋_GBK" w:eastAsia="方正仿宋_GBK" w:cs="方正仿宋_GBK" w:hint="eastAsia"/>
          <w:sz w:val="32"/>
          <w:szCs w:val="32"/>
          <w:lang w:eastAsia="zh-CN"/>
        </w:rPr>
      </w:pPr>
      <w:r>
        <w:rPr>
          <w:rStyle w:val="20"/>
          <w:rFonts w:ascii="方正仿宋_GBK" w:eastAsia="方正仿宋_GBK" w:cs="方正仿宋_GBK"/>
          <w:sz w:val="32"/>
          <w:szCs w:val="32"/>
          <w:shd w:val="clear" w:color="auto" w:fill="FFFFFF"/>
        </w:rPr>
        <w:t>3.结转结余情况。</w:t>
      </w:r>
      <w:r>
        <w:rPr>
          <w:rFonts w:ascii="方正仿宋_GBK" w:eastAsia="方正仿宋_GBK" w:cs="方正仿宋_GBK"/>
          <w:sz w:val="32"/>
          <w:szCs w:val="32"/>
          <w:shd w:val="clear" w:color="auto" w:fill="FFFFFF"/>
        </w:rPr>
        <w:t>2024年度年末一般公共预算财政拨款结转和结余</w:t>
      </w:r>
      <w:r>
        <w:rPr>
          <w:rFonts w:ascii="方正仿宋_GBK" w:eastAsia="方正仿宋_GBK" w:cs="方正仿宋_GBK"/>
          <w:sz w:val="32"/>
          <w:szCs w:val="32"/>
        </w:rPr>
        <w:t>0.00</w:t>
      </w:r>
      <w:r>
        <w:rPr>
          <w:rFonts w:ascii="方正仿宋_GBK" w:eastAsia="方正仿宋_GBK" w:cs="方正仿宋_GBK"/>
          <w:sz w:val="32"/>
          <w:szCs w:val="32"/>
          <w:shd w:val="clear" w:color="auto" w:fill="FFFFFF"/>
        </w:rPr>
        <w:t>万元，与2023年度相比，无增减</w:t>
      </w:r>
      <w:r>
        <w:rPr>
          <w:rFonts w:ascii="方正仿宋_GBK" w:eastAsia="方正仿宋_GBK" w:cs="方正仿宋_GBK" w:hint="eastAsia"/>
          <w:sz w:val="32"/>
          <w:szCs w:val="32"/>
          <w:shd w:val="clear" w:color="auto" w:fill="FFFFFF"/>
          <w:lang w:eastAsia="zh-CN"/>
        </w:rPr>
        <w:t>。</w:t>
      </w:r>
    </w:p>
    <w:p>
      <w:pPr>
        <w:pStyle w:val="19"/>
        <w:snapToGrid w:val="0"/>
        <w:spacing w:before="0" w:beforeAutospacing="0" w:after="0" w:afterAutospacing="0" w:line="600" w:lineRule="exact"/>
        <w:ind w:firstLineChars="200" w:firstLine="640"/>
        <w:jc w:val="both"/>
        <w:rPr>
          <w:rFonts w:ascii="方正仿宋_GBK" w:eastAsia="方正仿宋_GBK" w:cs="方正仿宋_GBK"/>
          <w:color w:val="FF0000"/>
          <w:sz w:val="32"/>
          <w:szCs w:val="32"/>
          <w:shd w:val="clear" w:color="auto" w:fill="FFFFFF"/>
          <w:highlight w:val="cyan"/>
        </w:rPr>
      </w:pPr>
      <w:r>
        <w:rPr>
          <w:rStyle w:val="20"/>
          <w:rFonts w:ascii="方正仿宋_GBK" w:eastAsia="方正仿宋_GBK" w:cs="方正仿宋_GBK"/>
          <w:sz w:val="32"/>
          <w:szCs w:val="32"/>
          <w:shd w:val="clear" w:color="auto" w:fill="FFFFFF"/>
        </w:rPr>
        <w:t xml:space="preserve"> 4.比较情况。</w:t>
      </w:r>
      <w:r>
        <w:rPr>
          <w:rFonts w:ascii="方正仿宋_GBK" w:eastAsia="方正仿宋_GBK" w:cs="方正仿宋_GBK"/>
          <w:sz w:val="32"/>
          <w:szCs w:val="32"/>
          <w:shd w:val="clear" w:color="auto" w:fill="FFFFFF"/>
        </w:rPr>
        <w:t>本单位2024年度一般公共预算财政拨款支出主要用于以下几个方面：</w:t>
      </w:r>
    </w:p>
    <w:p>
      <w:pPr>
        <w:pStyle w:val="19"/>
        <w:snapToGrid w:val="0"/>
        <w:spacing w:before="0" w:beforeAutospacing="0" w:after="0" w:afterAutospacing="0" w:line="600" w:lineRule="exact"/>
        <w:ind w:firstLineChars="200" w:firstLine="640"/>
        <w:jc w:val="both"/>
        <w:rPr>
          <w:rFonts w:ascii="方正仿宋_GBK" w:eastAsia="方正仿宋_GBK" w:cs="方正仿宋_GBK" w:hint="eastAsia"/>
          <w:sz w:val="32"/>
          <w:szCs w:val="32"/>
          <w:lang w:eastAsia="zh-CN"/>
        </w:rPr>
      </w:pPr>
      <w:r>
        <w:rPr>
          <w:rFonts w:ascii="方正仿宋_GBK" w:eastAsia="方正仿宋_GBK" w:cs="方正仿宋_GBK"/>
          <w:sz w:val="32"/>
          <w:szCs w:val="32"/>
          <w:shd w:val="clear" w:color="auto" w:fill="FFFFFF"/>
        </w:rPr>
        <w:t>（1）一般公共服务支出</w:t>
      </w:r>
      <w:r>
        <w:rPr>
          <w:rFonts w:ascii="方正仿宋_GBK" w:eastAsia="方正仿宋_GBK" w:cs="方正仿宋_GBK"/>
          <w:sz w:val="32"/>
          <w:szCs w:val="32"/>
        </w:rPr>
        <w:t>18.21</w:t>
      </w:r>
      <w:r>
        <w:rPr>
          <w:rFonts w:ascii="方正仿宋_GBK" w:eastAsia="方正仿宋_GBK" w:cs="方正仿宋_GBK"/>
          <w:sz w:val="32"/>
          <w:szCs w:val="32"/>
          <w:shd w:val="clear" w:color="auto" w:fill="FFFFFF"/>
        </w:rPr>
        <w:t>万元，占</w:t>
      </w:r>
      <w:r>
        <w:rPr>
          <w:rFonts w:ascii="方正仿宋_GBK" w:eastAsia="方正仿宋_GBK" w:cs="方正仿宋_GBK"/>
          <w:sz w:val="32"/>
          <w:szCs w:val="32"/>
        </w:rPr>
        <w:t>0.25</w:t>
      </w:r>
      <w:r>
        <w:rPr>
          <w:rFonts w:ascii="方正仿宋_GBK" w:eastAsia="方正仿宋_GBK" w:cs="方正仿宋_GBK"/>
          <w:sz w:val="32"/>
          <w:szCs w:val="32"/>
          <w:shd w:val="clear" w:color="auto" w:fill="FFFFFF"/>
        </w:rPr>
        <w:t>%，较年初预算数增加17.21万元，增长1721.0%，主要原因是年中追加党建经费</w:t>
      </w:r>
      <w:r>
        <w:rPr>
          <w:rFonts w:ascii="方正仿宋_GBK" w:eastAsia="方正仿宋_GBK" w:cs="方正仿宋_GBK" w:hint="eastAsia"/>
          <w:sz w:val="32"/>
          <w:szCs w:val="32"/>
          <w:shd w:val="clear" w:color="auto" w:fill="FFFFFF"/>
          <w:lang w:eastAsia="zh-CN"/>
        </w:rPr>
        <w:t>。</w:t>
      </w:r>
    </w:p>
    <w:p>
      <w:pPr>
        <w:pStyle w:val="1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Chars="200" w:firstLine="640"/>
        <w:jc w:val="both"/>
        <w:textAlignment w:val="auto"/>
        <w:rPr>
          <w:rFonts w:ascii="方正仿宋_GBK" w:eastAsia="方正仿宋_GBK" w:cs="方正仿宋_GBK" w:hint="eastAsia"/>
          <w:sz w:val="32"/>
          <w:szCs w:val="32"/>
          <w:lang w:eastAsia="zh-CN"/>
        </w:rPr>
      </w:pPr>
      <w:r>
        <w:rPr>
          <w:rFonts w:ascii="方正仿宋_GBK" w:eastAsia="方正仿宋_GBK" w:cs="方正仿宋_GBK"/>
          <w:sz w:val="32"/>
          <w:szCs w:val="32"/>
          <w:shd w:val="clear" w:color="auto" w:fill="FFFFFF"/>
        </w:rPr>
        <w:t>（</w:t>
      </w:r>
      <w:r>
        <w:rPr>
          <w:rFonts w:ascii="方正仿宋_GBK" w:eastAsia="方正仿宋_GBK" w:cs="方正仿宋_GBK" w:hint="eastAsia"/>
          <w:sz w:val="32"/>
          <w:szCs w:val="32"/>
          <w:shd w:val="clear" w:color="auto" w:fill="FFFFFF"/>
          <w:lang w:val="en-US" w:eastAsia="zh-CN"/>
        </w:rPr>
        <w:t>2</w:t>
      </w:r>
      <w:r>
        <w:rPr>
          <w:rFonts w:ascii="方正仿宋_GBK" w:eastAsia="方正仿宋_GBK" w:cs="方正仿宋_GBK"/>
          <w:sz w:val="32"/>
          <w:szCs w:val="32"/>
          <w:shd w:val="clear" w:color="auto" w:fill="FFFFFF"/>
        </w:rPr>
        <w:t>）社会保障与就业支出</w:t>
      </w:r>
      <w:r>
        <w:rPr>
          <w:rFonts w:ascii="方正仿宋_GBK" w:eastAsia="方正仿宋_GBK" w:cs="方正仿宋_GBK"/>
          <w:sz w:val="32"/>
          <w:szCs w:val="32"/>
        </w:rPr>
        <w:t>174.06</w:t>
      </w:r>
      <w:r>
        <w:rPr>
          <w:rFonts w:ascii="方正仿宋_GBK" w:eastAsia="方正仿宋_GBK" w:cs="方正仿宋_GBK"/>
          <w:sz w:val="32"/>
          <w:szCs w:val="32"/>
          <w:shd w:val="clear" w:color="auto" w:fill="FFFFFF"/>
        </w:rPr>
        <w:t>万元，占</w:t>
      </w:r>
      <w:r>
        <w:rPr>
          <w:rFonts w:ascii="方正仿宋_GBK" w:eastAsia="方正仿宋_GBK" w:cs="方正仿宋_GBK"/>
          <w:sz w:val="32"/>
          <w:szCs w:val="32"/>
        </w:rPr>
        <w:t>2.40</w:t>
      </w:r>
      <w:r>
        <w:rPr>
          <w:rFonts w:ascii="方正仿宋_GBK" w:eastAsia="方正仿宋_GBK" w:cs="方正仿宋_GBK"/>
          <w:sz w:val="32"/>
          <w:szCs w:val="32"/>
          <w:shd w:val="clear" w:color="auto" w:fill="FFFFFF"/>
        </w:rPr>
        <w:t>%，较年初预算数减少190.83万元，下降52.3%，主要原因是</w:t>
      </w:r>
      <w:r>
        <w:rPr>
          <w:rFonts w:ascii="方正仿宋_GBK" w:eastAsia="方正仿宋_GBK" w:cs="方正仿宋_GBK" w:hint="eastAsia"/>
          <w:sz w:val="32"/>
          <w:szCs w:val="32"/>
          <w:shd w:val="clear" w:color="auto" w:fill="FFFFFF"/>
          <w:lang w:val="en-US" w:eastAsia="zh-CN"/>
        </w:rPr>
        <w:t>2023年补缴养老保险、补发绩效工资等。</w:t>
      </w:r>
    </w:p>
    <w:p>
      <w:pPr>
        <w:pStyle w:val="19"/>
        <w:snapToGrid w:val="0"/>
        <w:spacing w:before="0" w:beforeAutospacing="0" w:after="0" w:afterAutospacing="0" w:line="600" w:lineRule="exact"/>
        <w:ind w:firstLineChars="200" w:firstLine="640"/>
        <w:jc w:val="both"/>
        <w:rPr>
          <w:rFonts w:ascii="方正仿宋_GBK" w:eastAsia="方正仿宋_GBK" w:cs="方正仿宋_GBK" w:hint="eastAsia"/>
          <w:sz w:val="32"/>
          <w:szCs w:val="32"/>
          <w:shd w:val="clear" w:color="auto" w:fill="FFFFFF"/>
          <w:lang w:eastAsia="zh-CN"/>
        </w:rPr>
      </w:pPr>
      <w:r>
        <w:rPr>
          <w:rFonts w:ascii="方正仿宋_GBK" w:eastAsia="方正仿宋_GBK" w:cs="方正仿宋_GBK"/>
          <w:sz w:val="32"/>
          <w:szCs w:val="32"/>
          <w:shd w:val="clear" w:color="auto" w:fill="FFFFFF"/>
        </w:rPr>
        <w:t>（</w:t>
      </w:r>
      <w:r>
        <w:rPr>
          <w:rFonts w:ascii="方正仿宋_GBK" w:eastAsia="方正仿宋_GBK" w:cs="方正仿宋_GBK" w:hint="eastAsia"/>
          <w:sz w:val="32"/>
          <w:szCs w:val="32"/>
          <w:shd w:val="clear" w:color="auto" w:fill="FFFFFF"/>
          <w:lang w:val="en-US" w:eastAsia="zh-CN"/>
        </w:rPr>
        <w:t>3</w:t>
      </w:r>
      <w:r>
        <w:rPr>
          <w:rFonts w:ascii="方正仿宋_GBK" w:eastAsia="方正仿宋_GBK" w:cs="方正仿宋_GBK"/>
          <w:sz w:val="32"/>
          <w:szCs w:val="32"/>
          <w:shd w:val="clear" w:color="auto" w:fill="FFFFFF"/>
        </w:rPr>
        <w:t>）卫生健康支出</w:t>
      </w:r>
      <w:r>
        <w:rPr>
          <w:rFonts w:ascii="方正仿宋_GBK" w:eastAsia="方正仿宋_GBK" w:cs="方正仿宋_GBK"/>
          <w:sz w:val="32"/>
          <w:szCs w:val="32"/>
        </w:rPr>
        <w:t>6991.70</w:t>
      </w:r>
      <w:r>
        <w:rPr>
          <w:rFonts w:ascii="方正仿宋_GBK" w:eastAsia="方正仿宋_GBK" w:cs="方正仿宋_GBK"/>
          <w:sz w:val="32"/>
          <w:szCs w:val="32"/>
          <w:shd w:val="clear" w:color="auto" w:fill="FFFFFF"/>
        </w:rPr>
        <w:t>万元，占</w:t>
      </w:r>
      <w:r>
        <w:rPr>
          <w:rFonts w:ascii="方正仿宋_GBK" w:eastAsia="方正仿宋_GBK" w:cs="方正仿宋_GBK"/>
          <w:sz w:val="32"/>
          <w:szCs w:val="32"/>
        </w:rPr>
        <w:t>96.49</w:t>
      </w:r>
      <w:r>
        <w:rPr>
          <w:rFonts w:ascii="方正仿宋_GBK" w:eastAsia="方正仿宋_GBK" w:cs="方正仿宋_GBK"/>
          <w:sz w:val="32"/>
          <w:szCs w:val="32"/>
          <w:shd w:val="clear" w:color="auto" w:fill="FFFFFF"/>
        </w:rPr>
        <w:t>%，较年初预算数减少7317.61万元，下降51.1%，主要原因是</w:t>
      </w:r>
      <w:r>
        <w:rPr>
          <w:rFonts w:ascii="方正仿宋_GBK" w:eastAsia="方正仿宋_GBK" w:cs="方正仿宋_GBK" w:hint="eastAsia"/>
          <w:sz w:val="32"/>
          <w:szCs w:val="32"/>
          <w:shd w:val="clear" w:color="auto" w:fill="FFFFFF"/>
          <w:lang w:eastAsia="zh-CN"/>
        </w:rPr>
        <w:t>基本公卫、重大疾病预防控制等项目经费调剂至委属单位，决算未在本级体现。</w:t>
      </w:r>
    </w:p>
    <w:p>
      <w:pPr>
        <w:pStyle w:val="19"/>
        <w:snapToGrid w:val="0"/>
        <w:spacing w:before="0" w:beforeAutospacing="0" w:after="0" w:afterAutospacing="0" w:line="594" w:lineRule="exact"/>
        <w:ind w:firstLineChars="200" w:firstLine="640"/>
        <w:jc w:val="both"/>
        <w:rPr>
          <w:rFonts w:ascii="方正仿宋_GBK" w:eastAsia="方正仿宋_GBK" w:cs="方正仿宋_GBK"/>
          <w:sz w:val="32"/>
          <w:szCs w:val="32"/>
          <w:shd w:val="clear" w:color="auto" w:fill="FFFFFF"/>
        </w:rPr>
      </w:pPr>
      <w:r>
        <w:rPr>
          <w:rFonts w:ascii="方正仿宋_GBK" w:eastAsia="方正仿宋_GBK" w:cs="方正仿宋_GBK"/>
          <w:sz w:val="32"/>
          <w:szCs w:val="32"/>
          <w:shd w:val="clear" w:color="auto" w:fill="FFFFFF"/>
        </w:rPr>
        <w:t>（</w:t>
      </w:r>
      <w:r>
        <w:rPr>
          <w:rFonts w:ascii="方正仿宋_GBK" w:eastAsia="方正仿宋_GBK" w:cs="方正仿宋_GBK" w:hint="eastAsia"/>
          <w:sz w:val="32"/>
          <w:szCs w:val="32"/>
          <w:shd w:val="clear" w:color="auto" w:fill="FFFFFF"/>
          <w:lang w:val="en-US" w:eastAsia="zh-CN"/>
        </w:rPr>
        <w:t>4</w:t>
      </w:r>
      <w:r>
        <w:rPr>
          <w:rFonts w:ascii="方正仿宋_GBK" w:eastAsia="方正仿宋_GBK" w:cs="方正仿宋_GBK"/>
          <w:sz w:val="32"/>
          <w:szCs w:val="32"/>
          <w:shd w:val="clear" w:color="auto" w:fill="FFFFFF"/>
        </w:rPr>
        <w:t>）商业服务业等支出</w:t>
      </w:r>
      <w:r>
        <w:rPr>
          <w:rFonts w:ascii="方正仿宋_GBK" w:eastAsia="方正仿宋_GBK" w:cs="方正仿宋_GBK"/>
          <w:sz w:val="32"/>
          <w:szCs w:val="32"/>
        </w:rPr>
        <w:t>0.00</w:t>
      </w:r>
      <w:r>
        <w:rPr>
          <w:rFonts w:ascii="方正仿宋_GBK" w:eastAsia="方正仿宋_GBK" w:cs="方正仿宋_GBK"/>
          <w:sz w:val="32"/>
          <w:szCs w:val="32"/>
          <w:shd w:val="clear" w:color="auto" w:fill="FFFFFF"/>
        </w:rPr>
        <w:t>万元，占</w:t>
      </w:r>
      <w:r>
        <w:rPr>
          <w:rFonts w:ascii="方正仿宋_GBK" w:eastAsia="方正仿宋_GBK" w:cs="方正仿宋_GBK"/>
          <w:sz w:val="32"/>
          <w:szCs w:val="32"/>
        </w:rPr>
        <w:t>0.00</w:t>
      </w:r>
      <w:r>
        <w:rPr>
          <w:rFonts w:ascii="方正仿宋_GBK" w:eastAsia="方正仿宋_GBK" w:cs="方正仿宋_GBK"/>
          <w:sz w:val="32"/>
          <w:szCs w:val="32"/>
          <w:shd w:val="clear" w:color="auto" w:fill="FFFFFF"/>
        </w:rPr>
        <w:t>%，较年初预算数减少3.00万元，下降100.0%，主要原因是提升经济运行质量奖励收回。</w:t>
      </w:r>
    </w:p>
    <w:p>
      <w:pPr>
        <w:ind w:firstLineChars="200" w:firstLine="640"/>
        <w:rPr>
          <w:rFonts w:ascii="方正仿宋_GBK" w:eastAsia="方正仿宋_GBK" w:cs="方正仿宋_GBK" w:hint="eastAsia"/>
          <w:color w:val="FF0000"/>
          <w:sz w:val="32"/>
          <w:szCs w:val="32"/>
          <w:shd w:val="clear" w:color="auto" w:fill="FFFFFF"/>
          <w:lang w:eastAsia="zh-CN"/>
        </w:rPr>
      </w:pPr>
      <w:r>
        <w:rPr>
          <w:rFonts w:ascii="方正仿宋_GBK" w:eastAsia="方正仿宋_GBK" w:cs="方正仿宋_GBK"/>
          <w:sz w:val="32"/>
          <w:szCs w:val="32"/>
          <w:shd w:val="clear" w:color="auto" w:fill="FFFFFF"/>
        </w:rPr>
        <w:t>（</w:t>
      </w:r>
      <w:r>
        <w:rPr>
          <w:rFonts w:ascii="方正仿宋_GBK" w:eastAsia="方正仿宋_GBK" w:cs="方正仿宋_GBK" w:hint="eastAsia"/>
          <w:sz w:val="32"/>
          <w:szCs w:val="32"/>
          <w:shd w:val="clear" w:color="auto" w:fill="FFFFFF"/>
          <w:lang w:val="en-US" w:eastAsia="zh-CN"/>
        </w:rPr>
        <w:t>5</w:t>
      </w:r>
      <w:r>
        <w:rPr>
          <w:rFonts w:ascii="方正仿宋_GBK" w:eastAsia="方正仿宋_GBK" w:cs="方正仿宋_GBK"/>
          <w:sz w:val="32"/>
          <w:szCs w:val="32"/>
          <w:shd w:val="clear" w:color="auto" w:fill="FFFFFF"/>
        </w:rPr>
        <w:t>）</w:t>
      </w:r>
      <w:r>
        <w:rPr>
          <w:rFonts w:ascii="方正仿宋_GBK" w:eastAsia="方正仿宋_GBK" w:cs="方正仿宋_GBK"/>
          <w:sz w:val="32"/>
          <w:szCs w:val="32"/>
        </w:rPr>
        <w:t>住房保障支出61.71</w:t>
      </w:r>
      <w:r>
        <w:rPr>
          <w:rFonts w:ascii="方正仿宋_GBK" w:eastAsia="方正仿宋_GBK" w:cs="方正仿宋_GBK"/>
          <w:sz w:val="32"/>
          <w:szCs w:val="32"/>
          <w:shd w:val="clear" w:color="auto" w:fill="FFFFFF"/>
        </w:rPr>
        <w:t>万元，占</w:t>
      </w:r>
      <w:r>
        <w:rPr>
          <w:rFonts w:ascii="方正仿宋_GBK" w:eastAsia="方正仿宋_GBK" w:cs="方正仿宋_GBK"/>
          <w:sz w:val="32"/>
          <w:szCs w:val="32"/>
        </w:rPr>
        <w:t>0.85</w:t>
      </w:r>
      <w:r>
        <w:rPr>
          <w:rFonts w:ascii="方正仿宋_GBK" w:eastAsia="方正仿宋_GBK" w:cs="方正仿宋_GBK"/>
          <w:sz w:val="32"/>
          <w:szCs w:val="32"/>
          <w:shd w:val="clear" w:color="auto" w:fill="FFFFFF"/>
        </w:rPr>
        <w:t>%，较年初预算数增加16.68万元，增长37.0%，主要原因是</w:t>
      </w:r>
      <w:r>
        <w:rPr>
          <w:rFonts w:ascii="方正仿宋_GBK" w:eastAsia="方正仿宋_GBK" w:cs="方正仿宋_GBK" w:hint="eastAsia"/>
          <w:sz w:val="32"/>
          <w:szCs w:val="32"/>
          <w:shd w:val="clear" w:color="auto" w:fill="FFFFFF"/>
          <w:lang w:eastAsia="zh-CN"/>
        </w:rPr>
        <w:t>补缴住房补贴。</w:t>
      </w:r>
    </w:p>
    <w:p>
      <w:pPr>
        <w:pStyle w:val="21"/>
        <w:autoSpaceDE w:val="0"/>
        <w:rPr>
          <w:rFonts w:ascii="楷体" w:eastAsia="楷体" w:cs="楷体"/>
          <w:b/>
          <w:bCs/>
          <w:sz w:val="32"/>
          <w:szCs w:val="32"/>
          <w:shd w:val="clear" w:color="auto" w:fill="FFFFFF"/>
        </w:rPr>
      </w:pPr>
      <w:r>
        <w:rPr>
          <w:rFonts w:ascii="楷体" w:eastAsia="楷体" w:cs="楷体" w:hint="eastAsia"/>
          <w:b/>
          <w:bCs/>
          <w:sz w:val="32"/>
          <w:szCs w:val="32"/>
          <w:shd w:val="clear" w:color="auto" w:fill="FFFFFF"/>
        </w:rPr>
        <w:t>（四）一般公共预算财政拨款基本支出决算情况说明</w:t>
      </w:r>
    </w:p>
    <w:p>
      <w:pPr>
        <w:pStyle w:val="21"/>
        <w:autoSpaceDE w:val="0"/>
        <w:spacing w:line="594" w:lineRule="exact"/>
        <w:rPr>
          <w:rFonts w:ascii="方正仿宋_GBK" w:eastAsia="方正仿宋_GBK" w:cs="方正仿宋_GBK"/>
          <w:sz w:val="32"/>
          <w:szCs w:val="32"/>
        </w:rPr>
      </w:pPr>
      <w:r>
        <w:rPr>
          <w:rFonts w:ascii="方正仿宋_GBK" w:eastAsia="方正仿宋_GBK" w:cs="方正仿宋_GBK"/>
          <w:sz w:val="32"/>
          <w:szCs w:val="32"/>
          <w:shd w:val="clear" w:color="auto" w:fill="FFFFFF"/>
        </w:rPr>
        <w:t> 2024年度一般公共财政拨款基本支出</w:t>
      </w:r>
      <w:r>
        <w:rPr>
          <w:rFonts w:ascii="方正仿宋_GBK" w:eastAsia="方正仿宋_GBK" w:cs="方正仿宋_GBK"/>
          <w:sz w:val="32"/>
          <w:szCs w:val="32"/>
        </w:rPr>
        <w:t>731.84</w:t>
      </w:r>
      <w:r>
        <w:rPr>
          <w:rFonts w:ascii="方正仿宋_GBK" w:eastAsia="方正仿宋_GBK" w:cs="方正仿宋_GBK"/>
          <w:sz w:val="32"/>
          <w:szCs w:val="32"/>
          <w:shd w:val="clear" w:color="auto" w:fill="FFFFFF"/>
        </w:rPr>
        <w:t>万元。其中：人员经费</w:t>
      </w:r>
      <w:r>
        <w:rPr>
          <w:rFonts w:ascii="方正仿宋_GBK" w:eastAsia="方正仿宋_GBK" w:cs="方正仿宋_GBK"/>
          <w:sz w:val="32"/>
          <w:szCs w:val="32"/>
        </w:rPr>
        <w:t>616.30</w:t>
      </w:r>
      <w:r>
        <w:rPr>
          <w:rFonts w:ascii="方正仿宋_GBK" w:eastAsia="方正仿宋_GBK" w:cs="方正仿宋_GBK"/>
          <w:sz w:val="32"/>
          <w:szCs w:val="32"/>
          <w:shd w:val="clear" w:color="auto" w:fill="FFFFFF"/>
        </w:rPr>
        <w:t>万元，与2023年度相比，减少361.39万元，下降37.0%，主要原因是</w:t>
      </w:r>
      <w:r>
        <w:rPr>
          <w:rFonts w:ascii="方正仿宋_GBK" w:eastAsia="方正仿宋_GBK" w:cs="方正仿宋_GBK" w:hint="eastAsia"/>
          <w:sz w:val="32"/>
          <w:szCs w:val="32"/>
          <w:shd w:val="clear" w:color="auto" w:fill="FFFFFF"/>
          <w:lang w:val="en-US" w:eastAsia="zh-CN"/>
        </w:rPr>
        <w:t>2023年补缴养老保险、补发绩效工资等。</w:t>
      </w:r>
      <w:r>
        <w:rPr>
          <w:rFonts w:ascii="方正仿宋_GBK" w:eastAsia="方正仿宋_GBK" w:cs="方正仿宋_GBK"/>
          <w:sz w:val="32"/>
          <w:szCs w:val="32"/>
          <w:shd w:val="clear" w:color="auto" w:fill="FFFFFF"/>
        </w:rPr>
        <w:t>人员经费用途</w:t>
      </w:r>
      <w:r>
        <w:rPr>
          <w:rFonts w:ascii="方正仿宋_GBK" w:eastAsia="方正仿宋_GBK" w:cs="方正仿宋_GBK" w:hint="eastAsia"/>
          <w:sz w:val="32"/>
          <w:szCs w:val="32"/>
          <w:shd w:val="clear" w:color="auto" w:fill="FFFFFF"/>
        </w:rPr>
        <w:t>主要包括基本工资、津贴补贴、奖金、社会保障缴费。</w:t>
      </w:r>
      <w:r>
        <w:rPr>
          <w:rFonts w:ascii="方正仿宋_GBK" w:eastAsia="方正仿宋_GBK" w:cs="方正仿宋_GBK"/>
          <w:sz w:val="32"/>
          <w:szCs w:val="32"/>
          <w:shd w:val="clear" w:color="auto" w:fill="FFFFFF"/>
        </w:rPr>
        <w:t>公用经费</w:t>
      </w:r>
      <w:r>
        <w:rPr>
          <w:rFonts w:ascii="方正仿宋_GBK" w:eastAsia="方正仿宋_GBK" w:cs="方正仿宋_GBK"/>
          <w:sz w:val="32"/>
          <w:szCs w:val="32"/>
        </w:rPr>
        <w:t>115.53</w:t>
      </w:r>
      <w:r>
        <w:rPr>
          <w:rFonts w:ascii="方正仿宋_GBK" w:eastAsia="方正仿宋_GBK" w:cs="方正仿宋_GBK"/>
          <w:sz w:val="32"/>
          <w:szCs w:val="32"/>
          <w:shd w:val="clear" w:color="auto" w:fill="FFFFFF"/>
        </w:rPr>
        <w:t>万元，与2023年度相比，增加0.01万元，增长0.0%</w:t>
      </w:r>
      <w:r>
        <w:rPr>
          <w:rFonts w:ascii="方正仿宋_GBK" w:eastAsia="方正仿宋_GBK" w:cs="方正仿宋_GBK" w:hint="eastAsia"/>
          <w:sz w:val="32"/>
          <w:szCs w:val="32"/>
          <w:shd w:val="clear" w:color="auto" w:fill="FFFFFF"/>
          <w:lang w:eastAsia="zh-CN"/>
        </w:rPr>
        <w:t>。</w:t>
      </w:r>
      <w:bookmarkStart w:id="0" w:name="_GoBack"/>
      <w:bookmarkEnd w:id="0"/>
      <w:r>
        <w:rPr>
          <w:rFonts w:ascii="方正仿宋_GBK" w:eastAsia="方正仿宋_GBK" w:cs="方正仿宋_GBK"/>
          <w:sz w:val="32"/>
          <w:szCs w:val="32"/>
          <w:shd w:val="clear" w:color="auto" w:fill="FFFFFF"/>
        </w:rPr>
        <w:t>公用经费用途主要包括办公费、印刷费、咨询费、手续费、差旅费、会议费等。</w:t>
      </w:r>
    </w:p>
    <w:p>
      <w:pPr>
        <w:pStyle w:val="21"/>
        <w:autoSpaceDE w:val="0"/>
        <w:rPr>
          <w:rFonts w:ascii="楷体" w:eastAsia="楷体" w:cs="楷体"/>
          <w:b/>
          <w:bCs/>
          <w:sz w:val="32"/>
          <w:szCs w:val="32"/>
          <w:shd w:val="clear" w:color="auto" w:fill="FFFFFF"/>
        </w:rPr>
      </w:pPr>
      <w:r>
        <w:rPr>
          <w:rFonts w:ascii="楷体" w:eastAsia="楷体" w:cs="楷体" w:hint="eastAsia"/>
          <w:b/>
          <w:bCs/>
          <w:sz w:val="32"/>
          <w:szCs w:val="32"/>
          <w:shd w:val="clear" w:color="auto" w:fill="FFFFFF"/>
        </w:rPr>
        <w:t>（五）政府性基金预算收支决算情况说明</w:t>
      </w:r>
    </w:p>
    <w:p>
      <w:pPr>
        <w:pStyle w:val="19"/>
        <w:snapToGrid w:val="0"/>
        <w:spacing w:before="0" w:beforeAutospacing="0" w:after="0" w:afterAutospacing="0" w:line="600" w:lineRule="exact"/>
        <w:ind w:firstLineChars="200" w:firstLine="640"/>
        <w:jc w:val="both"/>
        <w:rPr>
          <w:rFonts w:ascii="方正仿宋_GBK" w:eastAsia="方正仿宋_GBK" w:cs="方正仿宋_GBK"/>
          <w:sz w:val="32"/>
          <w:szCs w:val="32"/>
        </w:rPr>
      </w:pPr>
      <w:r>
        <w:rPr>
          <w:rFonts w:ascii="方正仿宋_GBK" w:eastAsia="方正仿宋_GBK" w:cs="方正仿宋_GBK"/>
          <w:sz w:val="32"/>
          <w:szCs w:val="32"/>
          <w:shd w:val="clear" w:color="auto" w:fill="FFFFFF"/>
        </w:rPr>
        <w:t>2024年度政府性基金预算财政拨款年初结转结余</w:t>
      </w:r>
      <w:r>
        <w:rPr>
          <w:rFonts w:ascii="方正仿宋_GBK" w:eastAsia="方正仿宋_GBK" w:cs="方正仿宋_GBK"/>
          <w:sz w:val="32"/>
          <w:szCs w:val="32"/>
        </w:rPr>
        <w:t>0.00</w:t>
      </w:r>
      <w:r>
        <w:rPr>
          <w:rFonts w:ascii="方正仿宋_GBK" w:eastAsia="方正仿宋_GBK" w:cs="方正仿宋_GBK"/>
          <w:sz w:val="32"/>
          <w:szCs w:val="32"/>
          <w:shd w:val="clear" w:color="auto" w:fill="FFFFFF"/>
        </w:rPr>
        <w:t>万元，年末结转结余</w:t>
      </w:r>
      <w:r>
        <w:rPr>
          <w:rFonts w:ascii="方正仿宋_GBK" w:eastAsia="方正仿宋_GBK" w:cs="方正仿宋_GBK"/>
          <w:sz w:val="32"/>
          <w:szCs w:val="32"/>
        </w:rPr>
        <w:t>0.00</w:t>
      </w:r>
      <w:r>
        <w:rPr>
          <w:rFonts w:ascii="方正仿宋_GBK" w:eastAsia="方正仿宋_GBK" w:cs="方正仿宋_GBK"/>
          <w:sz w:val="32"/>
          <w:szCs w:val="32"/>
          <w:shd w:val="clear" w:color="auto" w:fill="FFFFFF"/>
        </w:rPr>
        <w:t>万元。本年收入</w:t>
      </w:r>
      <w:r>
        <w:rPr>
          <w:rFonts w:ascii="方正仿宋_GBK" w:eastAsia="方正仿宋_GBK" w:cs="方正仿宋_GBK"/>
          <w:sz w:val="32"/>
          <w:szCs w:val="32"/>
        </w:rPr>
        <w:t>0.00</w:t>
      </w:r>
      <w:r>
        <w:rPr>
          <w:rFonts w:ascii="方正仿宋_GBK" w:eastAsia="方正仿宋_GBK" w:cs="方正仿宋_GBK"/>
          <w:sz w:val="32"/>
          <w:szCs w:val="32"/>
          <w:shd w:val="clear" w:color="auto" w:fill="FFFFFF"/>
        </w:rPr>
        <w:t>万元，与2023年度相比，减少12500.00万元，下降100.0%，主要原因是</w:t>
      </w:r>
      <w:r>
        <w:rPr>
          <w:rFonts w:ascii="方正仿宋_GBK" w:eastAsia="方正仿宋_GBK" w:cs="方正仿宋_GBK" w:hint="eastAsia"/>
          <w:sz w:val="32"/>
          <w:szCs w:val="32"/>
          <w:shd w:val="clear" w:color="auto" w:fill="FFFFFF"/>
          <w:lang w:val="en-US" w:eastAsia="zh-CN"/>
        </w:rPr>
        <w:t>2024年未安排本级专项债资金。</w:t>
      </w:r>
      <w:r>
        <w:rPr>
          <w:rFonts w:ascii="方正仿宋_GBK" w:eastAsia="方正仿宋_GBK" w:cs="方正仿宋_GBK"/>
          <w:sz w:val="32"/>
          <w:szCs w:val="32"/>
          <w:shd w:val="clear" w:color="auto" w:fill="FFFFFF"/>
        </w:rPr>
        <w:t>本年支出</w:t>
      </w:r>
      <w:r>
        <w:rPr>
          <w:rFonts w:ascii="方正仿宋_GBK" w:eastAsia="方正仿宋_GBK" w:cs="方正仿宋_GBK"/>
          <w:sz w:val="32"/>
          <w:szCs w:val="32"/>
        </w:rPr>
        <w:t>0.00</w:t>
      </w:r>
      <w:r>
        <w:rPr>
          <w:rFonts w:ascii="方正仿宋_GBK" w:eastAsia="方正仿宋_GBK" w:cs="方正仿宋_GBK"/>
          <w:sz w:val="32"/>
          <w:szCs w:val="32"/>
          <w:shd w:val="clear" w:color="auto" w:fill="FFFFFF"/>
        </w:rPr>
        <w:t>万元，与2023年度相比，减少12500.00万元，下降100.0%，主要原因是</w:t>
      </w:r>
      <w:r>
        <w:rPr>
          <w:rFonts w:ascii="方正仿宋_GBK" w:eastAsia="方正仿宋_GBK" w:cs="方正仿宋_GBK" w:hint="eastAsia"/>
          <w:sz w:val="32"/>
          <w:szCs w:val="32"/>
          <w:shd w:val="clear" w:color="auto" w:fill="FFFFFF"/>
          <w:lang w:val="en-US" w:eastAsia="zh-CN"/>
        </w:rPr>
        <w:t>2024年未安排本级专项债资金。</w:t>
      </w:r>
    </w:p>
    <w:p>
      <w:pPr>
        <w:pStyle w:val="21"/>
        <w:autoSpaceDE w:val="0"/>
        <w:rPr>
          <w:rFonts w:ascii="楷体" w:eastAsia="楷体" w:cs="楷体"/>
          <w:b/>
          <w:bCs/>
          <w:sz w:val="32"/>
          <w:szCs w:val="32"/>
          <w:shd w:val="clear" w:color="auto" w:fill="FFFFFF"/>
        </w:rPr>
      </w:pPr>
      <w:r>
        <w:rPr>
          <w:rFonts w:ascii="楷体" w:eastAsia="楷体" w:cs="楷体" w:hint="eastAsia"/>
          <w:b/>
          <w:bCs/>
          <w:sz w:val="32"/>
          <w:szCs w:val="32"/>
          <w:shd w:val="clear" w:color="auto" w:fill="FFFFFF"/>
        </w:rPr>
        <w:t>（六）国有资本经营预算财政拨款支出决算情况说明</w:t>
      </w:r>
    </w:p>
    <w:p>
      <w:pPr>
        <w:pStyle w:val="19"/>
        <w:snapToGrid w:val="0"/>
        <w:spacing w:before="0" w:beforeAutospacing="0" w:after="0" w:afterAutospacing="0" w:line="600" w:lineRule="exact"/>
        <w:ind w:firstLineChars="200" w:firstLine="640"/>
        <w:jc w:val="both"/>
        <w:rPr>
          <w:rFonts w:ascii="方正仿宋_GBK" w:eastAsia="方正仿宋_GBK" w:cs="方正仿宋_GBK"/>
          <w:sz w:val="32"/>
          <w:szCs w:val="32"/>
          <w:shd w:val="clear" w:color="auto" w:fill="FFFFFF"/>
          <w:lang w:val="en-US" w:eastAsia="zh-CN"/>
        </w:rPr>
      </w:pPr>
      <w:r>
        <w:rPr>
          <w:rFonts w:ascii="方正仿宋_GBK" w:eastAsia="方正仿宋_GBK" w:cs="方正仿宋_GBK" w:hint="eastAsia"/>
          <w:sz w:val="32"/>
          <w:szCs w:val="32"/>
          <w:shd w:val="clear" w:color="auto" w:fill="FFFFFF"/>
          <w:lang w:val="en-US" w:eastAsia="zh-CN"/>
        </w:rPr>
        <w:t>本单位2024年度无国有资本经营预算财政拨款支出。</w:t>
      </w:r>
    </w:p>
    <w:p>
      <w:pPr>
        <w:pStyle w:val="19"/>
        <w:shd w:val="clear" w:color="auto" w:fill="FFFFFF"/>
        <w:spacing w:before="0" w:beforeAutospacing="0" w:after="0" w:afterAutospacing="0" w:line="596" w:lineRule="exact"/>
        <w:ind w:firstLineChars="200" w:firstLine="640"/>
        <w:rPr>
          <w:rStyle w:val="20"/>
          <w:rFonts w:ascii="黑体" w:eastAsia="黑体" w:cs="黑体"/>
          <w:sz w:val="32"/>
          <w:szCs w:val="32"/>
          <w:shd w:val="clear" w:color="auto" w:fill="FFFFFF"/>
        </w:rPr>
      </w:pPr>
      <w:r>
        <w:rPr>
          <w:rStyle w:val="20"/>
          <w:rFonts w:ascii="黑体" w:eastAsia="黑体" w:cs="黑体"/>
          <w:sz w:val="32"/>
          <w:szCs w:val="32"/>
          <w:shd w:val="clear" w:color="auto" w:fill="FFFFFF"/>
        </w:rPr>
        <w:t>三、财政拨款“三公”经费情况说明</w:t>
      </w:r>
    </w:p>
    <w:p>
      <w:pPr>
        <w:pStyle w:val="21"/>
        <w:autoSpaceDE w:val="0"/>
        <w:rPr>
          <w:rFonts w:ascii="楷体" w:eastAsia="楷体" w:cs="楷体"/>
          <w:b/>
          <w:bCs/>
          <w:sz w:val="32"/>
          <w:szCs w:val="32"/>
          <w:shd w:val="clear" w:color="auto" w:fill="FFFFFF"/>
        </w:rPr>
      </w:pPr>
      <w:r>
        <w:rPr>
          <w:rFonts w:ascii="楷体" w:eastAsia="楷体" w:cs="楷体" w:hint="eastAsia"/>
          <w:b/>
          <w:bCs/>
          <w:sz w:val="32"/>
          <w:szCs w:val="32"/>
          <w:shd w:val="clear" w:color="auto" w:fill="FFFFFF"/>
        </w:rPr>
        <w:t xml:space="preserve"> （一）“三公”经费支出总体情况说明</w:t>
      </w:r>
    </w:p>
    <w:p>
      <w:pPr>
        <w:pStyle w:val="19"/>
        <w:snapToGrid w:val="0"/>
        <w:spacing w:before="0" w:beforeAutospacing="0" w:after="0" w:afterAutospacing="0" w:line="594" w:lineRule="exact"/>
        <w:ind w:firstLineChars="200" w:firstLine="640"/>
        <w:jc w:val="both"/>
        <w:rPr>
          <w:rFonts w:ascii="方正仿宋_GBK" w:eastAsia="方正仿宋_GBK" w:cs="方正仿宋_GBK"/>
          <w:sz w:val="32"/>
          <w:szCs w:val="32"/>
        </w:rPr>
      </w:pPr>
      <w:r>
        <w:rPr>
          <w:rFonts w:ascii="方正仿宋_GBK" w:eastAsia="方正仿宋_GBK" w:cs="方正仿宋_GBK"/>
          <w:sz w:val="32"/>
          <w:szCs w:val="32"/>
          <w:shd w:val="clear" w:color="auto" w:fill="FFFFFF"/>
        </w:rPr>
        <w:t>2024年度“三公”经费支出共计</w:t>
      </w:r>
      <w:r>
        <w:rPr>
          <w:rFonts w:ascii="方正仿宋_GBK" w:eastAsia="方正仿宋_GBK" w:cs="方正仿宋_GBK"/>
          <w:sz w:val="32"/>
          <w:szCs w:val="32"/>
        </w:rPr>
        <w:t>5.38</w:t>
      </w:r>
      <w:r>
        <w:rPr>
          <w:rFonts w:ascii="方正仿宋_GBK" w:eastAsia="方正仿宋_GBK" w:cs="方正仿宋_GBK"/>
          <w:sz w:val="32"/>
          <w:szCs w:val="32"/>
          <w:shd w:val="clear" w:color="auto" w:fill="FFFFFF"/>
        </w:rPr>
        <w:t>万元，较年初预算数减少1.52万元，下降22.0%，主要原因是</w:t>
      </w:r>
      <w:r>
        <w:rPr>
          <w:rFonts w:ascii="方正仿宋_GBK" w:eastAsia="方正仿宋_GBK" w:cs="方正仿宋_GBK" w:hint="eastAsia"/>
          <w:sz w:val="32"/>
          <w:szCs w:val="32"/>
          <w:shd w:val="clear" w:color="auto" w:fill="FFFFFF"/>
          <w:lang w:eastAsia="zh-CN"/>
        </w:rPr>
        <w:t>严控经费支出。</w:t>
      </w:r>
      <w:r>
        <w:rPr>
          <w:rFonts w:ascii="方正仿宋_GBK" w:eastAsia="方正仿宋_GBK" w:cs="方正仿宋_GBK"/>
          <w:sz w:val="32"/>
          <w:szCs w:val="32"/>
          <w:shd w:val="clear" w:color="auto" w:fill="FFFFFF"/>
        </w:rPr>
        <w:t>较上年支出数增加3.90万元，增长263.5%，主要原因是</w:t>
      </w:r>
      <w:r>
        <w:rPr>
          <w:rFonts w:ascii="方正仿宋_GBK" w:eastAsia="方正仿宋_GBK" w:cs="方正仿宋_GBK" w:hint="eastAsia"/>
          <w:sz w:val="32"/>
          <w:szCs w:val="32"/>
          <w:shd w:val="clear" w:color="auto" w:fill="FFFFFF"/>
          <w:lang w:eastAsia="zh-CN"/>
        </w:rPr>
        <w:t>外出交流学习活动增加导致公务用车维护费增加。</w:t>
      </w:r>
    </w:p>
    <w:p>
      <w:pPr>
        <w:pStyle w:val="21"/>
        <w:autoSpaceDE w:val="0"/>
        <w:rPr>
          <w:rFonts w:ascii="楷体" w:eastAsia="楷体" w:cs="楷体"/>
          <w:b/>
          <w:bCs/>
          <w:sz w:val="32"/>
          <w:szCs w:val="32"/>
          <w:shd w:val="clear" w:color="auto" w:fill="FFFFFF"/>
        </w:rPr>
      </w:pPr>
      <w:r>
        <w:rPr>
          <w:rFonts w:ascii="楷体" w:eastAsia="楷体" w:cs="楷体" w:hint="eastAsia"/>
          <w:b/>
          <w:bCs/>
          <w:sz w:val="32"/>
          <w:szCs w:val="32"/>
          <w:shd w:val="clear" w:color="auto" w:fill="FFFFFF"/>
        </w:rPr>
        <w:t>（二）“三公”经费分项支出情况</w:t>
      </w:r>
    </w:p>
    <w:p>
      <w:pPr>
        <w:pStyle w:val="19"/>
        <w:snapToGrid w:val="0"/>
        <w:spacing w:before="0" w:beforeAutospacing="0" w:after="0" w:afterAutospacing="0" w:line="600" w:lineRule="exact"/>
        <w:ind w:firstLineChars="200" w:firstLine="640"/>
        <w:jc w:val="both"/>
        <w:rPr>
          <w:rFonts w:ascii="方正仿宋_GBK" w:eastAsia="方正仿宋_GBK" w:cs="方正仿宋_GBK" w:hint="eastAsia"/>
          <w:sz w:val="32"/>
          <w:szCs w:val="32"/>
          <w:lang w:eastAsia="zh-CN"/>
        </w:rPr>
      </w:pPr>
      <w:r>
        <w:rPr>
          <w:rFonts w:ascii="方正仿宋_GBK" w:eastAsia="方正仿宋_GBK" w:cs="方正仿宋_GBK"/>
          <w:sz w:val="32"/>
          <w:szCs w:val="32"/>
          <w:shd w:val="clear" w:color="auto" w:fill="FFFFFF"/>
        </w:rPr>
        <w:t>2024年度本单位因公出国（境）费用</w:t>
      </w:r>
      <w:r>
        <w:rPr>
          <w:rFonts w:ascii="方正仿宋_GBK" w:eastAsia="方正仿宋_GBK" w:cs="方正仿宋_GBK"/>
          <w:sz w:val="32"/>
          <w:szCs w:val="32"/>
        </w:rPr>
        <w:t>0.00</w:t>
      </w:r>
      <w:r>
        <w:rPr>
          <w:rFonts w:ascii="方正仿宋_GBK" w:eastAsia="方正仿宋_GBK" w:cs="方正仿宋_GBK"/>
          <w:sz w:val="32"/>
          <w:szCs w:val="32"/>
          <w:shd w:val="clear" w:color="auto" w:fill="FFFFFF"/>
        </w:rPr>
        <w:t>万元，较上年支出数无增减</w:t>
      </w:r>
      <w:r>
        <w:rPr>
          <w:rFonts w:ascii="方正仿宋_GBK" w:eastAsia="方正仿宋_GBK" w:cs="方正仿宋_GBK" w:hint="eastAsia"/>
          <w:sz w:val="32"/>
          <w:szCs w:val="32"/>
          <w:shd w:val="clear" w:color="auto" w:fill="FFFFFF"/>
          <w:lang w:eastAsia="zh-CN"/>
        </w:rPr>
        <w:t>。</w:t>
      </w:r>
    </w:p>
    <w:p>
      <w:pPr>
        <w:pStyle w:val="19"/>
        <w:snapToGrid w:val="0"/>
        <w:spacing w:before="0" w:beforeAutospacing="0" w:after="0" w:afterAutospacing="0" w:line="600" w:lineRule="exact"/>
        <w:ind w:firstLineChars="200" w:firstLine="640"/>
        <w:jc w:val="both"/>
        <w:rPr>
          <w:rFonts w:ascii="方正仿宋_GBK" w:eastAsia="方正仿宋_GBK" w:cs="方正仿宋_GBK" w:hint="eastAsia"/>
          <w:sz w:val="32"/>
          <w:szCs w:val="32"/>
          <w:shd w:val="clear" w:color="auto" w:fill="FFFFFF"/>
          <w:lang w:eastAsia="zh-CN"/>
        </w:rPr>
      </w:pPr>
      <w:r>
        <w:rPr>
          <w:rFonts w:ascii="方正仿宋_GBK" w:eastAsia="方正仿宋_GBK" w:cs="方正仿宋_GBK"/>
          <w:sz w:val="32"/>
          <w:szCs w:val="32"/>
          <w:shd w:val="clear" w:color="auto" w:fill="FFFFFF"/>
        </w:rPr>
        <w:t>公务车购置费</w:t>
      </w:r>
      <w:r>
        <w:rPr>
          <w:rFonts w:ascii="方正仿宋_GBK" w:eastAsia="方正仿宋_GBK" w:cs="方正仿宋_GBK"/>
          <w:sz w:val="32"/>
          <w:szCs w:val="32"/>
        </w:rPr>
        <w:t>0.00</w:t>
      </w:r>
      <w:r>
        <w:rPr>
          <w:rFonts w:ascii="方正仿宋_GBK" w:eastAsia="方正仿宋_GBK" w:cs="方正仿宋_GBK"/>
          <w:sz w:val="32"/>
          <w:szCs w:val="32"/>
          <w:shd w:val="clear" w:color="auto" w:fill="FFFFFF"/>
        </w:rPr>
        <w:t>万元，费用支出较年初预算数无增减，较上年支出数无增减</w:t>
      </w:r>
      <w:r>
        <w:rPr>
          <w:rFonts w:ascii="方正仿宋_GBK" w:eastAsia="方正仿宋_GBK" w:cs="方正仿宋_GBK" w:hint="eastAsia"/>
          <w:sz w:val="32"/>
          <w:szCs w:val="32"/>
          <w:shd w:val="clear" w:color="auto" w:fill="FFFFFF"/>
          <w:lang w:eastAsia="zh-CN"/>
        </w:rPr>
        <w:t>。</w:t>
      </w:r>
    </w:p>
    <w:p>
      <w:pPr>
        <w:pStyle w:val="19"/>
        <w:snapToGrid w:val="0"/>
        <w:spacing w:before="0" w:beforeAutospacing="0" w:after="0" w:afterAutospacing="0" w:line="594" w:lineRule="exact"/>
        <w:ind w:firstLineChars="200" w:firstLine="640"/>
        <w:jc w:val="both"/>
        <w:rPr>
          <w:rFonts w:ascii="方正仿宋_GBK" w:eastAsia="方正仿宋_GBK" w:cs="方正仿宋_GBK"/>
          <w:sz w:val="32"/>
          <w:szCs w:val="32"/>
        </w:rPr>
      </w:pPr>
      <w:r>
        <w:rPr>
          <w:rFonts w:ascii="方正仿宋_GBK" w:eastAsia="方正仿宋_GBK" w:cs="方正仿宋_GBK"/>
          <w:sz w:val="32"/>
          <w:szCs w:val="32"/>
          <w:shd w:val="clear" w:color="auto" w:fill="FFFFFF"/>
        </w:rPr>
        <w:t>公务车运行维护费</w:t>
      </w:r>
      <w:r>
        <w:rPr>
          <w:rFonts w:ascii="方正仿宋_GBK" w:eastAsia="方正仿宋_GBK" w:cs="方正仿宋_GBK"/>
          <w:sz w:val="32"/>
          <w:szCs w:val="32"/>
        </w:rPr>
        <w:t>4.80</w:t>
      </w:r>
      <w:r>
        <w:rPr>
          <w:rFonts w:ascii="方正仿宋_GBK" w:eastAsia="方正仿宋_GBK" w:cs="方正仿宋_GBK"/>
          <w:sz w:val="32"/>
          <w:szCs w:val="32"/>
          <w:shd w:val="clear" w:color="auto" w:fill="FFFFFF"/>
        </w:rPr>
        <w:t>万元，主要用于公务车维保、加油、停车等</w:t>
      </w:r>
      <w:r>
        <w:rPr>
          <w:rFonts w:ascii="方正仿宋_GBK" w:eastAsia="方正仿宋_GBK" w:cs="方正仿宋_GBK" w:hint="eastAsia"/>
          <w:sz w:val="32"/>
          <w:szCs w:val="32"/>
          <w:shd w:val="clear" w:color="auto" w:fill="FFFFFF"/>
          <w:lang w:eastAsia="zh-CN"/>
        </w:rPr>
        <w:t>。</w:t>
      </w:r>
      <w:r>
        <w:rPr>
          <w:rFonts w:ascii="方正仿宋_GBK" w:eastAsia="方正仿宋_GBK" w:cs="方正仿宋_GBK"/>
          <w:sz w:val="32"/>
          <w:szCs w:val="32"/>
          <w:shd w:val="clear" w:color="auto" w:fill="FFFFFF"/>
        </w:rPr>
        <w:t>费用支出较年初预算数减少0.20万元，下降4.0%，主要原因是</w:t>
      </w:r>
      <w:r>
        <w:rPr>
          <w:rFonts w:ascii="方正仿宋_GBK" w:eastAsia="方正仿宋_GBK" w:cs="方正仿宋_GBK" w:hint="eastAsia"/>
          <w:sz w:val="32"/>
          <w:szCs w:val="32"/>
          <w:shd w:val="clear" w:color="auto" w:fill="FFFFFF"/>
          <w:lang w:eastAsia="zh-CN"/>
        </w:rPr>
        <w:t>严控经费支出。</w:t>
      </w:r>
      <w:r>
        <w:rPr>
          <w:rFonts w:ascii="方正仿宋_GBK" w:eastAsia="方正仿宋_GBK" w:cs="方正仿宋_GBK"/>
          <w:sz w:val="32"/>
          <w:szCs w:val="32"/>
          <w:shd w:val="clear" w:color="auto" w:fill="FFFFFF"/>
        </w:rPr>
        <w:t>较上年支出数增加4.37万元，增长1016.3%，主要原因是</w:t>
      </w:r>
      <w:r>
        <w:rPr>
          <w:rFonts w:ascii="方正仿宋_GBK" w:eastAsia="方正仿宋_GBK" w:cs="方正仿宋_GBK" w:hint="eastAsia"/>
          <w:sz w:val="32"/>
          <w:szCs w:val="32"/>
          <w:shd w:val="clear" w:color="auto" w:fill="FFFFFF"/>
          <w:lang w:eastAsia="zh-CN"/>
        </w:rPr>
        <w:t>外出交流学习活动增加导致公务用车维护费增加。</w:t>
      </w:r>
    </w:p>
    <w:p>
      <w:pPr>
        <w:pStyle w:val="19"/>
        <w:snapToGrid w:val="0"/>
        <w:spacing w:before="0" w:beforeAutospacing="0" w:after="0" w:afterAutospacing="0" w:line="600" w:lineRule="exact"/>
        <w:ind w:firstLineChars="200" w:firstLine="640"/>
        <w:jc w:val="both"/>
        <w:rPr>
          <w:rFonts w:ascii="方正仿宋_GBK" w:eastAsia="方正仿宋_GBK" w:cs="方正仿宋_GBK"/>
          <w:sz w:val="32"/>
          <w:szCs w:val="32"/>
        </w:rPr>
      </w:pPr>
      <w:r>
        <w:rPr>
          <w:rFonts w:ascii="方正仿宋_GBK" w:eastAsia="方正仿宋_GBK" w:cs="方正仿宋_GBK"/>
          <w:sz w:val="32"/>
          <w:szCs w:val="32"/>
          <w:shd w:val="clear" w:color="auto" w:fill="FFFFFF"/>
        </w:rPr>
        <w:t>公务接待费</w:t>
      </w:r>
      <w:r>
        <w:rPr>
          <w:rFonts w:ascii="方正仿宋_GBK" w:eastAsia="方正仿宋_GBK" w:cs="方正仿宋_GBK"/>
          <w:sz w:val="32"/>
          <w:szCs w:val="32"/>
        </w:rPr>
        <w:t>0.58</w:t>
      </w:r>
      <w:r>
        <w:rPr>
          <w:rFonts w:ascii="方正仿宋_GBK" w:eastAsia="方正仿宋_GBK" w:cs="方正仿宋_GBK"/>
          <w:sz w:val="32"/>
          <w:szCs w:val="32"/>
          <w:shd w:val="clear" w:color="auto" w:fill="FFFFFF"/>
        </w:rPr>
        <w:t>万元，主要用于接待招商引资接待</w:t>
      </w:r>
      <w:r>
        <w:rPr>
          <w:rFonts w:ascii="方正仿宋_GBK" w:eastAsia="方正仿宋_GBK" w:cs="方正仿宋_GBK" w:hint="eastAsia"/>
          <w:sz w:val="32"/>
          <w:szCs w:val="32"/>
          <w:shd w:val="clear" w:color="auto" w:fill="FFFFFF"/>
          <w:lang w:eastAsia="zh-CN"/>
        </w:rPr>
        <w:t>。</w:t>
      </w:r>
      <w:r>
        <w:rPr>
          <w:rFonts w:ascii="方正仿宋_GBK" w:eastAsia="方正仿宋_GBK" w:cs="方正仿宋_GBK"/>
          <w:sz w:val="32"/>
          <w:szCs w:val="32"/>
          <w:shd w:val="clear" w:color="auto" w:fill="FFFFFF"/>
        </w:rPr>
        <w:t>费用支出较年初预算数减少1.32万元，下降69.5%，主要原因是</w:t>
      </w:r>
      <w:r>
        <w:rPr>
          <w:rFonts w:ascii="方正仿宋_GBK" w:eastAsia="方正仿宋_GBK" w:cs="方正仿宋_GBK" w:hint="eastAsia"/>
          <w:sz w:val="32"/>
          <w:szCs w:val="32"/>
          <w:shd w:val="clear" w:color="auto" w:fill="FFFFFF"/>
          <w:lang w:eastAsia="zh-CN"/>
        </w:rPr>
        <w:t>严控经费支出。</w:t>
      </w:r>
      <w:r>
        <w:rPr>
          <w:rFonts w:ascii="方正仿宋_GBK" w:eastAsia="方正仿宋_GBK" w:cs="方正仿宋_GBK"/>
          <w:sz w:val="32"/>
          <w:szCs w:val="32"/>
          <w:shd w:val="clear" w:color="auto" w:fill="FFFFFF"/>
        </w:rPr>
        <w:t>较上年支出数减少0.47万元，下降44.8%，主要原因是</w:t>
      </w:r>
      <w:r>
        <w:rPr>
          <w:rFonts w:ascii="方正仿宋_GBK" w:eastAsia="方正仿宋_GBK" w:cs="方正仿宋_GBK" w:hint="eastAsia"/>
          <w:sz w:val="32"/>
          <w:szCs w:val="32"/>
          <w:shd w:val="clear" w:color="auto" w:fill="FFFFFF"/>
          <w:lang w:eastAsia="zh-CN"/>
        </w:rPr>
        <w:t>严控经费支出。</w:t>
      </w:r>
    </w:p>
    <w:p>
      <w:pPr>
        <w:pStyle w:val="21"/>
        <w:autoSpaceDE w:val="0"/>
        <w:rPr>
          <w:rFonts w:ascii="楷体" w:eastAsia="楷体" w:cs="楷体"/>
          <w:b/>
          <w:bCs/>
          <w:sz w:val="32"/>
          <w:szCs w:val="32"/>
          <w:shd w:val="clear" w:color="auto" w:fill="FFFFFF"/>
        </w:rPr>
      </w:pPr>
      <w:r>
        <w:rPr>
          <w:rFonts w:ascii="楷体" w:eastAsia="楷体" w:cs="楷体" w:hint="eastAsia"/>
          <w:b/>
          <w:bCs/>
          <w:sz w:val="32"/>
          <w:szCs w:val="32"/>
          <w:shd w:val="clear" w:color="auto" w:fill="FFFFFF"/>
        </w:rPr>
        <w:t>（三）“三公”经费实物量情况</w:t>
      </w:r>
    </w:p>
    <w:p>
      <w:pPr>
        <w:pStyle w:val="19"/>
        <w:snapToGrid w:val="0"/>
        <w:spacing w:before="0" w:beforeAutospacing="0" w:after="0" w:afterAutospacing="0" w:line="600" w:lineRule="exact"/>
        <w:ind w:firstLineChars="200" w:firstLine="640"/>
        <w:jc w:val="both"/>
        <w:rPr>
          <w:rFonts w:ascii="方正仿宋_GBK" w:eastAsia="方正仿宋_GBK" w:cs="方正仿宋_GBK"/>
          <w:sz w:val="32"/>
          <w:szCs w:val="32"/>
        </w:rPr>
      </w:pPr>
      <w:r>
        <w:rPr>
          <w:rFonts w:ascii="方正仿宋_GBK" w:eastAsia="方正仿宋_GBK" w:cs="方正仿宋_GBK"/>
          <w:sz w:val="32"/>
          <w:szCs w:val="32"/>
          <w:shd w:val="clear" w:color="auto" w:fill="FFFFFF"/>
        </w:rPr>
        <w:t>  2024年度本单位因公出国（境）共计</w:t>
      </w:r>
      <w:r>
        <w:rPr>
          <w:rFonts w:ascii="方正仿宋_GBK" w:eastAsia="方正仿宋_GBK" w:cs="方正仿宋_GBK"/>
          <w:sz w:val="32"/>
          <w:szCs w:val="32"/>
        </w:rPr>
        <w:t>0</w:t>
      </w:r>
      <w:r>
        <w:rPr>
          <w:rFonts w:ascii="方正仿宋_GBK" w:eastAsia="方正仿宋_GBK" w:cs="方正仿宋_GBK"/>
          <w:sz w:val="32"/>
          <w:szCs w:val="32"/>
          <w:shd w:val="clear" w:color="auto" w:fill="FFFFFF"/>
        </w:rPr>
        <w:t>个团组，</w:t>
      </w:r>
      <w:r>
        <w:rPr>
          <w:rFonts w:ascii="方正仿宋_GBK" w:eastAsia="方正仿宋_GBK" w:cs="方正仿宋_GBK"/>
          <w:sz w:val="32"/>
          <w:szCs w:val="32"/>
        </w:rPr>
        <w:t>0</w:t>
      </w:r>
      <w:r>
        <w:rPr>
          <w:rFonts w:ascii="方正仿宋_GBK" w:eastAsia="方正仿宋_GBK" w:cs="方正仿宋_GBK"/>
          <w:sz w:val="32"/>
          <w:szCs w:val="32"/>
          <w:shd w:val="clear" w:color="auto" w:fill="FFFFFF"/>
        </w:rPr>
        <w:t>人；公务用车购置</w:t>
      </w:r>
      <w:r>
        <w:rPr>
          <w:rFonts w:ascii="方正仿宋_GBK" w:eastAsia="方正仿宋_GBK" w:cs="方正仿宋_GBK"/>
          <w:sz w:val="32"/>
          <w:szCs w:val="32"/>
        </w:rPr>
        <w:t>0</w:t>
      </w:r>
      <w:r>
        <w:rPr>
          <w:rFonts w:ascii="方正仿宋_GBK" w:eastAsia="方正仿宋_GBK" w:cs="方正仿宋_GBK"/>
          <w:sz w:val="32"/>
          <w:szCs w:val="32"/>
          <w:shd w:val="clear" w:color="auto" w:fill="FFFFFF"/>
        </w:rPr>
        <w:t>辆，公务车保有量为</w:t>
      </w:r>
      <w:r>
        <w:rPr>
          <w:rFonts w:ascii="方正仿宋_GBK" w:eastAsia="方正仿宋_GBK" w:cs="方正仿宋_GBK"/>
          <w:sz w:val="32"/>
          <w:szCs w:val="32"/>
        </w:rPr>
        <w:t>2</w:t>
      </w:r>
      <w:r>
        <w:rPr>
          <w:rFonts w:ascii="方正仿宋_GBK" w:eastAsia="方正仿宋_GBK" w:cs="方正仿宋_GBK"/>
          <w:sz w:val="32"/>
          <w:szCs w:val="32"/>
          <w:shd w:val="clear" w:color="auto" w:fill="FFFFFF"/>
        </w:rPr>
        <w:t>辆；国内公务接待</w:t>
      </w:r>
      <w:r>
        <w:rPr>
          <w:rFonts w:ascii="方正仿宋_GBK" w:eastAsia="方正仿宋_GBK" w:cs="方正仿宋_GBK"/>
          <w:sz w:val="32"/>
          <w:szCs w:val="32"/>
        </w:rPr>
        <w:t>6</w:t>
      </w:r>
      <w:r>
        <w:rPr>
          <w:rFonts w:ascii="方正仿宋_GBK" w:eastAsia="方正仿宋_GBK" w:cs="方正仿宋_GBK"/>
          <w:sz w:val="32"/>
          <w:szCs w:val="32"/>
          <w:shd w:val="clear" w:color="auto" w:fill="FFFFFF"/>
        </w:rPr>
        <w:t>批次</w:t>
      </w:r>
      <w:r>
        <w:rPr>
          <w:rFonts w:ascii="方正仿宋_GBK" w:eastAsia="方正仿宋_GBK" w:cs="方正仿宋_GBK"/>
          <w:sz w:val="32"/>
          <w:szCs w:val="32"/>
        </w:rPr>
        <w:t>44</w:t>
      </w:r>
      <w:r>
        <w:rPr>
          <w:rFonts w:ascii="方正仿宋_GBK" w:eastAsia="方正仿宋_GBK" w:cs="方正仿宋_GBK"/>
          <w:sz w:val="32"/>
          <w:szCs w:val="32"/>
          <w:shd w:val="clear" w:color="auto" w:fill="FFFFFF"/>
        </w:rPr>
        <w:t>人，其中：国内外事接待</w:t>
      </w:r>
      <w:r>
        <w:rPr>
          <w:rFonts w:ascii="方正仿宋_GBK" w:eastAsia="方正仿宋_GBK" w:cs="方正仿宋_GBK"/>
          <w:sz w:val="32"/>
          <w:szCs w:val="32"/>
        </w:rPr>
        <w:t>0</w:t>
      </w:r>
      <w:r>
        <w:rPr>
          <w:rFonts w:ascii="方正仿宋_GBK" w:eastAsia="方正仿宋_GBK" w:cs="方正仿宋_GBK"/>
          <w:sz w:val="32"/>
          <w:szCs w:val="32"/>
          <w:shd w:val="clear" w:color="auto" w:fill="FFFFFF"/>
        </w:rPr>
        <w:t>批次，</w:t>
      </w:r>
      <w:r>
        <w:rPr>
          <w:rFonts w:ascii="方正仿宋_GBK" w:eastAsia="方正仿宋_GBK" w:cs="方正仿宋_GBK"/>
          <w:sz w:val="32"/>
          <w:szCs w:val="32"/>
        </w:rPr>
        <w:t>0</w:t>
      </w:r>
      <w:r>
        <w:rPr>
          <w:rFonts w:ascii="方正仿宋_GBK" w:eastAsia="方正仿宋_GBK" w:cs="方正仿宋_GBK"/>
          <w:sz w:val="32"/>
          <w:szCs w:val="32"/>
          <w:shd w:val="clear" w:color="auto" w:fill="FFFFFF"/>
        </w:rPr>
        <w:t>人；国（境）外公务接待</w:t>
      </w:r>
      <w:r>
        <w:rPr>
          <w:rFonts w:ascii="方正仿宋_GBK" w:eastAsia="方正仿宋_GBK" w:cs="方正仿宋_GBK"/>
          <w:sz w:val="32"/>
          <w:szCs w:val="32"/>
        </w:rPr>
        <w:t>0</w:t>
      </w:r>
      <w:r>
        <w:rPr>
          <w:rFonts w:ascii="方正仿宋_GBK" w:eastAsia="方正仿宋_GBK" w:cs="方正仿宋_GBK"/>
          <w:sz w:val="32"/>
          <w:szCs w:val="32"/>
          <w:shd w:val="clear" w:color="auto" w:fill="FFFFFF"/>
        </w:rPr>
        <w:t>批次，</w:t>
      </w:r>
      <w:r>
        <w:rPr>
          <w:rFonts w:ascii="方正仿宋_GBK" w:eastAsia="方正仿宋_GBK" w:cs="方正仿宋_GBK"/>
          <w:sz w:val="32"/>
          <w:szCs w:val="32"/>
        </w:rPr>
        <w:t>0</w:t>
      </w:r>
      <w:r>
        <w:rPr>
          <w:rFonts w:ascii="方正仿宋_GBK" w:eastAsia="方正仿宋_GBK" w:cs="方正仿宋_GBK"/>
          <w:sz w:val="32"/>
          <w:szCs w:val="32"/>
          <w:shd w:val="clear" w:color="auto" w:fill="FFFFFF"/>
        </w:rPr>
        <w:t>人。2024年本单位人均接待费</w:t>
      </w:r>
      <w:r>
        <w:rPr>
          <w:rFonts w:ascii="方正仿宋_GBK" w:eastAsia="方正仿宋_GBK" w:cs="方正仿宋_GBK"/>
          <w:sz w:val="32"/>
          <w:szCs w:val="32"/>
        </w:rPr>
        <w:t>132.57</w:t>
      </w:r>
      <w:r>
        <w:rPr>
          <w:rFonts w:ascii="方正仿宋_GBK" w:eastAsia="方正仿宋_GBK" w:cs="方正仿宋_GBK"/>
          <w:sz w:val="32"/>
          <w:szCs w:val="32"/>
          <w:shd w:val="clear" w:color="auto" w:fill="FFFFFF"/>
        </w:rPr>
        <w:t>元，车均购置费</w:t>
      </w:r>
      <w:r>
        <w:rPr>
          <w:rFonts w:ascii="方正仿宋_GBK" w:eastAsia="方正仿宋_GBK" w:cs="方正仿宋_GBK"/>
          <w:sz w:val="32"/>
          <w:szCs w:val="32"/>
        </w:rPr>
        <w:t>0</w:t>
      </w:r>
      <w:r>
        <w:rPr>
          <w:rFonts w:ascii="方正仿宋_GBK" w:eastAsia="方正仿宋_GBK" w:cs="方正仿宋_GBK"/>
          <w:sz w:val="32"/>
          <w:szCs w:val="32"/>
          <w:shd w:val="clear" w:color="auto" w:fill="FFFFFF"/>
        </w:rPr>
        <w:t>万元，车均维护费</w:t>
      </w:r>
      <w:r>
        <w:rPr>
          <w:rFonts w:ascii="方正仿宋_GBK" w:eastAsia="方正仿宋_GBK" w:cs="方正仿宋_GBK"/>
          <w:sz w:val="32"/>
          <w:szCs w:val="32"/>
        </w:rPr>
        <w:t>2.40</w:t>
      </w:r>
      <w:r>
        <w:rPr>
          <w:rFonts w:ascii="方正仿宋_GBK" w:eastAsia="方正仿宋_GBK" w:cs="方正仿宋_GBK"/>
          <w:sz w:val="32"/>
          <w:szCs w:val="32"/>
          <w:shd w:val="clear" w:color="auto" w:fill="FFFFFF"/>
        </w:rPr>
        <w:t>万元。</w:t>
      </w:r>
    </w:p>
    <w:p>
      <w:pPr>
        <w:pStyle w:val="19"/>
        <w:shd w:val="clear" w:color="auto" w:fill="FFFFFF"/>
        <w:spacing w:before="0" w:beforeAutospacing="0" w:after="0" w:afterAutospacing="0" w:line="596" w:lineRule="exact"/>
        <w:ind w:firstLineChars="200" w:firstLine="640"/>
        <w:rPr>
          <w:rStyle w:val="20"/>
          <w:rFonts w:ascii="黑体" w:eastAsia="黑体" w:cs="黑体"/>
          <w:sz w:val="32"/>
          <w:szCs w:val="32"/>
          <w:shd w:val="clear" w:color="auto" w:fill="FFFFFF"/>
        </w:rPr>
      </w:pPr>
      <w:r>
        <w:rPr>
          <w:rStyle w:val="20"/>
          <w:rFonts w:ascii="黑体" w:eastAsia="黑体" w:cs="黑体"/>
          <w:sz w:val="32"/>
          <w:szCs w:val="32"/>
          <w:shd w:val="clear" w:color="auto" w:fill="FFFFFF"/>
        </w:rPr>
        <w:t>四、其他需要说明的事项</w:t>
      </w:r>
    </w:p>
    <w:p>
      <w:pPr>
        <w:pStyle w:val="21"/>
        <w:autoSpaceDE w:val="0"/>
        <w:rPr>
          <w:rFonts w:ascii="楷体" w:eastAsia="楷体" w:cs="楷体"/>
          <w:b/>
          <w:bCs/>
          <w:sz w:val="32"/>
          <w:szCs w:val="32"/>
          <w:shd w:val="clear" w:color="auto" w:fill="FFFFFF"/>
        </w:rPr>
      </w:pPr>
      <w:r>
        <w:rPr>
          <w:rFonts w:ascii="楷体" w:eastAsia="楷体" w:cs="楷体" w:hint="eastAsia"/>
          <w:b/>
          <w:bCs/>
          <w:sz w:val="32"/>
          <w:szCs w:val="32"/>
          <w:shd w:val="clear" w:color="auto" w:fill="FFFFFF"/>
        </w:rPr>
        <w:t xml:space="preserve"> （一）财政拨款会议费和培训费情况说明</w:t>
      </w:r>
    </w:p>
    <w:p>
      <w:pPr>
        <w:pStyle w:val="19"/>
        <w:snapToGrid w:val="0"/>
        <w:spacing w:before="0" w:beforeAutospacing="0" w:after="0" w:afterAutospacing="0" w:line="600" w:lineRule="exact"/>
        <w:ind w:firstLineChars="200" w:firstLine="640"/>
        <w:jc w:val="both"/>
        <w:rPr>
          <w:rFonts w:ascii="方正仿宋_GBK" w:eastAsia="方正仿宋_GBK" w:cs="方正仿宋_GBK" w:hint="eastAsia"/>
          <w:sz w:val="32"/>
          <w:szCs w:val="32"/>
          <w:lang w:eastAsia="zh-CN"/>
        </w:rPr>
      </w:pPr>
      <w:r>
        <w:rPr>
          <w:rFonts w:ascii="方正仿宋_GBK" w:eastAsia="方正仿宋_GBK" w:cs="方正仿宋_GBK"/>
          <w:sz w:val="32"/>
          <w:szCs w:val="32"/>
          <w:shd w:val="clear" w:color="auto" w:fill="FFFFFF"/>
        </w:rPr>
        <w:t>本年度会议费支出</w:t>
      </w:r>
      <w:r>
        <w:rPr>
          <w:rFonts w:ascii="方正仿宋_GBK" w:eastAsia="方正仿宋_GBK" w:cs="方正仿宋_GBK"/>
          <w:sz w:val="32"/>
          <w:szCs w:val="32"/>
        </w:rPr>
        <w:t>4.82</w:t>
      </w:r>
      <w:r>
        <w:rPr>
          <w:rFonts w:ascii="方正仿宋_GBK" w:eastAsia="方正仿宋_GBK" w:cs="方正仿宋_GBK"/>
          <w:sz w:val="32"/>
          <w:szCs w:val="32"/>
          <w:shd w:val="clear" w:color="auto" w:fill="FFFFFF"/>
        </w:rPr>
        <w:t>万元，与2023年度相比，减少0.18万元，下降3.6%，主要原因是</w:t>
      </w:r>
      <w:r>
        <w:rPr>
          <w:rFonts w:ascii="方正仿宋_GBK" w:eastAsia="方正仿宋_GBK" w:cs="方正仿宋_GBK" w:hint="eastAsia"/>
          <w:sz w:val="32"/>
          <w:szCs w:val="32"/>
          <w:shd w:val="clear" w:color="auto" w:fill="FFFFFF"/>
          <w:lang w:eastAsia="zh-CN"/>
        </w:rPr>
        <w:t>会议活动减少</w:t>
      </w:r>
      <w:r>
        <w:rPr>
          <w:rFonts w:ascii="方正仿宋_GBK" w:eastAsia="方正仿宋_GBK" w:cs="方正仿宋_GBK"/>
          <w:sz w:val="32"/>
          <w:szCs w:val="32"/>
          <w:shd w:val="clear" w:color="auto" w:fill="FFFFFF"/>
        </w:rPr>
        <w:t>。本年度培训费支出</w:t>
      </w:r>
      <w:r>
        <w:rPr>
          <w:rFonts w:ascii="方正仿宋_GBK" w:eastAsia="方正仿宋_GBK" w:cs="方正仿宋_GBK"/>
          <w:sz w:val="32"/>
          <w:szCs w:val="32"/>
        </w:rPr>
        <w:t>5.12</w:t>
      </w:r>
      <w:r>
        <w:rPr>
          <w:rFonts w:ascii="方正仿宋_GBK" w:eastAsia="方正仿宋_GBK" w:cs="方正仿宋_GBK"/>
          <w:sz w:val="32"/>
          <w:szCs w:val="32"/>
          <w:shd w:val="clear" w:color="auto" w:fill="FFFFFF"/>
        </w:rPr>
        <w:t>万元，与2023年度相比，减少1.93万元，下降27.4%，主要原因是</w:t>
      </w:r>
      <w:r>
        <w:rPr>
          <w:rFonts w:ascii="方正仿宋_GBK" w:eastAsia="方正仿宋_GBK" w:cs="方正仿宋_GBK" w:hint="eastAsia"/>
          <w:sz w:val="32"/>
          <w:szCs w:val="32"/>
          <w:shd w:val="clear" w:color="auto" w:fill="FFFFFF"/>
          <w:lang w:eastAsia="zh-CN"/>
        </w:rPr>
        <w:t>培训活动减少。</w:t>
      </w:r>
    </w:p>
    <w:p>
      <w:pPr>
        <w:pStyle w:val="21"/>
        <w:autoSpaceDE w:val="0"/>
        <w:rPr>
          <w:rFonts w:ascii="楷体" w:eastAsia="楷体" w:cs="楷体"/>
          <w:b/>
          <w:bCs/>
          <w:sz w:val="32"/>
          <w:szCs w:val="32"/>
          <w:shd w:val="clear" w:color="auto" w:fill="FFFFFF"/>
        </w:rPr>
      </w:pPr>
      <w:r>
        <w:rPr>
          <w:rFonts w:ascii="楷体" w:eastAsia="楷体" w:cs="楷体" w:hint="eastAsia"/>
          <w:b/>
          <w:bCs/>
          <w:sz w:val="32"/>
          <w:szCs w:val="32"/>
          <w:shd w:val="clear" w:color="auto" w:fill="FFFFFF"/>
        </w:rPr>
        <w:t>（二）机关运行经费情况说明</w:t>
      </w:r>
    </w:p>
    <w:p>
      <w:pPr>
        <w:pStyle w:val="19"/>
        <w:snapToGrid w:val="0"/>
        <w:spacing w:before="0" w:beforeAutospacing="0" w:after="0" w:afterAutospacing="0" w:line="600" w:lineRule="exact"/>
        <w:ind w:firstLineChars="200" w:firstLine="640"/>
        <w:jc w:val="both"/>
        <w:rPr>
          <w:rFonts w:ascii="方正仿宋_GBK" w:eastAsia="方正仿宋_GBK" w:cs="方正仿宋_GBK" w:hint="eastAsia"/>
          <w:sz w:val="32"/>
          <w:szCs w:val="32"/>
          <w:lang w:eastAsia="zh-CN"/>
        </w:rPr>
      </w:pPr>
      <w:r>
        <w:rPr>
          <w:rFonts w:ascii="方正仿宋_GBK" w:eastAsia="方正仿宋_GBK" w:cs="方正仿宋_GBK"/>
          <w:sz w:val="32"/>
          <w:szCs w:val="32"/>
          <w:shd w:val="clear" w:color="auto" w:fill="FFFFFF"/>
        </w:rPr>
        <w:t>2024年度本单位机关运行经费支出</w:t>
      </w:r>
      <w:r>
        <w:rPr>
          <w:rFonts w:ascii="方正仿宋_GBK" w:eastAsia="方正仿宋_GBK" w:cs="方正仿宋_GBK"/>
          <w:sz w:val="32"/>
          <w:szCs w:val="32"/>
        </w:rPr>
        <w:t>115.53</w:t>
      </w:r>
      <w:r>
        <w:rPr>
          <w:rFonts w:ascii="方正仿宋_GBK" w:eastAsia="方正仿宋_GBK" w:cs="方正仿宋_GBK"/>
          <w:sz w:val="32"/>
          <w:szCs w:val="32"/>
          <w:shd w:val="clear" w:color="auto" w:fill="FFFFFF"/>
        </w:rPr>
        <w:t>万元，机关运行经费主要用于开支办公费、邮寄费、差旅费、公务接待费、公车运行接待费</w:t>
      </w:r>
      <w:r>
        <w:rPr>
          <w:rFonts w:ascii="方正仿宋_GBK" w:eastAsia="方正仿宋_GBK" w:cs="方正仿宋_GBK" w:hint="eastAsia"/>
          <w:sz w:val="32"/>
          <w:szCs w:val="32"/>
          <w:shd w:val="clear" w:color="auto" w:fill="FFFFFF"/>
          <w:lang w:eastAsia="zh-CN"/>
        </w:rPr>
        <w:t>。</w:t>
      </w:r>
      <w:r>
        <w:rPr>
          <w:rFonts w:ascii="方正仿宋_GBK" w:eastAsia="方正仿宋_GBK" w:cs="方正仿宋_GBK"/>
          <w:sz w:val="32"/>
          <w:szCs w:val="32"/>
          <w:shd w:val="clear" w:color="auto" w:fill="FFFFFF"/>
        </w:rPr>
        <w:t>机关运行经费较上年支出数增加0.01万元，增长0.0%</w:t>
      </w:r>
      <w:r>
        <w:rPr>
          <w:rFonts w:ascii="方正仿宋_GBK" w:eastAsia="方正仿宋_GBK" w:cs="方正仿宋_GBK" w:hint="eastAsia"/>
          <w:sz w:val="32"/>
          <w:szCs w:val="32"/>
          <w:shd w:val="clear" w:color="auto" w:fill="FFFFFF"/>
          <w:lang w:eastAsia="zh-CN"/>
        </w:rPr>
        <w:t>。</w:t>
      </w:r>
    </w:p>
    <w:p>
      <w:pPr>
        <w:pStyle w:val="21"/>
        <w:autoSpaceDE w:val="0"/>
        <w:rPr>
          <w:rFonts w:ascii="楷体" w:eastAsia="楷体" w:cs="楷体"/>
          <w:b/>
          <w:bCs/>
          <w:sz w:val="32"/>
          <w:szCs w:val="32"/>
          <w:shd w:val="clear" w:color="auto" w:fill="FFFFFF"/>
        </w:rPr>
      </w:pPr>
      <w:r>
        <w:rPr>
          <w:rFonts w:ascii="楷体" w:eastAsia="楷体" w:cs="楷体" w:hint="eastAsia"/>
          <w:b/>
          <w:bCs/>
          <w:sz w:val="32"/>
          <w:szCs w:val="32"/>
          <w:shd w:val="clear" w:color="auto" w:fill="FFFFFF"/>
        </w:rPr>
        <w:t>（三）国有资产占用情况说明</w:t>
      </w:r>
    </w:p>
    <w:p>
      <w:pPr>
        <w:pStyle w:val="19"/>
        <w:snapToGrid w:val="0"/>
        <w:spacing w:before="0" w:beforeAutospacing="0" w:after="0" w:afterAutospacing="0" w:line="600" w:lineRule="exact"/>
        <w:ind w:firstLineChars="200" w:firstLine="640"/>
        <w:jc w:val="both"/>
        <w:rPr>
          <w:rFonts w:ascii="方正仿宋_GBK" w:eastAsia="方正仿宋_GBK" w:cs="方正仿宋_GBK"/>
          <w:sz w:val="32"/>
          <w:szCs w:val="32"/>
        </w:rPr>
      </w:pPr>
      <w:r>
        <w:rPr>
          <w:rFonts w:ascii="方正仿宋_GBK" w:eastAsia="方正仿宋_GBK" w:cs="方正仿宋_GBK"/>
          <w:sz w:val="32"/>
          <w:szCs w:val="32"/>
          <w:shd w:val="clear" w:color="auto" w:fill="FFFFFF"/>
        </w:rPr>
        <w:t>截至2024年12月31日，本单位共有车辆</w:t>
      </w:r>
      <w:r>
        <w:rPr>
          <w:rFonts w:ascii="方正仿宋_GBK" w:eastAsia="方正仿宋_GBK" w:cs="方正仿宋_GBK"/>
          <w:sz w:val="32"/>
          <w:szCs w:val="32"/>
        </w:rPr>
        <w:t>2</w:t>
      </w:r>
      <w:r>
        <w:rPr>
          <w:rFonts w:ascii="方正仿宋_GBK" w:eastAsia="方正仿宋_GBK" w:cs="方正仿宋_GBK"/>
          <w:sz w:val="32"/>
          <w:szCs w:val="32"/>
          <w:shd w:val="clear" w:color="auto" w:fill="FFFFFF"/>
        </w:rPr>
        <w:t>辆，其中，副部（省）级及以上领导用车</w:t>
      </w:r>
      <w:r>
        <w:rPr>
          <w:rFonts w:ascii="方正仿宋_GBK" w:eastAsia="方正仿宋_GBK" w:cs="方正仿宋_GBK"/>
          <w:sz w:val="32"/>
          <w:szCs w:val="32"/>
        </w:rPr>
        <w:t>0</w:t>
      </w:r>
      <w:r>
        <w:rPr>
          <w:rFonts w:ascii="方正仿宋_GBK" w:eastAsia="方正仿宋_GBK" w:cs="方正仿宋_GBK"/>
          <w:sz w:val="32"/>
          <w:szCs w:val="32"/>
          <w:shd w:val="clear" w:color="auto" w:fill="FFFFFF"/>
        </w:rPr>
        <w:t>辆、主要负责人用车</w:t>
      </w:r>
      <w:r>
        <w:rPr>
          <w:rFonts w:ascii="方正仿宋_GBK" w:eastAsia="方正仿宋_GBK" w:cs="方正仿宋_GBK"/>
          <w:sz w:val="32"/>
          <w:szCs w:val="32"/>
        </w:rPr>
        <w:t>0</w:t>
      </w:r>
      <w:r>
        <w:rPr>
          <w:rFonts w:ascii="方正仿宋_GBK" w:eastAsia="方正仿宋_GBK" w:cs="方正仿宋_GBK"/>
          <w:sz w:val="32"/>
          <w:szCs w:val="32"/>
          <w:shd w:val="clear" w:color="auto" w:fill="FFFFFF"/>
        </w:rPr>
        <w:t>辆、机要通信用车</w:t>
      </w:r>
      <w:r>
        <w:rPr>
          <w:rFonts w:ascii="方正仿宋_GBK" w:eastAsia="方正仿宋_GBK" w:cs="方正仿宋_GBK"/>
          <w:sz w:val="32"/>
          <w:szCs w:val="32"/>
        </w:rPr>
        <w:t>0</w:t>
      </w:r>
      <w:r>
        <w:rPr>
          <w:rFonts w:ascii="方正仿宋_GBK" w:eastAsia="方正仿宋_GBK" w:cs="方正仿宋_GBK"/>
          <w:sz w:val="32"/>
          <w:szCs w:val="32"/>
          <w:shd w:val="clear" w:color="auto" w:fill="FFFFFF"/>
        </w:rPr>
        <w:t>辆、应急保障用车</w:t>
      </w:r>
      <w:r>
        <w:rPr>
          <w:rFonts w:ascii="方正仿宋_GBK" w:eastAsia="方正仿宋_GBK" w:cs="方正仿宋_GBK"/>
          <w:sz w:val="32"/>
          <w:szCs w:val="32"/>
        </w:rPr>
        <w:t>2</w:t>
      </w:r>
      <w:r>
        <w:rPr>
          <w:rFonts w:ascii="方正仿宋_GBK" w:eastAsia="方正仿宋_GBK" w:cs="方正仿宋_GBK"/>
          <w:sz w:val="32"/>
          <w:szCs w:val="32"/>
          <w:shd w:val="clear" w:color="auto" w:fill="FFFFFF"/>
        </w:rPr>
        <w:t>辆、执法执勤用车</w:t>
      </w:r>
      <w:r>
        <w:rPr>
          <w:rFonts w:ascii="方正仿宋_GBK" w:eastAsia="方正仿宋_GBK" w:cs="方正仿宋_GBK"/>
          <w:sz w:val="32"/>
          <w:szCs w:val="32"/>
        </w:rPr>
        <w:t>0</w:t>
      </w:r>
      <w:r>
        <w:rPr>
          <w:rFonts w:ascii="方正仿宋_GBK" w:eastAsia="方正仿宋_GBK" w:cs="方正仿宋_GBK"/>
          <w:sz w:val="32"/>
          <w:szCs w:val="32"/>
          <w:shd w:val="clear" w:color="auto" w:fill="FFFFFF"/>
        </w:rPr>
        <w:t>辆，特种专业技术用车</w:t>
      </w:r>
      <w:r>
        <w:rPr>
          <w:rFonts w:ascii="方正仿宋_GBK" w:eastAsia="方正仿宋_GBK" w:cs="方正仿宋_GBK"/>
          <w:sz w:val="32"/>
          <w:szCs w:val="32"/>
        </w:rPr>
        <w:t>0</w:t>
      </w:r>
      <w:r>
        <w:rPr>
          <w:rFonts w:ascii="方正仿宋_GBK" w:eastAsia="方正仿宋_GBK" w:cs="方正仿宋_GBK"/>
          <w:sz w:val="32"/>
          <w:szCs w:val="32"/>
          <w:shd w:val="clear" w:color="auto" w:fill="FFFFFF"/>
        </w:rPr>
        <w:t>辆，离退休干部用车</w:t>
      </w:r>
      <w:r>
        <w:rPr>
          <w:rFonts w:ascii="方正仿宋_GBK" w:eastAsia="方正仿宋_GBK" w:cs="方正仿宋_GBK"/>
          <w:sz w:val="32"/>
          <w:szCs w:val="32"/>
        </w:rPr>
        <w:t>0</w:t>
      </w:r>
      <w:r>
        <w:rPr>
          <w:rFonts w:ascii="方正仿宋_GBK" w:eastAsia="方正仿宋_GBK" w:cs="方正仿宋_GBK"/>
          <w:sz w:val="32"/>
          <w:szCs w:val="32"/>
          <w:shd w:val="clear" w:color="auto" w:fill="FFFFFF"/>
        </w:rPr>
        <w:t>辆。单价100万元（含）以上专用设备</w:t>
      </w:r>
      <w:r>
        <w:rPr>
          <w:rFonts w:ascii="方正仿宋_GBK" w:eastAsia="方正仿宋_GBK" w:cs="方正仿宋_GBK"/>
          <w:sz w:val="32"/>
          <w:szCs w:val="32"/>
        </w:rPr>
        <w:t>0</w:t>
      </w:r>
      <w:r>
        <w:rPr>
          <w:rFonts w:ascii="方正仿宋_GBK" w:eastAsia="方正仿宋_GBK" w:cs="方正仿宋_GBK"/>
          <w:sz w:val="32"/>
          <w:szCs w:val="32"/>
          <w:shd w:val="clear" w:color="auto" w:fill="FFFFFF"/>
        </w:rPr>
        <w:t>台（套）。</w:t>
      </w:r>
    </w:p>
    <w:p>
      <w:pPr>
        <w:pStyle w:val="21"/>
        <w:autoSpaceDE w:val="0"/>
        <w:rPr>
          <w:rFonts w:ascii="楷体" w:eastAsia="楷体" w:cs="楷体"/>
          <w:b/>
          <w:bCs/>
          <w:sz w:val="32"/>
          <w:szCs w:val="32"/>
          <w:shd w:val="clear" w:color="auto" w:fill="FFFFFF"/>
        </w:rPr>
      </w:pPr>
      <w:r>
        <w:rPr>
          <w:rFonts w:ascii="楷体" w:eastAsia="楷体" w:cs="楷体" w:hint="eastAsia"/>
          <w:b/>
          <w:bCs/>
          <w:sz w:val="32"/>
          <w:szCs w:val="32"/>
          <w:shd w:val="clear" w:color="auto" w:fill="FFFFFF"/>
        </w:rPr>
        <w:t>（四）政府采购支出情况说明</w:t>
      </w:r>
    </w:p>
    <w:p>
      <w:pPr>
        <w:pStyle w:val="19"/>
        <w:snapToGrid w:val="0"/>
        <w:spacing w:before="0" w:beforeAutospacing="0" w:after="0" w:afterAutospacing="0" w:line="600" w:lineRule="exact"/>
        <w:ind w:firstLineChars="400" w:firstLine="1280"/>
        <w:jc w:val="both"/>
        <w:rPr>
          <w:rFonts w:ascii="方正仿宋_GBK" w:eastAsia="方正仿宋_GBK" w:cs="方正仿宋_GBK" w:hint="eastAsia"/>
          <w:color w:val="FF0000"/>
          <w:sz w:val="32"/>
          <w:szCs w:val="32"/>
          <w:shd w:val="clear" w:color="auto" w:fill="FFFFFF"/>
          <w:lang w:eastAsia="zh-CN"/>
        </w:rPr>
      </w:pPr>
      <w:r>
        <w:rPr>
          <w:rFonts w:ascii="方正仿宋_GBK" w:eastAsia="方正仿宋_GBK" w:cs="方正仿宋_GBK"/>
          <w:sz w:val="32"/>
          <w:szCs w:val="32"/>
          <w:shd w:val="clear" w:color="auto" w:fill="FFFFFF"/>
        </w:rPr>
        <w:t>2024年度本单位政府采购支出总额</w:t>
      </w:r>
      <w:r>
        <w:rPr>
          <w:rFonts w:ascii="方正仿宋_GBK" w:eastAsia="方正仿宋_GBK" w:cs="方正仿宋_GBK"/>
          <w:sz w:val="32"/>
          <w:szCs w:val="32"/>
        </w:rPr>
        <w:t>123.51</w:t>
      </w:r>
      <w:r>
        <w:rPr>
          <w:rFonts w:ascii="方正仿宋_GBK" w:eastAsia="方正仿宋_GBK" w:cs="方正仿宋_GBK"/>
          <w:sz w:val="32"/>
          <w:szCs w:val="32"/>
          <w:shd w:val="clear" w:color="auto" w:fill="FFFFFF"/>
        </w:rPr>
        <w:t>万元，其中：政府采购货物支出</w:t>
      </w:r>
      <w:r>
        <w:rPr>
          <w:rFonts w:ascii="方正仿宋_GBK" w:eastAsia="方正仿宋_GBK" w:cs="方正仿宋_GBK"/>
          <w:sz w:val="32"/>
          <w:szCs w:val="32"/>
        </w:rPr>
        <w:t>1.17</w:t>
      </w:r>
      <w:r>
        <w:rPr>
          <w:rFonts w:ascii="方正仿宋_GBK" w:eastAsia="方正仿宋_GBK" w:cs="方正仿宋_GBK"/>
          <w:sz w:val="32"/>
          <w:szCs w:val="32"/>
          <w:shd w:val="clear" w:color="auto" w:fill="FFFFFF"/>
        </w:rPr>
        <w:t>万元、政府采购工程支出</w:t>
      </w:r>
      <w:r>
        <w:rPr>
          <w:rFonts w:ascii="方正仿宋_GBK" w:eastAsia="方正仿宋_GBK" w:cs="方正仿宋_GBK"/>
          <w:sz w:val="32"/>
          <w:szCs w:val="32"/>
        </w:rPr>
        <w:t>0.00</w:t>
      </w:r>
      <w:r>
        <w:rPr>
          <w:rFonts w:ascii="方正仿宋_GBK" w:eastAsia="方正仿宋_GBK" w:cs="方正仿宋_GBK"/>
          <w:sz w:val="32"/>
          <w:szCs w:val="32"/>
          <w:shd w:val="clear" w:color="auto" w:fill="FFFFFF"/>
        </w:rPr>
        <w:t>万元、政府采购服务支出</w:t>
      </w:r>
      <w:r>
        <w:rPr>
          <w:rFonts w:ascii="方正仿宋_GBK" w:eastAsia="方正仿宋_GBK" w:cs="方正仿宋_GBK"/>
          <w:sz w:val="32"/>
          <w:szCs w:val="32"/>
        </w:rPr>
        <w:t>122.34</w:t>
      </w:r>
      <w:r>
        <w:rPr>
          <w:rFonts w:ascii="方正仿宋_GBK" w:eastAsia="方正仿宋_GBK" w:cs="方正仿宋_GBK"/>
          <w:sz w:val="32"/>
          <w:szCs w:val="32"/>
          <w:shd w:val="clear" w:color="auto" w:fill="FFFFFF"/>
        </w:rPr>
        <w:t>万元。授予中小企业合同金额</w:t>
      </w:r>
      <w:r>
        <w:rPr>
          <w:rFonts w:ascii="方正仿宋_GBK" w:eastAsia="方正仿宋_GBK" w:cs="方正仿宋_GBK"/>
          <w:sz w:val="32"/>
          <w:szCs w:val="32"/>
        </w:rPr>
        <w:t>123.51万</w:t>
      </w:r>
      <w:r>
        <w:rPr>
          <w:rFonts w:ascii="方正仿宋_GBK" w:eastAsia="方正仿宋_GBK" w:cs="方正仿宋_GBK"/>
          <w:sz w:val="32"/>
          <w:szCs w:val="32"/>
          <w:shd w:val="clear" w:color="auto" w:fill="FFFFFF"/>
        </w:rPr>
        <w:t>元，占政府采购支出总额的</w:t>
      </w:r>
      <w:r>
        <w:rPr>
          <w:rFonts w:ascii="方正仿宋_GBK" w:eastAsia="方正仿宋_GBK" w:cs="方正仿宋_GBK"/>
          <w:sz w:val="32"/>
          <w:szCs w:val="32"/>
        </w:rPr>
        <w:t>100.00</w:t>
      </w:r>
      <w:r>
        <w:rPr>
          <w:rFonts w:ascii="方正仿宋_GBK" w:eastAsia="方正仿宋_GBK" w:cs="方正仿宋_GBK"/>
          <w:sz w:val="32"/>
          <w:szCs w:val="32"/>
          <w:shd w:val="clear" w:color="auto" w:fill="FFFFFF"/>
        </w:rPr>
        <w:t>%，其中：授予小微企业合同金额</w:t>
      </w:r>
      <w:r>
        <w:rPr>
          <w:rFonts w:ascii="方正仿宋_GBK" w:eastAsia="方正仿宋_GBK" w:cs="方正仿宋_GBK"/>
          <w:sz w:val="32"/>
          <w:szCs w:val="32"/>
        </w:rPr>
        <w:t>123.51</w:t>
      </w:r>
      <w:r>
        <w:rPr>
          <w:rFonts w:ascii="方正仿宋_GBK" w:eastAsia="方正仿宋_GBK" w:cs="方正仿宋_GBK"/>
          <w:sz w:val="32"/>
          <w:szCs w:val="32"/>
          <w:shd w:val="clear" w:color="auto" w:fill="FFFFFF"/>
        </w:rPr>
        <w:t>万元，占政府采购支出总额的</w:t>
      </w:r>
      <w:r>
        <w:rPr>
          <w:rFonts w:ascii="方正仿宋_GBK" w:eastAsia="方正仿宋_GBK" w:cs="方正仿宋_GBK"/>
          <w:sz w:val="32"/>
          <w:szCs w:val="32"/>
        </w:rPr>
        <w:t>100.00</w:t>
      </w:r>
      <w:r>
        <w:rPr>
          <w:rFonts w:ascii="方正仿宋_GBK" w:eastAsia="方正仿宋_GBK" w:cs="方正仿宋_GBK"/>
          <w:sz w:val="32"/>
          <w:szCs w:val="32"/>
          <w:shd w:val="clear" w:color="auto" w:fill="FFFFFF"/>
        </w:rPr>
        <w:t xml:space="preserve"> %。主要用于采购</w:t>
      </w:r>
      <w:r>
        <w:rPr>
          <w:rFonts w:ascii="方正仿宋_GBK" w:eastAsia="方正仿宋_GBK" w:cs="方正仿宋_GBK" w:hint="eastAsia"/>
          <w:sz w:val="32"/>
          <w:szCs w:val="32"/>
          <w:shd w:val="clear" w:color="auto" w:fill="FFFFFF"/>
          <w:lang w:eastAsia="zh-CN"/>
        </w:rPr>
        <w:t>办公用品、计算机、车辆维保服务等、病媒生物防治服务等。</w:t>
      </w:r>
    </w:p>
    <w:p>
      <w:pPr>
        <w:pStyle w:val="22"/>
        <w:spacing w:before="0" w:beforeAutospacing="0" w:after="0" w:afterAutospacing="0" w:line="596" w:lineRule="exact"/>
        <w:ind w:firstLineChars="200" w:firstLine="640"/>
        <w:rPr>
          <w:rStyle w:val="20"/>
          <w:rFonts w:ascii="黑体" w:eastAsia="黑体" w:cs="黑体"/>
          <w:sz w:val="32"/>
          <w:szCs w:val="32"/>
          <w:shd w:val="clear" w:color="auto" w:fill="FFFFFF"/>
        </w:rPr>
      </w:pPr>
      <w:r>
        <w:rPr>
          <w:rStyle w:val="20"/>
          <w:rFonts w:ascii="黑体" w:eastAsia="黑体" w:cs="黑体" w:hint="eastAsia"/>
          <w:sz w:val="32"/>
          <w:szCs w:val="32"/>
          <w:shd w:val="clear" w:color="auto" w:fill="FFFFFF"/>
        </w:rPr>
        <w:t>五、2024年度预算绩效管理情况说明</w:t>
      </w:r>
    </w:p>
    <w:p>
      <w:pPr>
        <w:pStyle w:val="22"/>
        <w:autoSpaceDE w:val="0"/>
        <w:spacing w:before="0" w:beforeAutospacing="0" w:after="0" w:afterAutospacing="0" w:line="596" w:lineRule="exact"/>
        <w:ind w:firstLineChars="200" w:firstLine="640"/>
        <w:rPr>
          <w:rFonts w:ascii="楷体" w:eastAsia="楷体" w:cs="楷体"/>
          <w:b/>
          <w:bCs/>
          <w:sz w:val="32"/>
          <w:szCs w:val="32"/>
          <w:shd w:val="clear" w:color="auto" w:fill="FFFFFF"/>
        </w:rPr>
      </w:pPr>
      <w:r>
        <w:rPr>
          <w:rFonts w:ascii="楷体" w:eastAsia="楷体" w:cs="楷体" w:hint="eastAsia"/>
          <w:b/>
          <w:bCs/>
          <w:sz w:val="32"/>
          <w:szCs w:val="32"/>
          <w:shd w:val="clear" w:color="auto" w:fill="FFFFFF"/>
        </w:rPr>
        <w:t>（一）单位自评情况</w:t>
      </w:r>
    </w:p>
    <w:p>
      <w:pPr>
        <w:pStyle w:val="25"/>
        <w:tabs>
          <w:tab w:val="center" w:pos="4153"/>
          <w:tab w:val="left" w:pos="7275"/>
        </w:tabs>
        <w:spacing w:line="600" w:lineRule="exact"/>
        <w:rPr>
          <w:rFonts w:ascii="Times New Roman" w:eastAsia="方正仿宋_GBK" w:hAnsi="Times New Roman"/>
          <w:sz w:val="32"/>
          <w:szCs w:val="32"/>
        </w:rPr>
      </w:pPr>
      <w:r>
        <w:rPr>
          <w:rFonts w:ascii="Times New Roman" w:eastAsia="方正仿宋_GBK" w:hAnsi="Times New Roman"/>
          <w:sz w:val="32"/>
          <w:szCs w:val="32"/>
        </w:rPr>
        <w:t>根据预算绩效管理要求，我</w:t>
      </w:r>
      <w:r>
        <w:rPr>
          <w:rFonts w:ascii="Times New Roman" w:eastAsia="方正仿宋_GBK" w:hAnsi="Times New Roman"/>
          <w:sz w:val="32"/>
          <w:szCs w:val="32"/>
        </w:rPr>
        <w:t>单位</w:t>
      </w:r>
      <w:r>
        <w:rPr>
          <w:rFonts w:ascii="Times New Roman" w:eastAsia="方正仿宋_GBK" w:hAnsi="Times New Roman"/>
          <w:sz w:val="32"/>
          <w:szCs w:val="32"/>
        </w:rPr>
        <w:t>对</w:t>
      </w:r>
      <w:r>
        <w:rPr>
          <w:rFonts w:ascii="Times New Roman" w:eastAsia="方正仿宋_GBK" w:hAnsi="Times New Roman" w:hint="eastAsia"/>
          <w:sz w:val="32"/>
          <w:szCs w:val="32"/>
          <w:lang w:val="en-US" w:eastAsia="zh-CN"/>
        </w:rPr>
        <w:t>24</w:t>
      </w:r>
      <w:r>
        <w:rPr>
          <w:rFonts w:ascii="Times New Roman" w:eastAsia="方正仿宋_GBK" w:hAnsi="Times New Roman"/>
          <w:sz w:val="32"/>
          <w:szCs w:val="32"/>
        </w:rPr>
        <w:t>个项目开展了绩效自评，其中，以填报目标自评表形式开展自评</w:t>
      </w:r>
      <w:r>
        <w:rPr>
          <w:rFonts w:ascii="Times New Roman" w:eastAsia="方正仿宋_GBK" w:hAnsi="Times New Roman" w:hint="eastAsia"/>
          <w:sz w:val="32"/>
          <w:szCs w:val="32"/>
          <w:lang w:val="en-US" w:eastAsia="zh-CN"/>
        </w:rPr>
        <w:t>24</w:t>
      </w:r>
      <w:r>
        <w:rPr>
          <w:rFonts w:ascii="Times New Roman" w:eastAsia="方正仿宋_GBK" w:hAnsi="Times New Roman"/>
          <w:sz w:val="32"/>
          <w:szCs w:val="32"/>
        </w:rPr>
        <w:t>项，涉及资金</w:t>
      </w:r>
      <w:r>
        <w:rPr>
          <w:rFonts w:ascii="Times New Roman" w:eastAsia="方正仿宋_GBK" w:hAnsi="Times New Roman" w:hint="eastAsia"/>
          <w:sz w:val="32"/>
          <w:szCs w:val="32"/>
          <w:lang w:val="en-US" w:eastAsia="zh-CN"/>
        </w:rPr>
        <w:t>6513.84</w:t>
      </w:r>
      <w:r>
        <w:rPr>
          <w:rFonts w:ascii="Times New Roman" w:eastAsia="方正仿宋_GBK" w:hAnsi="Times New Roman"/>
          <w:sz w:val="32"/>
          <w:szCs w:val="32"/>
        </w:rPr>
        <w:t>万元</w:t>
      </w:r>
      <w:r>
        <w:rPr>
          <w:rFonts w:ascii="Times New Roman" w:eastAsia="方正仿宋_GBK" w:hAnsi="Times New Roman"/>
          <w:sz w:val="32"/>
          <w:szCs w:val="32"/>
        </w:rPr>
        <w:t>。</w:t>
      </w:r>
    </w:p>
    <w:p>
      <w:pPr>
        <w:pStyle w:val="22"/>
        <w:autoSpaceDE w:val="0"/>
        <w:spacing w:before="0" w:beforeAutospacing="0" w:after="0" w:afterAutospacing="0" w:line="596" w:lineRule="exact"/>
        <w:rPr>
          <w:rFonts w:ascii="方正仿宋_GBK" w:eastAsia="方正仿宋_GBK" w:cs="方正仿宋_GBK"/>
          <w:sz w:val="32"/>
          <w:szCs w:val="32"/>
        </w:rPr>
      </w:pPr>
      <w:r>
        <w:rPr>
          <w:rStyle w:val="23"/>
          <w:rFonts w:ascii="方正仿宋_GBK" w:eastAsia="方正仿宋_GBK" w:cs="方正仿宋_GBK" w:hint="eastAsia"/>
          <w:sz w:val="32"/>
          <w:szCs w:val="32"/>
          <w:shd w:val="clear" w:color="auto" w:fill="FFFFFF"/>
        </w:rPr>
        <w:t xml:space="preserve">   </w:t>
      </w:r>
      <w:r>
        <w:rPr>
          <w:rStyle w:val="20"/>
          <w:rFonts w:ascii="黑体" w:eastAsia="黑体" w:cs="黑体" w:hint="eastAsia"/>
          <w:sz w:val="32"/>
          <w:szCs w:val="32"/>
          <w:shd w:val="clear" w:color="auto" w:fill="FFFFFF"/>
        </w:rPr>
        <w:t xml:space="preserve"> 六、专业名词解释</w:t>
      </w:r>
    </w:p>
    <w:p>
      <w:pPr>
        <w:pStyle w:val="22"/>
        <w:spacing w:before="0" w:beforeAutospacing="0" w:after="0" w:afterAutospacing="0" w:line="596" w:lineRule="exact"/>
        <w:ind w:firstLineChars="200" w:firstLine="640"/>
        <w:rPr>
          <w:rFonts w:ascii="方正仿宋_GBK" w:eastAsia="方正仿宋_GBK" w:cs="方正仿宋_GBK"/>
          <w:sz w:val="32"/>
          <w:szCs w:val="32"/>
        </w:rPr>
      </w:pPr>
      <w:r>
        <w:rPr>
          <w:rStyle w:val="20"/>
          <w:rFonts w:ascii="楷体" w:eastAsia="楷体" w:cs="楷体" w:hint="eastAsia"/>
          <w:sz w:val="32"/>
          <w:szCs w:val="32"/>
          <w:shd w:val="clear" w:color="auto" w:fill="FFFFFF"/>
        </w:rPr>
        <w:t>（一）财政拨款收入：</w:t>
      </w:r>
      <w:r>
        <w:rPr>
          <w:rFonts w:ascii="方正仿宋_GBK" w:eastAsia="方正仿宋_GBK" w:cs="方正仿宋_GBK" w:hint="eastAsia"/>
          <w:sz w:val="32"/>
          <w:szCs w:val="32"/>
          <w:shd w:val="clear" w:color="auto" w:fill="FFFFFF"/>
        </w:rPr>
        <w:t>指本年度从本级财政部门取得的财政拨款，包括一般公共预算财政拨款和政府性基金预算财政拨款。</w:t>
      </w:r>
    </w:p>
    <w:p>
      <w:pPr>
        <w:pStyle w:val="22"/>
        <w:spacing w:before="0" w:beforeAutospacing="0" w:after="0" w:afterAutospacing="0" w:line="596" w:lineRule="exact"/>
        <w:ind w:firstLineChars="200" w:firstLine="640"/>
        <w:rPr>
          <w:rFonts w:ascii="方正仿宋_GBK" w:eastAsia="方正仿宋_GBK" w:cs="方正仿宋_GBK"/>
          <w:sz w:val="32"/>
          <w:szCs w:val="32"/>
        </w:rPr>
      </w:pPr>
      <w:r>
        <w:rPr>
          <w:rStyle w:val="20"/>
          <w:rFonts w:ascii="楷体" w:eastAsia="楷体" w:cs="楷体" w:hint="eastAsia"/>
          <w:sz w:val="32"/>
          <w:szCs w:val="32"/>
          <w:shd w:val="clear" w:color="auto" w:fill="FFFFFF"/>
        </w:rPr>
        <w:t>（二）事业收入：</w:t>
      </w:r>
      <w:r>
        <w:rPr>
          <w:rFonts w:ascii="方正仿宋_GBK" w:eastAsia="方正仿宋_GBK" w:cs="方正仿宋_GBK" w:hint="eastAsia"/>
          <w:sz w:val="32"/>
          <w:szCs w:val="32"/>
          <w:shd w:val="clear" w:color="auto" w:fill="FFFFFF"/>
        </w:rPr>
        <w:t>指事业单位开展专业业务活动及其辅助活动取得的现金流入；事业单位收到的财政专户实际核拨的教育收费等资金在此反映。</w:t>
      </w:r>
    </w:p>
    <w:p>
      <w:pPr>
        <w:pStyle w:val="22"/>
        <w:spacing w:before="0" w:beforeAutospacing="0" w:after="0" w:afterAutospacing="0" w:line="596" w:lineRule="exact"/>
        <w:ind w:firstLineChars="200" w:firstLine="640"/>
        <w:rPr>
          <w:rFonts w:ascii="方正仿宋_GBK" w:eastAsia="方正仿宋_GBK" w:cs="方正仿宋_GBK"/>
          <w:sz w:val="32"/>
          <w:szCs w:val="32"/>
        </w:rPr>
      </w:pPr>
      <w:r>
        <w:rPr>
          <w:rStyle w:val="20"/>
          <w:rFonts w:ascii="楷体" w:eastAsia="楷体" w:cs="楷体" w:hint="eastAsia"/>
          <w:sz w:val="32"/>
          <w:szCs w:val="32"/>
          <w:shd w:val="clear" w:color="auto" w:fill="FFFFFF"/>
        </w:rPr>
        <w:t>（三）经营收入：</w:t>
      </w:r>
      <w:r>
        <w:rPr>
          <w:rFonts w:ascii="方正仿宋_GBK" w:eastAsia="方正仿宋_GBK" w:cs="方正仿宋_GBK" w:hint="eastAsia"/>
          <w:sz w:val="32"/>
          <w:szCs w:val="32"/>
          <w:shd w:val="clear" w:color="auto" w:fill="FFFFFF"/>
        </w:rPr>
        <w:t>指事业单位在专业业务活动及其辅助活动之外开展非独立核算经营活动取得的现金流入。</w:t>
      </w:r>
    </w:p>
    <w:p>
      <w:pPr>
        <w:pStyle w:val="22"/>
        <w:spacing w:before="0" w:beforeAutospacing="0" w:after="0" w:afterAutospacing="0" w:line="596" w:lineRule="exact"/>
        <w:ind w:firstLineChars="200" w:firstLine="640"/>
        <w:rPr>
          <w:rFonts w:ascii="方正仿宋_GBK" w:eastAsia="方正仿宋_GBK" w:cs="方正仿宋_GBK"/>
          <w:sz w:val="32"/>
          <w:szCs w:val="32"/>
        </w:rPr>
      </w:pPr>
      <w:r>
        <w:rPr>
          <w:rStyle w:val="20"/>
          <w:rFonts w:ascii="楷体" w:eastAsia="楷体" w:cs="楷体" w:hint="eastAsia"/>
          <w:sz w:val="32"/>
          <w:szCs w:val="32"/>
          <w:shd w:val="clear" w:color="auto" w:fill="FFFFFF"/>
        </w:rPr>
        <w:t>（四）其他收入：</w:t>
      </w:r>
      <w:r>
        <w:rPr>
          <w:rFonts w:ascii="方正仿宋_GBK" w:eastAsia="方正仿宋_GBK" w:cs="方正仿宋_GBK" w:hint="eastAsia"/>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22"/>
        <w:spacing w:before="0" w:beforeAutospacing="0" w:after="0" w:afterAutospacing="0" w:line="596" w:lineRule="exact"/>
        <w:ind w:firstLineChars="200" w:firstLine="640"/>
        <w:rPr>
          <w:rFonts w:ascii="方正仿宋_GBK" w:eastAsia="方正仿宋_GBK" w:cs="方正仿宋_GBK"/>
          <w:sz w:val="32"/>
          <w:szCs w:val="32"/>
        </w:rPr>
      </w:pPr>
      <w:r>
        <w:rPr>
          <w:rStyle w:val="20"/>
          <w:rFonts w:ascii="楷体" w:eastAsia="楷体" w:cs="楷体" w:hint="eastAsia"/>
          <w:sz w:val="32"/>
          <w:szCs w:val="32"/>
          <w:shd w:val="clear" w:color="auto" w:fill="FFFFFF"/>
        </w:rPr>
        <w:t>（五）使用非财政拨款结余：</w:t>
      </w:r>
      <w:r>
        <w:rPr>
          <w:rFonts w:ascii="方正仿宋_GBK" w:eastAsia="方正仿宋_GBK" w:cs="方正仿宋_GBK" w:hint="eastAsia"/>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22"/>
        <w:spacing w:before="0" w:beforeAutospacing="0" w:after="0" w:afterAutospacing="0" w:line="596" w:lineRule="exact"/>
        <w:ind w:firstLineChars="200" w:firstLine="640"/>
        <w:rPr>
          <w:rFonts w:ascii="方正仿宋_GBK" w:eastAsia="方正仿宋_GBK" w:cs="方正仿宋_GBK"/>
          <w:sz w:val="32"/>
          <w:szCs w:val="32"/>
        </w:rPr>
      </w:pPr>
      <w:r>
        <w:rPr>
          <w:rStyle w:val="20"/>
          <w:rFonts w:ascii="楷体" w:eastAsia="楷体" w:cs="楷体" w:hint="eastAsia"/>
          <w:sz w:val="32"/>
          <w:szCs w:val="32"/>
          <w:shd w:val="clear" w:color="auto" w:fill="FFFFFF"/>
        </w:rPr>
        <w:t>（六）年初结转和结余：</w:t>
      </w:r>
      <w:r>
        <w:rPr>
          <w:rFonts w:ascii="方正仿宋_GBK" w:eastAsia="方正仿宋_GBK" w:cs="方正仿宋_GBK" w:hint="eastAsia"/>
          <w:sz w:val="32"/>
          <w:szCs w:val="32"/>
          <w:shd w:val="clear" w:color="auto" w:fill="FFFFFF"/>
        </w:rPr>
        <w:t>指单位上年结转本年使用的基本支出结转、项目支出结转和结余、经营结余。</w:t>
      </w:r>
    </w:p>
    <w:p>
      <w:pPr>
        <w:pStyle w:val="22"/>
        <w:spacing w:before="0" w:beforeAutospacing="0" w:after="0" w:afterAutospacing="0" w:line="596" w:lineRule="exact"/>
        <w:ind w:firstLineChars="200" w:firstLine="640"/>
        <w:rPr>
          <w:rFonts w:ascii="方正仿宋_GBK" w:eastAsia="方正仿宋_GBK" w:cs="方正仿宋_GBK"/>
          <w:sz w:val="32"/>
          <w:szCs w:val="32"/>
        </w:rPr>
      </w:pPr>
      <w:r>
        <w:rPr>
          <w:rStyle w:val="20"/>
          <w:rFonts w:ascii="楷体" w:eastAsia="楷体" w:cs="楷体" w:hint="eastAsia"/>
          <w:sz w:val="32"/>
          <w:szCs w:val="32"/>
          <w:shd w:val="clear" w:color="auto" w:fill="FFFFFF"/>
        </w:rPr>
        <w:t>（七）结余分配：</w:t>
      </w:r>
      <w:r>
        <w:rPr>
          <w:rFonts w:ascii="方正仿宋_GBK" w:eastAsia="方正仿宋_GBK" w:cs="方正仿宋_GBK" w:hint="eastAsia"/>
          <w:sz w:val="32"/>
          <w:szCs w:val="32"/>
          <w:shd w:val="clear" w:color="auto" w:fill="FFFFFF"/>
        </w:rPr>
        <w:t>指单位按照国家有关规定，缴纳所得税、提取专用基金、转入非财政拨款结余等当年结余的分配情况。</w:t>
      </w:r>
    </w:p>
    <w:p>
      <w:pPr>
        <w:pStyle w:val="22"/>
        <w:spacing w:before="0" w:beforeAutospacing="0" w:after="0" w:afterAutospacing="0" w:line="596" w:lineRule="exact"/>
        <w:ind w:firstLineChars="200" w:firstLine="640"/>
        <w:rPr>
          <w:rFonts w:ascii="方正仿宋_GBK" w:eastAsia="方正仿宋_GBK" w:cs="方正仿宋_GBK"/>
          <w:sz w:val="32"/>
          <w:szCs w:val="32"/>
        </w:rPr>
      </w:pPr>
      <w:r>
        <w:rPr>
          <w:rStyle w:val="20"/>
          <w:rFonts w:ascii="楷体" w:eastAsia="楷体" w:cs="楷体" w:hint="eastAsia"/>
          <w:sz w:val="32"/>
          <w:szCs w:val="32"/>
          <w:shd w:val="clear" w:color="auto" w:fill="FFFFFF"/>
        </w:rPr>
        <w:t>（八）年末结转和结余：</w:t>
      </w:r>
      <w:r>
        <w:rPr>
          <w:rFonts w:ascii="方正仿宋_GBK" w:eastAsia="方正仿宋_GBK" w:cs="方正仿宋_GBK" w:hint="eastAsia"/>
          <w:sz w:val="32"/>
          <w:szCs w:val="32"/>
          <w:shd w:val="clear" w:color="auto" w:fill="FFFFFF"/>
        </w:rPr>
        <w:t>指单位结转下年的基本支出结转、项目支出结转和结余、经营结余。</w:t>
      </w:r>
    </w:p>
    <w:p>
      <w:pPr>
        <w:pStyle w:val="22"/>
        <w:spacing w:before="0" w:beforeAutospacing="0" w:after="0" w:afterAutospacing="0" w:line="596" w:lineRule="exact"/>
        <w:ind w:firstLineChars="200" w:firstLine="640"/>
        <w:rPr>
          <w:rFonts w:ascii="方正仿宋_GBK" w:eastAsia="方正仿宋_GBK" w:cs="方正仿宋_GBK"/>
          <w:sz w:val="32"/>
          <w:szCs w:val="32"/>
        </w:rPr>
      </w:pPr>
      <w:r>
        <w:rPr>
          <w:rStyle w:val="20"/>
          <w:rFonts w:ascii="楷体" w:eastAsia="楷体" w:cs="楷体" w:hint="eastAsia"/>
          <w:sz w:val="32"/>
          <w:szCs w:val="32"/>
          <w:shd w:val="clear" w:color="auto" w:fill="FFFFFF"/>
        </w:rPr>
        <w:t>（九）基本支出：</w:t>
      </w:r>
      <w:r>
        <w:rPr>
          <w:rFonts w:ascii="方正仿宋_GBK" w:eastAsia="方正仿宋_GBK" w:cs="方正仿宋_GBK" w:hint="eastAsia"/>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22"/>
        <w:spacing w:before="0" w:beforeAutospacing="0" w:after="0" w:afterAutospacing="0" w:line="596" w:lineRule="exact"/>
        <w:ind w:firstLineChars="200" w:firstLine="640"/>
        <w:rPr>
          <w:rFonts w:ascii="方正仿宋_GBK" w:eastAsia="方正仿宋_GBK" w:cs="方正仿宋_GBK"/>
          <w:sz w:val="32"/>
          <w:szCs w:val="32"/>
        </w:rPr>
      </w:pPr>
      <w:r>
        <w:rPr>
          <w:rStyle w:val="20"/>
          <w:rFonts w:ascii="楷体" w:eastAsia="楷体" w:cs="楷体" w:hint="eastAsia"/>
          <w:sz w:val="32"/>
          <w:szCs w:val="32"/>
          <w:shd w:val="clear" w:color="auto" w:fill="FFFFFF"/>
        </w:rPr>
        <w:t>（十）项目支出：</w:t>
      </w:r>
      <w:r>
        <w:rPr>
          <w:rFonts w:ascii="方正仿宋_GBK" w:eastAsia="方正仿宋_GBK" w:cs="方正仿宋_GBK" w:hint="eastAsia"/>
          <w:sz w:val="32"/>
          <w:szCs w:val="32"/>
          <w:shd w:val="clear" w:color="auto" w:fill="FFFFFF"/>
        </w:rPr>
        <w:t>指在基本支出之外为完成特定行政任务和事业发展目标所发生的支出。</w:t>
      </w:r>
    </w:p>
    <w:p>
      <w:pPr>
        <w:pStyle w:val="22"/>
        <w:spacing w:before="0" w:beforeAutospacing="0" w:after="0" w:afterAutospacing="0" w:line="596" w:lineRule="exact"/>
        <w:ind w:firstLineChars="200" w:firstLine="640"/>
        <w:rPr>
          <w:rFonts w:ascii="方正仿宋_GBK" w:eastAsia="方正仿宋_GBK" w:cs="方正仿宋_GBK"/>
          <w:sz w:val="32"/>
          <w:szCs w:val="32"/>
        </w:rPr>
      </w:pPr>
      <w:r>
        <w:rPr>
          <w:rStyle w:val="20"/>
          <w:rFonts w:ascii="楷体" w:eastAsia="楷体" w:cs="楷体" w:hint="eastAsia"/>
          <w:sz w:val="32"/>
          <w:szCs w:val="32"/>
          <w:shd w:val="clear" w:color="auto" w:fill="FFFFFF"/>
        </w:rPr>
        <w:t>（十一）经营支出：</w:t>
      </w:r>
      <w:r>
        <w:rPr>
          <w:rFonts w:ascii="方正仿宋_GBK" w:eastAsia="方正仿宋_GBK" w:cs="方正仿宋_GBK" w:hint="eastAsia"/>
          <w:sz w:val="32"/>
          <w:szCs w:val="32"/>
          <w:shd w:val="clear" w:color="auto" w:fill="FFFFFF"/>
        </w:rPr>
        <w:t>指事业单位在专业业务活动及其辅助活动之外开展非独立核算经营活动发生的支出。</w:t>
      </w:r>
    </w:p>
    <w:p>
      <w:pPr>
        <w:pStyle w:val="22"/>
        <w:spacing w:before="0" w:beforeAutospacing="0" w:after="0" w:afterAutospacing="0" w:line="596" w:lineRule="exact"/>
        <w:ind w:firstLineChars="200" w:firstLine="640"/>
        <w:rPr>
          <w:rFonts w:ascii="方正仿宋_GBK" w:eastAsia="方正仿宋_GBK" w:cs="方正仿宋_GBK"/>
          <w:sz w:val="32"/>
          <w:szCs w:val="32"/>
        </w:rPr>
      </w:pPr>
      <w:r>
        <w:rPr>
          <w:rStyle w:val="20"/>
          <w:rFonts w:ascii="楷体" w:eastAsia="楷体" w:cs="楷体" w:hint="eastAsia"/>
          <w:sz w:val="32"/>
          <w:szCs w:val="32"/>
          <w:shd w:val="clear" w:color="auto" w:fill="FFFFFF"/>
        </w:rPr>
        <w:t>（十二）“三公”经费：</w:t>
      </w:r>
      <w:r>
        <w:rPr>
          <w:rFonts w:ascii="方正仿宋_GBK" w:eastAsia="方正仿宋_GBK" w:cs="方正仿宋_GBK" w:hint="eastAsia"/>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22"/>
        <w:spacing w:before="0" w:beforeAutospacing="0" w:after="0" w:afterAutospacing="0" w:line="596" w:lineRule="exact"/>
        <w:ind w:firstLineChars="200" w:firstLine="640"/>
        <w:rPr>
          <w:rFonts w:ascii="方正仿宋_GBK" w:eastAsia="方正仿宋_GBK" w:cs="方正仿宋_GBK"/>
          <w:sz w:val="32"/>
          <w:szCs w:val="32"/>
        </w:rPr>
      </w:pPr>
      <w:r>
        <w:rPr>
          <w:rStyle w:val="20"/>
          <w:rFonts w:ascii="楷体" w:eastAsia="楷体" w:cs="楷体" w:hint="eastAsia"/>
          <w:sz w:val="32"/>
          <w:szCs w:val="32"/>
          <w:shd w:val="clear" w:color="auto" w:fill="FFFFFF"/>
        </w:rPr>
        <w:t>（十三）机关运行经费：</w:t>
      </w:r>
      <w:r>
        <w:rPr>
          <w:rFonts w:ascii="方正仿宋_GBK" w:eastAsia="方正仿宋_GBK" w:cs="方正仿宋_GBK" w:hint="eastAsia"/>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22"/>
        <w:spacing w:before="0" w:beforeAutospacing="0" w:after="0" w:afterAutospacing="0" w:line="596" w:lineRule="exact"/>
        <w:ind w:firstLineChars="200" w:firstLine="640"/>
        <w:rPr>
          <w:rFonts w:ascii="方正仿宋_GBK" w:eastAsia="方正仿宋_GBK" w:cs="方正仿宋_GBK"/>
          <w:sz w:val="32"/>
          <w:szCs w:val="32"/>
        </w:rPr>
      </w:pPr>
      <w:r>
        <w:rPr>
          <w:rStyle w:val="20"/>
          <w:rFonts w:ascii="楷体" w:eastAsia="楷体" w:cs="楷体" w:hint="eastAsia"/>
          <w:sz w:val="32"/>
          <w:szCs w:val="32"/>
          <w:shd w:val="clear" w:color="auto" w:fill="FFFFFF"/>
        </w:rPr>
        <w:t>（十四）工资福利支出（支出经济分类科目类级）：</w:t>
      </w:r>
      <w:r>
        <w:rPr>
          <w:rFonts w:ascii="方正仿宋_GBK" w:eastAsia="方正仿宋_GBK" w:cs="方正仿宋_GBK" w:hint="eastAsia"/>
          <w:sz w:val="32"/>
          <w:szCs w:val="32"/>
          <w:shd w:val="clear" w:color="auto" w:fill="FFFFFF"/>
        </w:rPr>
        <w:t>反映单位开支的在职职工和编制外长期聘用人员的各类劳动报酬，以及为上述人员缴纳的各项社会保险费等。</w:t>
      </w:r>
    </w:p>
    <w:p>
      <w:pPr>
        <w:pStyle w:val="22"/>
        <w:spacing w:before="0" w:beforeAutospacing="0" w:after="0" w:afterAutospacing="0" w:line="596" w:lineRule="exact"/>
        <w:ind w:firstLineChars="200" w:firstLine="640"/>
        <w:rPr>
          <w:rFonts w:ascii="方正仿宋_GBK" w:eastAsia="方正仿宋_GBK" w:cs="方正仿宋_GBK"/>
          <w:sz w:val="32"/>
          <w:szCs w:val="32"/>
        </w:rPr>
      </w:pPr>
      <w:r>
        <w:rPr>
          <w:rStyle w:val="20"/>
          <w:rFonts w:ascii="楷体" w:eastAsia="楷体" w:cs="楷体" w:hint="eastAsia"/>
          <w:sz w:val="32"/>
          <w:szCs w:val="32"/>
          <w:shd w:val="clear" w:color="auto" w:fill="FFFFFF"/>
        </w:rPr>
        <w:t>（十五）商品和服务支出（支出经济分类科目类级）：</w:t>
      </w:r>
      <w:r>
        <w:rPr>
          <w:rFonts w:ascii="方正仿宋_GBK" w:eastAsia="方正仿宋_GBK" w:cs="方正仿宋_GBK" w:hint="eastAsia"/>
          <w:sz w:val="32"/>
          <w:szCs w:val="32"/>
          <w:shd w:val="clear" w:color="auto" w:fill="FFFFFF"/>
        </w:rPr>
        <w:t>反映单位购买商品和服务的支出（不包括用于购置固定资产的支出、战略性和应急储备支出）。</w:t>
      </w:r>
    </w:p>
    <w:p>
      <w:pPr>
        <w:pStyle w:val="22"/>
        <w:spacing w:before="0" w:beforeAutospacing="0" w:after="0" w:afterAutospacing="0" w:line="596" w:lineRule="exact"/>
        <w:ind w:firstLineChars="200" w:firstLine="640"/>
        <w:rPr>
          <w:rFonts w:ascii="方正仿宋_GBK" w:eastAsia="方正仿宋_GBK" w:cs="方正仿宋_GBK"/>
          <w:sz w:val="32"/>
          <w:szCs w:val="32"/>
        </w:rPr>
      </w:pPr>
      <w:r>
        <w:rPr>
          <w:rStyle w:val="20"/>
          <w:rFonts w:ascii="楷体" w:eastAsia="楷体" w:cs="楷体" w:hint="eastAsia"/>
          <w:sz w:val="32"/>
          <w:szCs w:val="32"/>
          <w:shd w:val="clear" w:color="auto" w:fill="FFFFFF"/>
        </w:rPr>
        <w:t>（十六）对个人和家庭的补助（支出经济分类科目类级）：</w:t>
      </w:r>
      <w:r>
        <w:rPr>
          <w:rFonts w:ascii="方正仿宋_GBK" w:eastAsia="方正仿宋_GBK" w:cs="方正仿宋_GBK" w:hint="eastAsia"/>
          <w:sz w:val="32"/>
          <w:szCs w:val="32"/>
          <w:shd w:val="clear" w:color="auto" w:fill="FFFFFF"/>
        </w:rPr>
        <w:t>反映用于对个人和家庭的补助支出。</w:t>
      </w:r>
    </w:p>
    <w:p>
      <w:pPr>
        <w:pStyle w:val="22"/>
        <w:spacing w:before="0" w:beforeAutospacing="0" w:after="0" w:afterAutospacing="0" w:line="596" w:lineRule="exact"/>
        <w:ind w:firstLineChars="200" w:firstLine="640"/>
        <w:rPr>
          <w:rFonts w:ascii="方正仿宋_GBK" w:eastAsia="方正仿宋_GBK" w:cs="方正仿宋_GBK"/>
          <w:sz w:val="32"/>
          <w:szCs w:val="32"/>
        </w:rPr>
      </w:pPr>
      <w:r>
        <w:rPr>
          <w:rStyle w:val="20"/>
          <w:rFonts w:ascii="楷体" w:eastAsia="楷体" w:cs="楷体" w:hint="eastAsia"/>
          <w:sz w:val="32"/>
          <w:szCs w:val="32"/>
          <w:shd w:val="clear" w:color="auto" w:fill="FFFFFF"/>
        </w:rPr>
        <w:t>（十七）其他资本性支出（支出经济分类科目类级）：</w:t>
      </w:r>
      <w:r>
        <w:rPr>
          <w:rFonts w:ascii="方正仿宋_GBK" w:eastAsia="方正仿宋_GBK" w:cs="方正仿宋_GBK" w:hint="eastAsia"/>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22"/>
        <w:spacing w:before="0" w:beforeAutospacing="0" w:after="0" w:afterAutospacing="0" w:line="596" w:lineRule="exact"/>
        <w:ind w:firstLineChars="200" w:firstLine="640"/>
        <w:rPr>
          <w:rFonts w:ascii="方正仿宋_GBK" w:eastAsia="方正仿宋_GBK" w:cs="方正仿宋_GBK"/>
          <w:sz w:val="32"/>
          <w:szCs w:val="32"/>
        </w:rPr>
      </w:pPr>
      <w:r>
        <w:rPr>
          <w:rStyle w:val="20"/>
          <w:rFonts w:ascii="黑体" w:eastAsia="黑体" w:cs="黑体" w:hint="eastAsia"/>
          <w:sz w:val="32"/>
          <w:szCs w:val="32"/>
          <w:shd w:val="clear" w:color="auto" w:fill="FFFFFF"/>
        </w:rPr>
        <w:t>七、决算公开联系方式及信息反馈渠道</w:t>
      </w:r>
    </w:p>
    <w:p>
      <w:pPr>
        <w:pStyle w:val="22"/>
        <w:spacing w:before="0" w:beforeAutospacing="0" w:after="0" w:afterAutospacing="0" w:line="596" w:lineRule="exact"/>
        <w:rPr>
          <w:rFonts w:ascii="方正仿宋_GBK" w:eastAsia="方正仿宋_GBK" w:cs="方正仿宋_GBK"/>
          <w:sz w:val="32"/>
          <w:szCs w:val="32"/>
        </w:rPr>
      </w:pPr>
      <w:r>
        <w:rPr>
          <w:rFonts w:ascii="方正仿宋_GBK" w:eastAsia="方正仿宋_GBK" w:cs="方正仿宋_GBK" w:hint="eastAsia"/>
          <w:sz w:val="32"/>
          <w:szCs w:val="32"/>
          <w:shd w:val="clear" w:color="auto" w:fill="FFFFFF"/>
        </w:rPr>
        <w:t>本单位决算公开信息反馈和联系方式：</w:t>
      </w:r>
    </w:p>
    <w:p>
      <w:pPr>
        <w:pStyle w:val="22"/>
        <w:spacing w:before="0" w:beforeAutospacing="0" w:after="0" w:afterAutospacing="0" w:line="596" w:lineRule="exact"/>
        <w:rPr>
          <w:rFonts w:ascii="方正仿宋_GBK" w:eastAsia="方正仿宋_GBK" w:cs="方正仿宋_GBK"/>
          <w:sz w:val="32"/>
          <w:szCs w:val="32"/>
          <w:shd w:val="clear" w:color="auto" w:fill="FFFFFF"/>
          <w:lang w:val="en-US" w:eastAsia="zh-CN"/>
        </w:rPr>
      </w:pPr>
      <w:r>
        <w:rPr>
          <w:rFonts w:ascii="方正仿宋_GBK" w:eastAsia="方正仿宋_GBK" w:cs="方正仿宋_GBK" w:hint="eastAsia"/>
          <w:sz w:val="32"/>
          <w:szCs w:val="32"/>
          <w:shd w:val="clear" w:color="auto" w:fill="FFFFFF"/>
          <w:lang w:eastAsia="zh-CN"/>
        </w:rPr>
        <w:t>廖玲珑</w:t>
      </w:r>
      <w:r>
        <w:rPr>
          <w:rFonts w:ascii="方正仿宋_GBK" w:eastAsia="方正仿宋_GBK" w:cs="方正仿宋_GBK" w:hint="eastAsia"/>
          <w:sz w:val="32"/>
          <w:szCs w:val="32"/>
          <w:shd w:val="clear" w:color="auto" w:fill="FFFFFF"/>
        </w:rPr>
        <w:t xml:space="preserve">   023-</w:t>
      </w:r>
      <w:r>
        <w:rPr>
          <w:rFonts w:ascii="方正仿宋_GBK" w:eastAsia="方正仿宋_GBK" w:cs="方正仿宋_GBK" w:hint="eastAsia"/>
          <w:sz w:val="32"/>
          <w:szCs w:val="32"/>
          <w:shd w:val="clear" w:color="auto" w:fill="FFFFFF"/>
          <w:lang w:val="en-US" w:eastAsia="zh-CN"/>
        </w:rPr>
        <w:t>63715145</w:t>
      </w:r>
    </w:p>
    <w:p>
      <w:pPr>
        <w:pStyle w:val="21"/>
        <w:autoSpaceDE w:val="0"/>
        <w:spacing w:line="596" w:lineRule="exact"/>
        <w:jc w:val="both"/>
        <w:rPr>
          <w:rStyle w:val="20"/>
          <w:rFonts w:ascii="方正仿宋_GBK" w:eastAsia="方正仿宋_GBK" w:cs="方正仿宋_GBK"/>
          <w:sz w:val="32"/>
          <w:szCs w:val="32"/>
          <w:shd w:val="clear" w:color="auto" w:fill="FFFF00"/>
        </w:rPr>
        <w:sectPr>
          <w:footerReference w:type="default" r:id="rId2"/>
          <w:pgSz w:w="11915" w:h="16840"/>
          <w:pgMar w:top="1440" w:right="1800" w:bottom="1440" w:left="1800" w:header="851" w:footer="992" w:gutter="0"/>
          <w:pgNumType w:fmt="numberInDash"/>
          <w:docGrid w:type="lines" w:linePitch="312" w:charSpace="0"/>
        </w:sectPr>
      </w:pPr>
    </w:p>
    <w:p>
      <w:pPr>
        <w:rPr>
          <w:sz w:val="18"/>
          <w:szCs w:val="18"/>
        </w:rPr>
      </w:pPr>
      <w:r>
        <w:rPr>
          <w:rFonts w:cs="宋体"/>
          <w:sz w:val="18"/>
          <w:szCs w:val="18"/>
        </w:rPr>
        <w:br/>
        <w:br/>
      </w:r>
    </w:p>
    <w:sectPr>
      <w:headerReference w:type="default" r:id="rId3"/>
      <w:footerReference w:type="default" r:id="rId4"/>
      <w:pgSz w:w="16783" w:h="11850" w:orient="landscape"/>
      <w:pgMar w:top="567" w:right="454" w:bottom="567" w:left="1037" w:header="0" w:footer="283" w:gutter="0"/>
      <w:pgNumType w:fmt="numberInDash"/>
      <w:docGrid w:type="lines" w:linePitch="326" w:charSpace="0"/>
    </w:sectPr>
  </w:body>
</w:document>
</file>

<file path=word/fontTable.xml><?xml version="1.0" encoding="utf-8"?>
<w:fonts xmlns:w="http://schemas.openxmlformats.org/wordprocessingml/2006/main" xmlns:r="http://schemas.openxmlformats.org/officeDocument/2006/relationships">
  <w:font w:name="方正小标宋_GBK">
    <w:panose1 w:val="03000509000000000000"/>
    <w:charset w:val="86"/>
    <w:family w:val="script"/>
    <w:pitch w:val="variable"/>
    <w:sig w:usb0="00000001" w:usb1="080E0000" w:usb2="00000000" w:usb3="00000000" w:csb0="00040000" w:csb1="00000000"/>
  </w:font>
  <w:font w:name="Times New Roman">
    <w:altName w:val="DejaVu Sans"/>
    <w:panose1 w:val="02020603050405020304"/>
    <w:charset w:val="00"/>
    <w:family w:val="roman"/>
    <w:pitch w:val="variable"/>
    <w:sig w:usb0="20007A87" w:usb1="80000000" w:usb2="00000008" w:usb3="00000000" w:csb0="000001FF" w:csb1="00000000"/>
  </w:font>
  <w:font w:name="黑体">
    <w:panose1 w:val="02010609060101010101"/>
    <w:charset w:val="86"/>
    <w:family w:val="auto"/>
    <w:pitch w:val="variable"/>
    <w:sig w:usb0="800002BF" w:usb1="38CF7CFA" w:usb2="00000016" w:usb3="00000000" w:csb0="00040001" w:csb1="00000000"/>
  </w:font>
  <w:font w:name="楷体">
    <w:panose1 w:val="02010609060101010101"/>
    <w:charset w:val="86"/>
    <w:family w:val="modern"/>
    <w:pitch w:val="variable"/>
    <w:sig w:usb0="800002BF" w:usb1="38CF7CFA" w:usb2="00000016" w:usb3="00000000" w:csb0="00040001" w:csb1="00000000"/>
  </w:font>
  <w:font w:name="方正仿宋_GBK">
    <w:altName w:val="永中宋体"/>
    <w:panose1 w:val="03000509000000000000"/>
    <w:charset w:val="86"/>
    <w:family w:val="script"/>
    <w:pitch w:val="variable"/>
    <w:sig w:usb0="00000001" w:usb1="080E0000" w:usb2="00000000" w:usb3="00000000" w:csb0="00040000" w:csb1="00000000"/>
  </w:font>
  <w:font w:name="宋体">
    <w:panose1 w:val="02010600030101010101"/>
    <w:charset w:val="86"/>
    <w:family w:val="auto"/>
    <w:pitch w:val="variable"/>
    <w:sig w:usb0="00000003" w:usb1="288F0000" w:usb2="00000006" w:usb3="00000000" w:csb0="00040001" w:csb1="00000000"/>
  </w:font>
  <w:font w:name="Wingdings">
    <w:panose1 w:val="05000000000000000000"/>
    <w:charset w:val="02"/>
    <w:family w:val="auto"/>
    <w:pitch w:val="variable"/>
    <w:sig w:usb0="00000000" w:usb1="00000000" w:usb2="00000000" w:usb3="00000000" w:csb0="8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6"/>
      <w:tabs>
        <w:tab w:val="center" w:pos="4153"/>
        <w:tab w:val="right" w:pos="8306"/>
      </w:tabs>
    </w:pPr>
    <w:r>
      <mc:AlternateContent>
        <mc:Choice Requires="wps">
          <w:drawing>
            <wp:anchor distT="0" distB="0" distL="114298" distR="114298" simplePos="0" relativeHeight="12" behindDoc="0" locked="0" layoutInCell="1" hidden="0" allowOverlap="1">
              <wp:simplePos x="0" y="0"/>
              <wp:positionH relativeFrom="margin">
                <wp:align>center</wp:align>
              </wp:positionH>
              <wp:positionV relativeFrom="paragraph">
                <wp:posOffset>0</wp:posOffset>
              </wp:positionV>
              <wp:extent cx="285750" cy="148018"/>
              <wp:effectExtent l="0" t="0" r="0" b="0"/>
              <wp:wrapNone/>
              <wp:docPr id="1" name="文本框"/>
              <wp:cNvGraphicFramePr>
                <a:graphicFrameLocks noChangeAspect="0"/>
              </wp:cNvGraphicFramePr>
              <a:graphic>
                <a:graphicData uri="http://schemas.microsoft.com/office/word/2010/wordprocessingShape">
                  <wps:wsp>
                    <wps:cNvSpPr/>
                    <wps:spPr>
                      <a:xfrm rot="0">
                        <a:off x="0" y="0"/>
                        <a:ext cx="285750" cy="148018"/>
                      </a:xfrm>
                      <a:prstGeom prst="rect"/>
                      <a:noFill/>
                      <a:ln w="9525" cmpd="sng" cap="flat">
                        <a:noFill/>
                        <a:prstDash val="solid"/>
                        <a:miter/>
                      </a:ln>
                    </wps:spPr>
                    <wps:txbx id="2">
                      <w:txbxContent>
                        <w:p>
                          <w:pPr>
                            <w:pStyle w:val="16"/>
                            <w:tabs>
                              <w:tab w:val="center" w:pos="4153"/>
                              <w:tab w:val="right" w:pos="8306"/>
                            </w:tabs>
                          </w:pPr>
                          <w:r>
                            <w:fldChar w:fldCharType="begin"/>
                          </w:r>
                          <w:r>
                            <w:instrText xml:space="preserve"> PAGE  \* MERGEFORMAT </w:instrText>
                          </w:r>
                          <w:r>
                            <w:fldChar w:fldCharType="separate"/>
                          </w:r>
                          <w:r>
                            <w:t>- 23 -</w:t>
                          </w:r>
                          <w:r>
                            <w:fldChar w:fldCharType="end"/>
                          </w:r>
                        </w:p>
                      </w:txbxContent>
                    </wps:txbx>
                    <wps:bodyPr vert="horz" wrap="none" lIns="0" tIns="0" rIns="0" bIns="0" anchor="t" anchorCtr="0" upright="1">
                      <a:spAutoFit/>
                    </wps:bodyPr>
                  </wps:wsp>
                </a:graphicData>
              </a:graphic>
            </wp:anchor>
          </w:drawing>
        </mc:Choice>
        <mc:Fallback>
          <w:pict>
            <v:shape type="#_x0000_t202" id="文本框 3" o:spid="_x0000_s3" filled="f" stroked="f" style="position:absolute;margin-left:0.0pt;margin-top:0.0pt;width:22.5pt;height:11.655035pt;z-index:12;mso-position-horizontal:center;mso-position-horizontal-relative:margin;mso-position-vertical:absolute;mso-wrap-distance-left:8.999863pt;mso-wrap-distance-right:8.999863pt;mso-wrap-style:none;">
              <v:stroke color="#000000"/>
              <v:textbox id="848" inset="0mm,0mm,0mm,0mm" o:insetmode="custom" style="layout-flow:horizontal;v-text-anchor:top;mso-fit-shape-to-text:t;">
                <w:txbxContent>
                  <w:p>
                    <w:pPr>
                      <w:pStyle w:val="16"/>
                      <w:tabs>
                        <w:tab w:val="center" w:pos="4153"/>
                        <w:tab w:val="right" w:pos="8306"/>
                      </w:tabs>
                    </w:pPr>
                    <w:r>
                      <w:fldChar w:fldCharType="begin"/>
                    </w:r>
                    <w:r>
                      <w:instrText xml:space="preserve"> PAGE  \* MERGEFORMAT </w:instrText>
                    </w:r>
                    <w:r>
                      <w:fldChar w:fldCharType="separate"/>
                    </w:r>
                    <w:r>
                      <w:t>- 23 -</w:t>
                    </w:r>
                    <w:r>
                      <w:fldChar w:fldCharType="end"/>
                    </w:r>
                  </w:p>
                </w:txbxContent>
              </v:textbox>
            </v:shape>
          </w:pict>
        </mc:Fallback>
      </mc:AlternateConten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6"/>
      <w:tabs>
        <w:tab w:val="center" w:pos="4153"/>
        <w:tab w:val="right" w:pos="8306"/>
      </w:tabs>
      <w:jc w:val="both"/>
    </w:pPr>
    <w:r>
      <mc:AlternateContent>
        <mc:Choice Requires="wps">
          <w:drawing>
            <wp:anchor distT="0" distB="0" distL="114298" distR="114298" simplePos="0" relativeHeight="14" behindDoc="0" locked="0" layoutInCell="1" hidden="0" allowOverlap="0">
              <wp:simplePos x="0" y="0"/>
              <wp:positionH relativeFrom="margin">
                <wp:align>center</wp:align>
              </wp:positionH>
              <wp:positionV relativeFrom="paragraph">
                <wp:posOffset>0</wp:posOffset>
              </wp:positionV>
              <wp:extent cx="400050" cy="148018"/>
              <wp:effectExtent l="0" t="0" r="0" b="0"/>
              <wp:wrapNone/>
              <wp:docPr id="4" name="文本框"/>
              <wp:cNvGraphicFramePr>
                <a:graphicFrameLocks noChangeAspect="0"/>
              </wp:cNvGraphicFramePr>
              <a:graphic>
                <a:graphicData uri="http://schemas.microsoft.com/office/word/2010/wordprocessingShape">
                  <wps:wsp>
                    <wps:cNvSpPr/>
                    <wps:spPr>
                      <a:xfrm rot="0">
                        <a:off x="0" y="0"/>
                        <a:ext cx="400050" cy="148018"/>
                      </a:xfrm>
                      <a:prstGeom prst="rect"/>
                      <a:noFill/>
                      <a:ln w="9525" cmpd="sng" cap="flat">
                        <a:noFill/>
                        <a:prstDash val="solid"/>
                        <a:miter/>
                      </a:ln>
                    </wps:spPr>
                    <wps:txbx id="5">
                      <w:txbxContent>
                        <w:p>
                          <w:pPr>
                            <w:pStyle w:val="16"/>
                            <w:tabs>
                              <w:tab w:val="center" w:pos="4153"/>
                              <w:tab w:val="right" w:pos="8306"/>
                            </w:tabs>
                          </w:pPr>
                          <w:r>
                            <w:t xml:space="preserve"> </w:t>
                          </w:r>
                          <w:r>
                            <w:fldChar w:fldCharType="begin"/>
                          </w:r>
                          <w:r>
                            <w:instrText>PAGE   \* MERGEFORMAT</w:instrText>
                          </w:r>
                          <w:r>
                            <w:fldChar w:fldCharType="separate"/>
                          </w:r>
                          <w:r>
                            <w:rPr>
                              <w:lang w:val="zh-CN"/>
                            </w:rPr>
                            <w:t>-</w:t>
                          </w:r>
                          <w:r>
                            <w:t xml:space="preserve"> 32 -</w:t>
                          </w:r>
                          <w:r>
                            <w:fldChar w:fldCharType="end"/>
                          </w:r>
                          <w:r>
                            <w:t xml:space="preserve"> </w:t>
                          </w:r>
                        </w:p>
                      </w:txbxContent>
                    </wps:txbx>
                    <wps:bodyPr vert="horz" wrap="none" lIns="0" tIns="0" rIns="0" bIns="0" anchor="t" anchorCtr="0" upright="1">
                      <a:spAutoFit/>
                    </wps:bodyPr>
                  </wps:wsp>
                </a:graphicData>
              </a:graphic>
            </wp:anchor>
          </w:drawing>
        </mc:Choice>
        <mc:Fallback>
          <w:pict>
            <v:shape type="#_x0000_t202" id="文本框 6" o:spid="_x0000_s6" filled="f" stroked="f" o:allowoverlap="f" style="position:absolute;margin-left:0.0pt;margin-top:0.0pt;width:31.500023pt;height:11.654989pt;z-index:14;mso-position-horizontal:center;mso-position-horizontal-relative:margin;mso-position-vertical:absolute;mso-wrap-distance-left:8.999863pt;mso-wrap-distance-right:8.999863pt;mso-wrap-style:none;">
              <v:stroke color="#000000"/>
              <v:textbox id="849" inset="0mm,0mm,0mm,0mm" o:insetmode="custom" style="layout-flow:horizontal;v-text-anchor:top;mso-fit-shape-to-text:t;">
                <w:txbxContent>
                  <w:p>
                    <w:pPr>
                      <w:pStyle w:val="16"/>
                      <w:tabs>
                        <w:tab w:val="center" w:pos="4153"/>
                        <w:tab w:val="right" w:pos="8306"/>
                      </w:tabs>
                    </w:pPr>
                    <w:r>
                      <w:t xml:space="preserve"> </w:t>
                    </w:r>
                    <w:r>
                      <w:fldChar w:fldCharType="begin"/>
                    </w:r>
                    <w:r>
                      <w:instrText>PAGE   \* MERGEFORMAT</w:instrText>
                    </w:r>
                    <w:r>
                      <w:fldChar w:fldCharType="separate"/>
                    </w:r>
                    <w:r>
                      <w:rPr>
                        <w:lang w:val="zh-CN"/>
                      </w:rPr>
                      <w:t>-</w:t>
                    </w:r>
                    <w:r>
                      <w:t xml:space="preserve"> 32 -</w:t>
                    </w:r>
                    <w:r>
                      <w:fldChar w:fldCharType="end"/>
                    </w:r>
                    <w:r>
                      <w:t xml:space="preserve"> </w:t>
                    </w:r>
                  </w:p>
                </w:txbxContent>
              </v:textbox>
            </v:shape>
          </w:pict>
        </mc:Fallback>
      </mc:AlternateContent>
    </w:r>
    <w:r>
      <mc:AlternateContent>
        <mc:Choice Requires="wps">
          <w:drawing>
            <wp:anchor distT="0" distB="0" distL="114298" distR="114298" simplePos="0" relativeHeight="13" behindDoc="0" locked="0" layoutInCell="1" hidden="0" allowOverlap="0">
              <wp:simplePos x="0" y="0"/>
              <wp:positionH relativeFrom="margin">
                <wp:align>center</wp:align>
              </wp:positionH>
              <wp:positionV relativeFrom="page">
                <wp:posOffset>14737081</wp:posOffset>
              </wp:positionV>
              <wp:extent cx="581024" cy="220979"/>
              <wp:effectExtent l="0" t="0" r="0" b="0"/>
              <wp:wrapNone/>
              <wp:docPr id="7" name="文本框"/>
              <wp:cNvGraphicFramePr>
                <a:graphicFrameLocks noChangeAspect="0"/>
              </wp:cNvGraphicFramePr>
              <a:graphic>
                <a:graphicData uri="http://schemas.microsoft.com/office/word/2010/wordprocessingShape">
                  <wps:wsp>
                    <wps:cNvSpPr/>
                    <wps:spPr>
                      <a:xfrm rot="0">
                        <a:off x="0" y="0"/>
                        <a:ext cx="581024" cy="220979"/>
                      </a:xfrm>
                      <a:prstGeom prst="rect"/>
                      <a:noFill/>
                      <a:ln w="9525" cmpd="sng" cap="flat">
                        <a:noFill/>
                        <a:prstDash val="solid"/>
                        <a:miter/>
                      </a:ln>
                    </wps:spPr>
                    <wps:txbx id="8">
                      <w:txbxContent>
                        <w:p>
                          <w:pPr>
                            <w:pStyle w:val="16"/>
                            <w:tabs>
                              <w:tab w:val="center" w:pos="4153"/>
                              <w:tab w:val="right" w:pos="8306"/>
                            </w:tabs>
                            <w:jc w:val="both"/>
                            <w:rPr>
                              <w:rFonts w:cs="宋体"/>
                            </w:rPr>
                          </w:pPr>
                          <w:r>
                            <w:rPr>
                              <w:rFonts w:cs="宋体"/>
                            </w:rPr>
                            <w:t>— 27.1 —</w:t>
                          </w:r>
                        </w:p>
                      </w:txbxContent>
                    </wps:txbx>
                    <wps:bodyPr vert="horz" wrap="none" lIns="0" tIns="0" rIns="0" bIns="0" anchor="t" anchorCtr="0" upright="1">
                      <a:noAutofit/>
                    </wps:bodyPr>
                  </wps:wsp>
                </a:graphicData>
              </a:graphic>
            </wp:anchor>
          </w:drawing>
        </mc:Choice>
        <mc:Fallback>
          <w:pict>
            <v:shape type="#_x0000_t202" id="文本框 9" o:spid="_x0000_s9" filled="f" stroked="f" o:allowoverlap="f" style="position:absolute;margin-left:0.0pt;margin-top:1160.4pt;width:45.74999pt;height:17.399973pt;z-index:13;mso-position-horizontal:center;mso-position-horizontal-relative:margin;mso-position-vertical:absolute;mso-position-vertical-relative:page;mso-wrap-distance-left:8.999863pt;mso-wrap-distance-right:8.999863pt;mso-wrap-style:none;">
              <v:stroke color="#000000"/>
              <v:textbox id="850" inset="0mm,0mm,0mm,0mm" o:insetmode="custom" style="layout-flow:horizontal;v-text-anchor:top;">
                <w:txbxContent>
                  <w:p>
                    <w:pPr>
                      <w:pStyle w:val="16"/>
                      <w:tabs>
                        <w:tab w:val="center" w:pos="4153"/>
                        <w:tab w:val="right" w:pos="8306"/>
                      </w:tabs>
                      <w:jc w:val="both"/>
                      <w:rPr>
                        <w:rFonts w:cs="宋体"/>
                      </w:rPr>
                    </w:pPr>
                    <w:r>
                      <w:rPr>
                        <w:rFonts w:cs="宋体"/>
                      </w:rPr>
                      <w:t>— 27.1 —</w:t>
                    </w:r>
                  </w:p>
                </w:txbxContent>
              </v:textbox>
            </v:shape>
          </w:pict>
        </mc:Fallback>
      </mc:AlternateContent>
    </w: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7"/>
      <w:tabs>
        <w:tab w:val="clear" w:pos="4153"/>
        <w:tab w:val="clear" w:pos="8306"/>
        <w:tab w:val="left" w:pos="1758"/>
      </w:tabs>
    </w:pPr>
  </w:p>
</w:hd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30"/>
  <w:bordersDoNotSurroundHeader/>
  <w:bordersDoNotSurroundFooter/>
  <w:defaultTabStop w:val="420"/>
  <w:drawingGridHorizontalSpacing w:val="120"/>
  <w:drawingGridVerticalSpacing w:val="163"/>
  <w:displayHorizontalDrawingGridEvery w:val="0"/>
  <w:displayVerticalDrawingGridEvery w:val="1"/>
  <w:noPunctuationKerning/>
  <w:characterSpacingControl w:val="compressPunctuation"/>
  <w:compat>
    <w:spaceForUL/>
    <w:balanceSingleByteDoubleByteWidth/>
    <w:ulTrailSpace/>
    <w:doNotExpandShiftReturn/>
    <w:adjustLineHeightInTable/>
    <w:growAutofit/>
    <w:doNotUseIndentAsNumberingTabStop/>
    <w:useAltKinsokuLineBreakRules/>
    <w:compatSetting w:name="compatibilityMode" w:uri="http://schemas.microsoft.com/office/word" w:val="14"/>
  </w:compat>
  <w:docVars>
    <w:docVar w:name="commondata" w:val="eyJoZGlkIjoiOGQwYWQ1YTE0ZDA0NjgxYzlhMjZlMDExNTFmMWI3MmE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rPr>
      <w:rFonts w:ascii="宋体" w:eastAsia="宋体" w:cs="Times New Roman"/>
      <w:sz w:val="24"/>
      <w:szCs w:val="24"/>
      <w:lang w:val="en-US" w:eastAsia="zh-CN" w:bidi="ar-SA"/>
    </w:rPr>
  </w:style>
  <w:style w:type="character" w:default="1" w:styleId="10">
    <w:name w:val="Default Paragraph Font"/>
  </w:style>
  <w:style w:type="paragraph" w:styleId="15">
    <w:name w:val="Balloon Text"/>
    <w:basedOn w:val="0"/>
    <w:rPr>
      <w:sz w:val="18"/>
      <w:szCs w:val="18"/>
    </w:rPr>
  </w:style>
  <w:style w:type="paragraph" w:styleId="16">
    <w:name w:val="footer"/>
    <w:basedOn w:val="0"/>
    <w:pPr>
      <w:tabs>
        <w:tab w:val="center" w:pos="4153"/>
        <w:tab w:val="right" w:pos="8306"/>
      </w:tabs>
      <w:snapToGrid w:val="0"/>
    </w:pPr>
    <w:rPr>
      <w:sz w:val="18"/>
      <w:szCs w:val="18"/>
    </w:rPr>
  </w:style>
  <w:style w:type="paragraph" w:styleId="17">
    <w:name w:val="header"/>
    <w:basedOn w:val="0"/>
    <w:pPr>
      <w:tabs>
        <w:tab w:val="center" w:pos="4153"/>
        <w:tab w:val="right" w:pos="8306"/>
      </w:tabs>
      <w:snapToGrid w:val="0"/>
      <w:jc w:val="center"/>
    </w:pPr>
    <w:rPr>
      <w:sz w:val="18"/>
      <w:szCs w:val="18"/>
    </w:rPr>
  </w:style>
  <w:style w:type="paragraph" w:styleId="18">
    <w:name w:val="HTML Preformatted"/>
    <w:basedOn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9">
    <w:name w:val="Normal (Web)"/>
    <w:basedOn w:val="0"/>
    <w:pPr>
      <w:spacing w:before="100" w:beforeAutospacing="1" w:after="100" w:afterAutospacing="1"/>
    </w:pPr>
  </w:style>
  <w:style w:type="character" w:styleId="20">
    <w:name w:val="Strong"/>
    <w:rPr>
      <w:b/>
    </w:rPr>
  </w:style>
  <w:style w:type="paragraph" w:customStyle="1" w:styleId="21">
    <w:name w:val="列出段落1"/>
    <w:basedOn w:val="0"/>
    <w:pPr>
      <w:ind w:firstLineChars="200" w:firstLine="200"/>
    </w:pPr>
  </w:style>
  <w:style w:type="paragraph" w:customStyle="1" w:styleId="22">
    <w:name w:val="普通(网站) Char"/>
    <w:pPr>
      <w:spacing w:before="100" w:beforeAutospacing="1" w:after="100" w:afterAutospacing="1"/>
    </w:pPr>
    <w:rPr>
      <w:rFonts w:ascii="宋体" w:eastAsia="宋体" w:cs="Times New Roman"/>
      <w:sz w:val="24"/>
      <w:szCs w:val="24"/>
      <w:lang w:val="en-US" w:eastAsia="zh-CN" w:bidi="ar-SA"/>
    </w:rPr>
  </w:style>
  <w:style w:type="character" w:customStyle="1" w:styleId="23">
    <w:name w:val="21"/>
    <w:basedOn w:val="10"/>
    <w:rPr>
      <w:rFonts w:ascii="Wingdings" w:cs="Wingdings" w:hAnsi="Wingdings"/>
      <w:b/>
      <w:bCs/>
    </w:rPr>
  </w:style>
  <w:style w:type="paragraph" w:customStyle="1" w:styleId="24">
    <w:name w:val="列出段落2"/>
    <w:pPr>
      <w:ind w:firstLineChars="200" w:firstLine="200"/>
    </w:pPr>
    <w:rPr>
      <w:rFonts w:ascii="宋体" w:eastAsia="宋体" w:cs="Times New Roman"/>
      <w:sz w:val="24"/>
      <w:szCs w:val="24"/>
      <w:lang w:val="en-US" w:eastAsia="zh-CN" w:bidi="ar-SA"/>
    </w:rPr>
  </w:style>
  <w:style w:type="paragraph" w:customStyle="1" w:styleId="25">
    <w:name w:val="列出段落3"/>
    <w:basedOn w:val="0"/>
    <w:pPr>
      <w:ind w:firstLineChars="200" w:firstLine="200"/>
    </w:p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styles" Target="styles.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5</TotalTime>
  <Application>Yozo_Office</Application>
  <Pages>12</Pages>
  <Words>4913</Words>
  <Characters>5583</Characters>
  <Lines>237</Lines>
  <Paragraphs>75</Paragraphs>
  <CharactersWithSpaces>5598</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xg</cp:lastModifiedBy>
  <cp:revision>21</cp:revision>
  <dcterms:created xsi:type="dcterms:W3CDTF">2024-07-11T02:00:00Z</dcterms:created>
  <dcterms:modified xsi:type="dcterms:W3CDTF">2025-10-17T06:31:28Z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eyJoZGlkIjoiYzQ4ZDg5ZTM4OWUzOTIxZjJmOWY1YzRhZjQ5ZTU0MTkiLCJ1c2VySWQiOiIxNjIwNzQyNzI3In0=</vt:lpwstr>
  </property>
</Properties>
</file>