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03B67">
      <w:pPr>
        <w:pStyle w:val="6"/>
        <w:spacing w:before="0" w:beforeAutospacing="0" w:after="0" w:afterAutospacing="0" w:line="594" w:lineRule="exact"/>
        <w:jc w:val="center"/>
        <w:rPr>
          <w:rFonts w:hint="default" w:ascii="Times New Roman" w:hAnsi="Times New Roman" w:eastAsia="方正小标宋_GBK"/>
          <w:kern w:val="2"/>
          <w:sz w:val="44"/>
          <w:szCs w:val="22"/>
        </w:rPr>
      </w:pPr>
      <w:r>
        <w:rPr>
          <w:rFonts w:hint="default" w:ascii="Times New Roman" w:hAnsi="Times New Roman" w:eastAsia="方正小标宋_GBK"/>
          <w:kern w:val="2"/>
          <w:sz w:val="44"/>
          <w:szCs w:val="22"/>
        </w:rPr>
        <w:t>重庆市渝中区疾病预防控制中心</w:t>
      </w:r>
    </w:p>
    <w:p w14:paraId="0A7882F7">
      <w:pPr>
        <w:pStyle w:val="6"/>
        <w:spacing w:before="0" w:beforeAutospacing="0" w:after="0" w:afterAutospacing="0" w:line="594" w:lineRule="exact"/>
        <w:jc w:val="center"/>
        <w:rPr>
          <w:rFonts w:hint="default" w:ascii="Times New Roman" w:hAnsi="Times New Roman" w:eastAsia="方正小标宋_GBK"/>
          <w:kern w:val="2"/>
          <w:sz w:val="44"/>
          <w:szCs w:val="22"/>
        </w:rPr>
      </w:pPr>
      <w:r>
        <w:rPr>
          <w:rFonts w:hint="default" w:ascii="Times New Roman" w:hAnsi="Times New Roman" w:eastAsia="方正小标宋_GBK"/>
          <w:kern w:val="2"/>
          <w:sz w:val="44"/>
          <w:szCs w:val="22"/>
        </w:rPr>
        <w:t>2024年度决算公开说明</w:t>
      </w:r>
    </w:p>
    <w:p w14:paraId="5E31EE4C">
      <w:pPr>
        <w:widowControl w:val="0"/>
        <w:spacing w:line="594" w:lineRule="exact"/>
        <w:ind w:firstLine="640" w:firstLineChars="200"/>
        <w:jc w:val="both"/>
        <w:rPr>
          <w:rFonts w:hint="default" w:ascii="Times New Roman" w:hAnsi="Times New Roman" w:eastAsia="方正黑体_GBK"/>
          <w:kern w:val="2"/>
          <w:sz w:val="32"/>
          <w:szCs w:val="32"/>
        </w:rPr>
      </w:pPr>
      <w:r>
        <w:rPr>
          <w:rFonts w:hint="default" w:ascii="Times New Roman" w:hAnsi="Times New Roman" w:eastAsia="方正黑体_GBK"/>
          <w:kern w:val="2"/>
          <w:sz w:val="32"/>
          <w:szCs w:val="32"/>
        </w:rPr>
        <w:t>一、单位基本情况</w:t>
      </w:r>
    </w:p>
    <w:p w14:paraId="77C655F5">
      <w:pPr>
        <w:widowControl w:val="0"/>
        <w:spacing w:line="594" w:lineRule="exact"/>
        <w:ind w:firstLine="640" w:firstLineChars="200"/>
        <w:jc w:val="both"/>
        <w:rPr>
          <w:rFonts w:hint="default" w:ascii="Times New Roman" w:hAnsi="Times New Roman" w:eastAsia="方正楷体_GBK"/>
          <w:kern w:val="2"/>
          <w:sz w:val="32"/>
          <w:szCs w:val="32"/>
        </w:rPr>
      </w:pPr>
      <w:r>
        <w:rPr>
          <w:rFonts w:hint="default" w:ascii="Times New Roman" w:hAnsi="Times New Roman" w:eastAsia="方正楷体_GBK"/>
          <w:kern w:val="2"/>
          <w:sz w:val="32"/>
          <w:szCs w:val="32"/>
        </w:rPr>
        <w:t>（一）职能职责</w:t>
      </w:r>
    </w:p>
    <w:p w14:paraId="0072E9CA">
      <w:pPr>
        <w:widowControl w:val="0"/>
        <w:spacing w:line="594" w:lineRule="exact"/>
        <w:ind w:firstLine="640" w:firstLineChars="20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重庆市渝中区疾病预防控制中心主要职责是1.贯彻执行疾病预防控制和卫生健康综合行政执法方面的法律法规、地方性卫生标准。2.承担疾病预防与控制工作。3.承担突发公共卫生事件预防控制工作。4.承担健康危害因素监测、评价和干预工作。5.承担疫情及健康相关因素信息管理工作。6.承担医疗机构、采供血机构、医师执业、计划生育、母婴保健、中医医疗服务和养生保健等医疗卫生领域执法职能。7.承担公共场所卫生、饮用水卫生、学校卫生等公共卫生领域执法职能。8.承担传染病防治、消毒产品、餐饮具集中消毒等传染病防治领域执法职能。9.承担职业卫生、放射卫生等职业健康领域的执法职能。10.承担动物及动物产品检疫、动物防疫、畜禽屠宰、动物诊疗、兽药等方面执法职能。11.监督、指导街道卫生健康综合行政执法工作。12.承担卫生健康综合行政执法有关应急工作。13.承担卫生健康综合行政执法体系和信息化建设相关工作。14.完成上级主管部门交办的其他工作任务。</w:t>
      </w:r>
    </w:p>
    <w:p w14:paraId="7B867368">
      <w:pPr>
        <w:widowControl w:val="0"/>
        <w:spacing w:line="594" w:lineRule="exact"/>
        <w:ind w:firstLine="640" w:firstLineChars="200"/>
        <w:jc w:val="both"/>
        <w:rPr>
          <w:rFonts w:hint="default" w:ascii="Times New Roman" w:hAnsi="Times New Roman" w:eastAsia="方正楷体_GBK"/>
          <w:kern w:val="2"/>
          <w:sz w:val="32"/>
          <w:szCs w:val="32"/>
        </w:rPr>
      </w:pPr>
      <w:r>
        <w:rPr>
          <w:rFonts w:hint="default" w:ascii="Times New Roman" w:hAnsi="Times New Roman" w:eastAsia="方正楷体_GBK"/>
          <w:kern w:val="2"/>
          <w:sz w:val="32"/>
          <w:szCs w:val="32"/>
        </w:rPr>
        <w:t>（二）机构设置</w:t>
      </w:r>
    </w:p>
    <w:p w14:paraId="3B1F912B">
      <w:pPr>
        <w:widowControl w:val="0"/>
        <w:spacing w:line="594" w:lineRule="exact"/>
        <w:ind w:firstLine="640" w:firstLineChars="20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本单位内部机构设置包括：办公室、财务科、技管科、综合监督科、法制科、医疗卫生执法科、公共卫生执法科、检验科、传防科、结艾科、健慢科、公卫一科、公卫二科</w:t>
      </w:r>
    </w:p>
    <w:p w14:paraId="2B3F8C65">
      <w:pPr>
        <w:widowControl w:val="0"/>
        <w:spacing w:line="594" w:lineRule="exact"/>
        <w:ind w:firstLine="640" w:firstLineChars="200"/>
        <w:jc w:val="both"/>
        <w:rPr>
          <w:rFonts w:hint="default" w:ascii="Times New Roman" w:hAnsi="Times New Roman" w:eastAsia="方正黑体_GBK"/>
          <w:kern w:val="2"/>
          <w:sz w:val="32"/>
          <w:szCs w:val="32"/>
        </w:rPr>
      </w:pPr>
      <w:r>
        <w:rPr>
          <w:rFonts w:hint="default" w:ascii="Times New Roman" w:hAnsi="Times New Roman" w:eastAsia="方正黑体_GBK"/>
          <w:kern w:val="2"/>
          <w:sz w:val="32"/>
          <w:szCs w:val="32"/>
        </w:rPr>
        <w:t>二、单位决算收支情况说明</w:t>
      </w:r>
    </w:p>
    <w:p w14:paraId="530210D1">
      <w:pPr>
        <w:widowControl w:val="0"/>
        <w:spacing w:line="594"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（一）收入支出决算总体情况说明。</w:t>
      </w:r>
    </w:p>
    <w:p w14:paraId="3BC859CC">
      <w:pPr>
        <w:pStyle w:val="6"/>
        <w:shd w:val="clear" w:color="auto" w:fill="FFFFFF"/>
        <w:spacing w:beforeAutospacing="0" w:afterAutospacing="0" w:line="594" w:lineRule="exact"/>
        <w:ind w:firstLine="643"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2024年度收入总计12673.96万元，支出总计</w:t>
      </w:r>
      <w:r>
        <w:rPr>
          <w:rFonts w:ascii="方正仿宋_GBK" w:hAnsi="方正仿宋_GBK" w:eastAsia="方正仿宋_GBK" w:cs="方正仿宋_GBK"/>
          <w:sz w:val="32"/>
          <w:szCs w:val="32"/>
        </w:rPr>
        <w:t>12673.96</w:t>
      </w:r>
      <w:r>
        <w:rPr>
          <w:rFonts w:ascii="方正仿宋_GBK" w:hAnsi="方正仿宋_GBK" w:eastAsia="方正仿宋_GBK" w:cs="方正仿宋_GBK"/>
          <w:sz w:val="32"/>
          <w:szCs w:val="32"/>
          <w:shd w:val="clear" w:color="auto" w:fill="FFFFFF"/>
        </w:rPr>
        <w:t>万元。收、支与2023年度相比，减少2768.03万元，下降17.9%，主要原因是</w:t>
      </w:r>
      <w:r>
        <w:rPr>
          <w:rStyle w:val="17"/>
          <w:rFonts w:hint="default" w:ascii="方正仿宋_GBK" w:eastAsia="方正仿宋_GBK"/>
          <w:color w:val="auto"/>
        </w:rPr>
        <w:t>主要是由于本年二类疫苗销售减少</w:t>
      </w:r>
      <w:r>
        <w:rPr>
          <w:rStyle w:val="17"/>
          <w:rFonts w:ascii="方正仿宋_GBK" w:eastAsia="方正仿宋_GBK"/>
          <w:color w:val="auto"/>
        </w:rPr>
        <w:t>（九价HPV和四价HPV接种量下降）</w:t>
      </w:r>
      <w:r>
        <w:rPr>
          <w:rStyle w:val="17"/>
          <w:rFonts w:hint="default" w:ascii="方正仿宋_GBK" w:eastAsia="方正仿宋_GBK"/>
          <w:color w:val="auto"/>
        </w:rPr>
        <w:t>，事业收支减少。</w:t>
      </w:r>
    </w:p>
    <w:p w14:paraId="38F9461D">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。2024年度收入合计12595.59万元，与2023年度相比，减少2369.35万元，下降15.8%，主要原因是</w:t>
      </w:r>
      <w:r>
        <w:rPr>
          <w:rStyle w:val="17"/>
          <w:rFonts w:hint="default" w:ascii="方正仿宋_GBK" w:eastAsia="方正仿宋_GBK"/>
          <w:color w:val="auto"/>
        </w:rPr>
        <w:t>主要是本年二类疫苗销售减少</w:t>
      </w:r>
      <w:r>
        <w:rPr>
          <w:rStyle w:val="17"/>
          <w:rFonts w:ascii="方正仿宋_GBK" w:eastAsia="方正仿宋_GBK"/>
          <w:color w:val="auto"/>
        </w:rPr>
        <w:t>（九价HPV和四价HPV接种量下降）</w:t>
      </w:r>
      <w:r>
        <w:rPr>
          <w:rStyle w:val="17"/>
          <w:rFonts w:hint="default" w:ascii="方正仿宋_GBK" w:eastAsia="方正仿宋_GBK"/>
          <w:color w:val="auto"/>
        </w:rPr>
        <w:t>，确认的收入减少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4038.12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32.06</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8557.47</w:t>
      </w:r>
      <w:r>
        <w:rPr>
          <w:rFonts w:ascii="方正仿宋_GBK" w:hAnsi="方正仿宋_GBK" w:eastAsia="方正仿宋_GBK" w:cs="方正仿宋_GBK"/>
          <w:sz w:val="32"/>
          <w:szCs w:val="32"/>
          <w:shd w:val="clear" w:color="auto" w:fill="FFFFFF"/>
        </w:rPr>
        <w:t>万元，占67.94%；经营收入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78.37</w:t>
      </w:r>
      <w:r>
        <w:rPr>
          <w:rFonts w:ascii="方正仿宋_GBK" w:hAnsi="方正仿宋_GBK" w:eastAsia="方正仿宋_GBK" w:cs="方正仿宋_GBK"/>
          <w:sz w:val="32"/>
          <w:szCs w:val="32"/>
          <w:shd w:val="clear" w:color="auto" w:fill="FFFFFF"/>
        </w:rPr>
        <w:t>万元。</w:t>
      </w:r>
    </w:p>
    <w:p w14:paraId="74A9516A">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12336.70</w:t>
      </w:r>
      <w:r>
        <w:rPr>
          <w:rFonts w:ascii="方正仿宋_GBK" w:hAnsi="方正仿宋_GBK" w:eastAsia="方正仿宋_GBK" w:cs="方正仿宋_GBK"/>
          <w:sz w:val="32"/>
          <w:szCs w:val="32"/>
          <w:shd w:val="clear" w:color="auto" w:fill="FFFFFF"/>
        </w:rPr>
        <w:t>万元，与2023年度相比，减少2697.39万元，下降17.9%，主要原因是</w:t>
      </w:r>
      <w:r>
        <w:rPr>
          <w:rStyle w:val="17"/>
          <w:rFonts w:hint="default" w:ascii="方正仿宋_GBK" w:eastAsia="方正仿宋_GBK"/>
          <w:color w:val="auto"/>
        </w:rPr>
        <w:t>二类疫苗</w:t>
      </w:r>
      <w:r>
        <w:rPr>
          <w:rStyle w:val="17"/>
          <w:rFonts w:ascii="方正仿宋_GBK" w:eastAsia="方正仿宋_GBK"/>
          <w:color w:val="auto"/>
        </w:rPr>
        <w:t>购入减少</w:t>
      </w:r>
      <w:r>
        <w:rPr>
          <w:rStyle w:val="17"/>
          <w:rFonts w:hint="default" w:ascii="方正仿宋_GBK" w:eastAsia="方正仿宋_GBK"/>
          <w:color w:val="auto"/>
        </w:rPr>
        <w:t>，</w:t>
      </w:r>
      <w:r>
        <w:rPr>
          <w:rStyle w:val="17"/>
          <w:rFonts w:ascii="方正仿宋_GBK" w:eastAsia="方正仿宋_GBK"/>
          <w:color w:val="auto"/>
        </w:rPr>
        <w:t>支付疫苗款</w:t>
      </w:r>
      <w:r>
        <w:rPr>
          <w:rStyle w:val="17"/>
          <w:rFonts w:hint="default" w:ascii="方正仿宋_GBK" w:eastAsia="方正仿宋_GBK"/>
          <w:color w:val="auto"/>
        </w:rPr>
        <w:t>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2098.41</w:t>
      </w:r>
      <w:r>
        <w:rPr>
          <w:rFonts w:ascii="方正仿宋_GBK" w:hAnsi="方正仿宋_GBK" w:eastAsia="方正仿宋_GBK" w:cs="方正仿宋_GBK"/>
          <w:sz w:val="32"/>
          <w:szCs w:val="32"/>
          <w:shd w:val="clear" w:color="auto" w:fill="FFFFFF"/>
        </w:rPr>
        <w:t>万元，占17.01%；项目支出</w:t>
      </w:r>
      <w:r>
        <w:rPr>
          <w:rFonts w:ascii="方正仿宋_GBK" w:hAnsi="方正仿宋_GBK" w:eastAsia="方正仿宋_GBK" w:cs="方正仿宋_GBK"/>
          <w:sz w:val="32"/>
          <w:szCs w:val="32"/>
        </w:rPr>
        <w:t>10238.29</w:t>
      </w:r>
      <w:r>
        <w:rPr>
          <w:rFonts w:ascii="方正仿宋_GBK" w:hAnsi="方正仿宋_GBK" w:eastAsia="方正仿宋_GBK" w:cs="方正仿宋_GBK"/>
          <w:sz w:val="32"/>
          <w:szCs w:val="32"/>
          <w:shd w:val="clear" w:color="auto" w:fill="FFFFFF"/>
        </w:rPr>
        <w:t>万元，占82.99%；经营支出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327.44</w:t>
      </w:r>
      <w:r>
        <w:rPr>
          <w:rFonts w:ascii="方正仿宋_GBK" w:hAnsi="方正仿宋_GBK" w:eastAsia="方正仿宋_GBK" w:cs="方正仿宋_GBK"/>
          <w:sz w:val="32"/>
          <w:szCs w:val="32"/>
          <w:shd w:val="clear" w:color="auto" w:fill="FFFFFF"/>
        </w:rPr>
        <w:t>万元。</w:t>
      </w:r>
    </w:p>
    <w:p w14:paraId="1EBC5412">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9.82</w:t>
      </w:r>
      <w:r>
        <w:rPr>
          <w:rFonts w:ascii="方正仿宋_GBK" w:hAnsi="方正仿宋_GBK" w:eastAsia="方正仿宋_GBK" w:cs="方正仿宋_GBK"/>
          <w:sz w:val="32"/>
          <w:szCs w:val="32"/>
          <w:shd w:val="clear" w:color="auto" w:fill="FFFFFF"/>
        </w:rPr>
        <w:t>万元，与2023年度相比，减少45.99万元，下降82.4%，主要原因是结转结余资金为2022年以前年度结转项目资金，2024年发生支出45.99万元。</w:t>
      </w:r>
    </w:p>
    <w:p w14:paraId="48F3AD6B">
      <w:pPr>
        <w:widowControl w:val="0"/>
        <w:spacing w:line="594"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（二）财政拨款收入支出决算总体情况说明</w:t>
      </w:r>
    </w:p>
    <w:p w14:paraId="0222CE6F">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2024年度财政拨款收、支总计4116.49万元。与2023年相比，财政拨款收、支总计各增加10.00万元，增长0.2%。主要原因是本年人员增加，对应收支增加。</w:t>
      </w:r>
    </w:p>
    <w:p w14:paraId="56A4D45F">
      <w:pPr>
        <w:widowControl w:val="0"/>
        <w:spacing w:line="594"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（三）一般公共预算财政拨款收入支出决算情况说明</w:t>
      </w:r>
    </w:p>
    <w:p w14:paraId="32CE0871">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4038.12</w:t>
      </w:r>
      <w:r>
        <w:rPr>
          <w:rFonts w:ascii="方正仿宋_GBK" w:hAnsi="方正仿宋_GBK" w:eastAsia="方正仿宋_GBK" w:cs="方正仿宋_GBK"/>
          <w:sz w:val="32"/>
          <w:szCs w:val="32"/>
          <w:shd w:val="clear" w:color="auto" w:fill="FFFFFF"/>
        </w:rPr>
        <w:t>万元，与2023年度相比，增加408.68万元，增长11.3%。主要原因是本年追加事业单位超额绩效部分养老保险经费；追加陈时进、易淑宜、王金丽、谢茂华一次性抚恤金和丧葬费；</w:t>
      </w:r>
      <w:r>
        <w:rPr>
          <w:rStyle w:val="17"/>
          <w:rFonts w:hint="default" w:ascii="方正仿宋_GBK" w:eastAsia="方正仿宋_GBK"/>
          <w:color w:val="auto"/>
        </w:rPr>
        <w:t>本年人员增加</w:t>
      </w:r>
      <w:r>
        <w:rPr>
          <w:rStyle w:val="17"/>
          <w:rFonts w:ascii="方正仿宋_GBK" w:eastAsia="方正仿宋_GBK"/>
          <w:color w:val="auto"/>
        </w:rPr>
        <w:t>和人员工资变动</w:t>
      </w:r>
      <w:r>
        <w:rPr>
          <w:rStyle w:val="17"/>
          <w:rFonts w:hint="default" w:ascii="方正仿宋_GBK" w:eastAsia="方正仿宋_GBK"/>
          <w:color w:val="auto"/>
        </w:rPr>
        <w:t>，</w:t>
      </w:r>
      <w:r>
        <w:rPr>
          <w:rStyle w:val="17"/>
          <w:rFonts w:ascii="方正仿宋_GBK" w:eastAsia="方正仿宋_GBK"/>
          <w:color w:val="auto"/>
        </w:rPr>
        <w:t>追加了</w:t>
      </w:r>
      <w:r>
        <w:rPr>
          <w:rStyle w:val="17"/>
          <w:rFonts w:hint="default" w:ascii="方正仿宋_GBK" w:eastAsia="方正仿宋_GBK"/>
          <w:color w:val="auto"/>
        </w:rPr>
        <w:t>对应人员经费</w:t>
      </w:r>
      <w:r>
        <w:rPr>
          <w:rStyle w:val="17"/>
          <w:rFonts w:ascii="方正仿宋_GBK" w:eastAsia="方正仿宋_GBK"/>
          <w:color w:val="auto"/>
        </w:rPr>
        <w:t>；</w:t>
      </w:r>
      <w:r>
        <w:rPr>
          <w:rStyle w:val="17"/>
          <w:rFonts w:hint="default" w:ascii="方正仿宋_GBK" w:eastAsia="方正仿宋_GBK"/>
          <w:color w:val="auto"/>
        </w:rPr>
        <w:t>本年</w:t>
      </w:r>
      <w:r>
        <w:rPr>
          <w:rStyle w:val="17"/>
          <w:rFonts w:ascii="方正仿宋_GBK" w:eastAsia="方正仿宋_GBK"/>
          <w:color w:val="auto"/>
        </w:rPr>
        <w:t>清算</w:t>
      </w:r>
      <w:r>
        <w:rPr>
          <w:rStyle w:val="17"/>
          <w:rFonts w:hint="default" w:ascii="方正仿宋_GBK" w:eastAsia="方正仿宋_GBK"/>
          <w:color w:val="auto"/>
        </w:rPr>
        <w:t>2021</w:t>
      </w:r>
      <w:r>
        <w:rPr>
          <w:rStyle w:val="17"/>
          <w:rFonts w:ascii="方正仿宋_GBK" w:eastAsia="方正仿宋_GBK"/>
          <w:color w:val="auto"/>
        </w:rPr>
        <w:t>-</w:t>
      </w:r>
      <w:r>
        <w:rPr>
          <w:rStyle w:val="17"/>
          <w:rFonts w:hint="default" w:ascii="方正仿宋_GBK" w:eastAsia="方正仿宋_GBK"/>
          <w:color w:val="auto"/>
        </w:rPr>
        <w:t>2023年超额绩效</w:t>
      </w:r>
      <w:r>
        <w:rPr>
          <w:rStyle w:val="17"/>
          <w:rFonts w:ascii="方正仿宋_GBK" w:eastAsia="方正仿宋_GBK"/>
          <w:color w:val="auto"/>
        </w:rPr>
        <w:t>，追加超额绩效工资。</w:t>
      </w:r>
      <w:r>
        <w:rPr>
          <w:rFonts w:ascii="方正仿宋_GBK" w:hAnsi="方正仿宋_GBK" w:eastAsia="方正仿宋_GBK" w:cs="方正仿宋_GBK"/>
          <w:sz w:val="32"/>
          <w:szCs w:val="32"/>
          <w:shd w:val="clear" w:color="auto" w:fill="FFFFFF"/>
        </w:rPr>
        <w:t>较年初预算数增加682.58万元，增长20.3%。本年追加事业单位超额绩效部分养老保险经费；追加陈时进、易淑宜、王金丽、谢茂华一次性抚恤金和丧葬费；</w:t>
      </w:r>
      <w:r>
        <w:rPr>
          <w:rStyle w:val="17"/>
          <w:rFonts w:hint="default" w:ascii="方正仿宋_GBK" w:eastAsia="方正仿宋_GBK"/>
          <w:color w:val="auto"/>
        </w:rPr>
        <w:t>本年人员增加</w:t>
      </w:r>
      <w:r>
        <w:rPr>
          <w:rStyle w:val="17"/>
          <w:rFonts w:ascii="方正仿宋_GBK" w:eastAsia="方正仿宋_GBK"/>
          <w:color w:val="auto"/>
        </w:rPr>
        <w:t>和人员工资变动</w:t>
      </w:r>
      <w:r>
        <w:rPr>
          <w:rStyle w:val="17"/>
          <w:rFonts w:hint="default" w:ascii="方正仿宋_GBK" w:eastAsia="方正仿宋_GBK"/>
          <w:color w:val="auto"/>
        </w:rPr>
        <w:t>，</w:t>
      </w:r>
      <w:r>
        <w:rPr>
          <w:rStyle w:val="17"/>
          <w:rFonts w:ascii="方正仿宋_GBK" w:eastAsia="方正仿宋_GBK"/>
          <w:color w:val="auto"/>
        </w:rPr>
        <w:t>追加了</w:t>
      </w:r>
      <w:r>
        <w:rPr>
          <w:rStyle w:val="17"/>
          <w:rFonts w:hint="default" w:ascii="方正仿宋_GBK" w:eastAsia="方正仿宋_GBK"/>
          <w:color w:val="auto"/>
        </w:rPr>
        <w:t>对应人员经费</w:t>
      </w:r>
      <w:r>
        <w:rPr>
          <w:rStyle w:val="17"/>
          <w:rFonts w:ascii="方正仿宋_GBK" w:eastAsia="方正仿宋_GBK"/>
          <w:color w:val="auto"/>
        </w:rPr>
        <w:t>；</w:t>
      </w:r>
      <w:r>
        <w:rPr>
          <w:rStyle w:val="17"/>
          <w:rFonts w:hint="default" w:ascii="方正仿宋_GBK" w:eastAsia="方正仿宋_GBK"/>
          <w:color w:val="auto"/>
        </w:rPr>
        <w:t>本年</w:t>
      </w:r>
      <w:r>
        <w:rPr>
          <w:rStyle w:val="17"/>
          <w:rFonts w:ascii="方正仿宋_GBK" w:eastAsia="方正仿宋_GBK"/>
          <w:color w:val="auto"/>
        </w:rPr>
        <w:t>清算</w:t>
      </w:r>
      <w:r>
        <w:rPr>
          <w:rStyle w:val="17"/>
          <w:rFonts w:hint="default" w:ascii="方正仿宋_GBK" w:eastAsia="方正仿宋_GBK"/>
          <w:color w:val="auto"/>
        </w:rPr>
        <w:t>2021</w:t>
      </w:r>
      <w:r>
        <w:rPr>
          <w:rStyle w:val="17"/>
          <w:rFonts w:ascii="方正仿宋_GBK" w:eastAsia="方正仿宋_GBK"/>
          <w:color w:val="auto"/>
        </w:rPr>
        <w:t>-</w:t>
      </w:r>
      <w:r>
        <w:rPr>
          <w:rStyle w:val="17"/>
          <w:rFonts w:hint="default" w:ascii="方正仿宋_GBK" w:eastAsia="方正仿宋_GBK"/>
          <w:color w:val="auto"/>
        </w:rPr>
        <w:t>2023年超额绩效</w:t>
      </w:r>
      <w:r>
        <w:rPr>
          <w:rStyle w:val="17"/>
          <w:rFonts w:ascii="方正仿宋_GBK" w:eastAsia="方正仿宋_GBK"/>
          <w:color w:val="auto"/>
        </w:rPr>
        <w:t>，追加超额绩效工资</w:t>
      </w:r>
      <w:r>
        <w:rPr>
          <w:rFonts w:ascii="方正仿宋_GBK" w:hAnsi="方正仿宋_GBK" w:eastAsia="方正仿宋_GBK" w:cs="方正仿宋_GBK"/>
          <w:sz w:val="32"/>
          <w:szCs w:val="32"/>
          <w:shd w:val="clear" w:color="auto" w:fill="FFFFFF"/>
        </w:rPr>
        <w:t>；上级调剂重大疾病预防控制经费和基本公共卫生项目经费到本单位。此外，年初财政拨款结转和结余</w:t>
      </w:r>
      <w:r>
        <w:rPr>
          <w:rFonts w:ascii="方正仿宋_GBK" w:hAnsi="方正仿宋_GBK" w:eastAsia="方正仿宋_GBK" w:cs="方正仿宋_GBK"/>
          <w:sz w:val="32"/>
          <w:szCs w:val="32"/>
        </w:rPr>
        <w:t>78.37</w:t>
      </w:r>
      <w:r>
        <w:rPr>
          <w:rFonts w:ascii="方正仿宋_GBK" w:hAnsi="方正仿宋_GBK" w:eastAsia="方正仿宋_GBK" w:cs="方正仿宋_GBK"/>
          <w:sz w:val="32"/>
          <w:szCs w:val="32"/>
          <w:shd w:val="clear" w:color="auto" w:fill="FFFFFF"/>
        </w:rPr>
        <w:t>万元。</w:t>
      </w:r>
    </w:p>
    <w:p w14:paraId="673AB3D6">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4106.67</w:t>
      </w:r>
      <w:r>
        <w:rPr>
          <w:rFonts w:ascii="方正仿宋_GBK" w:hAnsi="方正仿宋_GBK" w:eastAsia="方正仿宋_GBK" w:cs="方正仿宋_GBK"/>
          <w:sz w:val="32"/>
          <w:szCs w:val="32"/>
          <w:shd w:val="clear" w:color="auto" w:fill="FFFFFF"/>
        </w:rPr>
        <w:t>万元，与2023年度相比，增加55.99万元，增长1.4%。主要原因是本年度人员增加，人员经费和公用经费增加。较年初预算数增加751.13万元，增长22.4%。主要原因是本年追加事业单位超额绩效部分养老保险经费；追加陈时进、易淑宜、王金丽、谢茂华一次性抚恤金和丧葬费；</w:t>
      </w:r>
      <w:r>
        <w:rPr>
          <w:rStyle w:val="17"/>
          <w:rFonts w:hint="default" w:ascii="方正仿宋_GBK" w:eastAsia="方正仿宋_GBK"/>
          <w:color w:val="auto"/>
        </w:rPr>
        <w:t>本年人员增加</w:t>
      </w:r>
      <w:r>
        <w:rPr>
          <w:rStyle w:val="17"/>
          <w:rFonts w:ascii="方正仿宋_GBK" w:eastAsia="方正仿宋_GBK"/>
          <w:color w:val="auto"/>
        </w:rPr>
        <w:t>和人员工资变动</w:t>
      </w:r>
      <w:r>
        <w:rPr>
          <w:rStyle w:val="17"/>
          <w:rFonts w:hint="default" w:ascii="方正仿宋_GBK" w:eastAsia="方正仿宋_GBK"/>
          <w:color w:val="auto"/>
        </w:rPr>
        <w:t>，</w:t>
      </w:r>
      <w:r>
        <w:rPr>
          <w:rStyle w:val="17"/>
          <w:rFonts w:ascii="方正仿宋_GBK" w:eastAsia="方正仿宋_GBK"/>
          <w:color w:val="auto"/>
        </w:rPr>
        <w:t>追加了</w:t>
      </w:r>
      <w:r>
        <w:rPr>
          <w:rStyle w:val="17"/>
          <w:rFonts w:hint="default" w:ascii="方正仿宋_GBK" w:eastAsia="方正仿宋_GBK"/>
          <w:color w:val="auto"/>
        </w:rPr>
        <w:t>对应人员经费</w:t>
      </w:r>
      <w:r>
        <w:rPr>
          <w:rStyle w:val="17"/>
          <w:rFonts w:ascii="方正仿宋_GBK" w:eastAsia="方正仿宋_GBK"/>
          <w:color w:val="auto"/>
        </w:rPr>
        <w:t>；</w:t>
      </w:r>
      <w:r>
        <w:rPr>
          <w:rStyle w:val="17"/>
          <w:rFonts w:hint="default" w:ascii="方正仿宋_GBK" w:eastAsia="方正仿宋_GBK"/>
          <w:color w:val="auto"/>
        </w:rPr>
        <w:t>本年</w:t>
      </w:r>
      <w:r>
        <w:rPr>
          <w:rStyle w:val="17"/>
          <w:rFonts w:ascii="方正仿宋_GBK" w:eastAsia="方正仿宋_GBK"/>
          <w:color w:val="auto"/>
        </w:rPr>
        <w:t>清算</w:t>
      </w:r>
      <w:r>
        <w:rPr>
          <w:rStyle w:val="17"/>
          <w:rFonts w:hint="default" w:ascii="方正仿宋_GBK" w:eastAsia="方正仿宋_GBK"/>
          <w:color w:val="auto"/>
        </w:rPr>
        <w:t>2021</w:t>
      </w:r>
      <w:r>
        <w:rPr>
          <w:rStyle w:val="17"/>
          <w:rFonts w:ascii="方正仿宋_GBK" w:eastAsia="方正仿宋_GBK"/>
          <w:color w:val="auto"/>
        </w:rPr>
        <w:t>-</w:t>
      </w:r>
      <w:r>
        <w:rPr>
          <w:rStyle w:val="17"/>
          <w:rFonts w:hint="default" w:ascii="方正仿宋_GBK" w:eastAsia="方正仿宋_GBK"/>
          <w:color w:val="auto"/>
        </w:rPr>
        <w:t>2023年超额绩效</w:t>
      </w:r>
      <w:r>
        <w:rPr>
          <w:rStyle w:val="17"/>
          <w:rFonts w:ascii="方正仿宋_GBK" w:eastAsia="方正仿宋_GBK"/>
          <w:color w:val="auto"/>
        </w:rPr>
        <w:t>，追加超额绩效工资</w:t>
      </w:r>
      <w:r>
        <w:rPr>
          <w:rFonts w:ascii="方正仿宋_GBK" w:hAnsi="方正仿宋_GBK" w:eastAsia="方正仿宋_GBK" w:cs="方正仿宋_GBK"/>
          <w:sz w:val="32"/>
          <w:szCs w:val="32"/>
          <w:shd w:val="clear" w:color="auto" w:fill="FFFFFF"/>
        </w:rPr>
        <w:t>；上级调剂重大疾病预防控制经费和基本公共卫生项目经费到本单位。</w:t>
      </w:r>
    </w:p>
    <w:p w14:paraId="22E18098">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9.82</w:t>
      </w:r>
      <w:r>
        <w:rPr>
          <w:rFonts w:ascii="方正仿宋_GBK" w:hAnsi="方正仿宋_GBK" w:eastAsia="方正仿宋_GBK" w:cs="方正仿宋_GBK"/>
          <w:sz w:val="32"/>
          <w:szCs w:val="32"/>
          <w:shd w:val="clear" w:color="auto" w:fill="FFFFFF"/>
        </w:rPr>
        <w:t>万元，与2023年度相比，减少45.99万元，下降82.4%，主要原因是结转结余资金为2022年以前年度结转项目资金，2024年发生支出45.99万元。</w:t>
      </w:r>
    </w:p>
    <w:p w14:paraId="62FC48CE">
      <w:pPr>
        <w:pStyle w:val="6"/>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Fonts w:ascii="方正仿宋_GBK" w:hAnsi="方正仿宋_GBK" w:eastAsia="方正仿宋_GBK" w:cs="方正仿宋_GBK"/>
          <w:b/>
          <w:bCs/>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0B03A0F2">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15.30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0.37</w:t>
      </w:r>
      <w:r>
        <w:rPr>
          <w:rFonts w:ascii="方正仿宋_GBK" w:hAnsi="方正仿宋_GBK" w:eastAsia="方正仿宋_GBK" w:cs="方正仿宋_GBK"/>
          <w:sz w:val="32"/>
          <w:szCs w:val="32"/>
          <w:shd w:val="clear" w:color="auto" w:fill="FFFFFF"/>
        </w:rPr>
        <w:t>%，较年初预算数减少4.70万元，下降23.5%，主要原因</w:t>
      </w:r>
      <w:r>
        <w:rPr>
          <w:rFonts w:ascii="方正仿宋_GBK" w:hAnsi="方正仿宋_GBK" w:eastAsia="方正仿宋_GBK" w:cs="方正仿宋_GBK"/>
          <w:sz w:val="32"/>
          <w:szCs w:val="32"/>
        </w:rPr>
        <w:t>是本年适龄女学生免费接种宫颈癌疫苗补助经费没有全部用完，指标调减</w:t>
      </w:r>
      <w:r>
        <w:rPr>
          <w:rFonts w:ascii="方正仿宋_GBK" w:hAnsi="方正仿宋_GBK" w:eastAsia="方正仿宋_GBK" w:cs="方正仿宋_GBK"/>
          <w:sz w:val="32"/>
          <w:szCs w:val="32"/>
          <w:shd w:val="clear" w:color="auto" w:fill="FFFFFF"/>
        </w:rPr>
        <w:t>。</w:t>
      </w:r>
    </w:p>
    <w:p w14:paraId="5DC94BCD">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（2）文化旅游体育与传媒支出</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%，较年初预算数增加8.00万元，增长100.0%，主要原因是年初预算中没有此项资金，该笔资金是国家慢性病综合防控示范区评审工作指标转回。</w:t>
      </w:r>
    </w:p>
    <w:p w14:paraId="182C5AD7">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405.63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9.88</w:t>
      </w:r>
      <w:r>
        <w:rPr>
          <w:rFonts w:ascii="方正仿宋_GBK" w:hAnsi="方正仿宋_GBK" w:eastAsia="方正仿宋_GBK" w:cs="方正仿宋_GBK"/>
          <w:sz w:val="32"/>
          <w:szCs w:val="32"/>
          <w:shd w:val="clear" w:color="auto" w:fill="FFFFFF"/>
        </w:rPr>
        <w:t>%，较年初预算数增加88.69万元，增长28.0%，主要原因是本年追加事业单位超额绩效部分养老保险经费；追加陈时进、易淑宜、王金丽、谢茂华一次性抚恤金和丧葬费。</w:t>
      </w:r>
    </w:p>
    <w:p w14:paraId="44D3FD5D">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3571.04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86.96</w:t>
      </w:r>
      <w:r>
        <w:rPr>
          <w:rFonts w:ascii="方正仿宋_GBK" w:hAnsi="方正仿宋_GBK" w:eastAsia="方正仿宋_GBK" w:cs="方正仿宋_GBK"/>
          <w:sz w:val="32"/>
          <w:szCs w:val="32"/>
          <w:shd w:val="clear" w:color="auto" w:fill="FFFFFF"/>
        </w:rPr>
        <w:t>%，较年初预算数增加657.17万元，增长22.6%，主要原因有</w:t>
      </w:r>
      <w:r>
        <w:rPr>
          <w:rStyle w:val="17"/>
          <w:rFonts w:hint="default" w:ascii="方正仿宋_GBK" w:eastAsia="方正仿宋_GBK"/>
          <w:color w:val="auto"/>
        </w:rPr>
        <w:t>本年人员增加</w:t>
      </w:r>
      <w:r>
        <w:rPr>
          <w:rStyle w:val="17"/>
          <w:rFonts w:ascii="方正仿宋_GBK" w:eastAsia="方正仿宋_GBK"/>
          <w:color w:val="auto"/>
        </w:rPr>
        <w:t>和人员工资变动</w:t>
      </w:r>
      <w:r>
        <w:rPr>
          <w:rStyle w:val="17"/>
          <w:rFonts w:hint="default" w:ascii="方正仿宋_GBK" w:eastAsia="方正仿宋_GBK"/>
          <w:color w:val="auto"/>
        </w:rPr>
        <w:t>，</w:t>
      </w:r>
      <w:r>
        <w:rPr>
          <w:rStyle w:val="17"/>
          <w:rFonts w:ascii="方正仿宋_GBK" w:eastAsia="方正仿宋_GBK"/>
          <w:color w:val="auto"/>
        </w:rPr>
        <w:t>追加了</w:t>
      </w:r>
      <w:r>
        <w:rPr>
          <w:rStyle w:val="17"/>
          <w:rFonts w:hint="default" w:ascii="方正仿宋_GBK" w:eastAsia="方正仿宋_GBK"/>
          <w:color w:val="auto"/>
        </w:rPr>
        <w:t>对应人员经费</w:t>
      </w:r>
      <w:r>
        <w:rPr>
          <w:rStyle w:val="17"/>
          <w:rFonts w:ascii="方正仿宋_GBK" w:eastAsia="方正仿宋_GBK"/>
          <w:color w:val="auto"/>
        </w:rPr>
        <w:t>；</w:t>
      </w:r>
      <w:r>
        <w:rPr>
          <w:rStyle w:val="17"/>
          <w:rFonts w:hint="default" w:ascii="方正仿宋_GBK" w:eastAsia="方正仿宋_GBK"/>
          <w:color w:val="auto"/>
        </w:rPr>
        <w:t>本年</w:t>
      </w:r>
      <w:r>
        <w:rPr>
          <w:rStyle w:val="17"/>
          <w:rFonts w:ascii="方正仿宋_GBK" w:eastAsia="方正仿宋_GBK"/>
          <w:color w:val="auto"/>
        </w:rPr>
        <w:t>清算</w:t>
      </w:r>
      <w:r>
        <w:rPr>
          <w:rStyle w:val="17"/>
          <w:rFonts w:hint="default" w:ascii="方正仿宋_GBK" w:eastAsia="方正仿宋_GBK"/>
          <w:color w:val="auto"/>
        </w:rPr>
        <w:t>2021</w:t>
      </w:r>
      <w:r>
        <w:rPr>
          <w:rStyle w:val="17"/>
          <w:rFonts w:ascii="方正仿宋_GBK" w:eastAsia="方正仿宋_GBK"/>
          <w:color w:val="auto"/>
        </w:rPr>
        <w:t>-</w:t>
      </w:r>
      <w:r>
        <w:rPr>
          <w:rStyle w:val="17"/>
          <w:rFonts w:hint="default" w:ascii="方正仿宋_GBK" w:eastAsia="方正仿宋_GBK"/>
          <w:color w:val="auto"/>
        </w:rPr>
        <w:t>2023年超额绩效</w:t>
      </w:r>
      <w:r>
        <w:rPr>
          <w:rStyle w:val="17"/>
          <w:rFonts w:ascii="方正仿宋_GBK" w:eastAsia="方正仿宋_GBK"/>
          <w:color w:val="auto"/>
        </w:rPr>
        <w:t>，追加超额绩效工资</w:t>
      </w:r>
      <w:r>
        <w:rPr>
          <w:rFonts w:ascii="方正仿宋_GBK" w:hAnsi="方正仿宋_GBK" w:eastAsia="方正仿宋_GBK" w:cs="方正仿宋_GBK"/>
          <w:sz w:val="32"/>
          <w:szCs w:val="32"/>
          <w:shd w:val="clear" w:color="auto" w:fill="FFFFFF"/>
        </w:rPr>
        <w:t>；上级调剂重大疾病预防控制经费和基本公共卫生项目经费到本单位。</w:t>
      </w:r>
    </w:p>
    <w:p w14:paraId="5BB33481">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（5）农林水支出</w:t>
      </w:r>
      <w:r>
        <w:rPr>
          <w:rFonts w:ascii="方正仿宋_GBK" w:hAnsi="方正仿宋_GBK" w:eastAsia="方正仿宋_GBK" w:cs="方正仿宋_GBK"/>
          <w:sz w:val="32"/>
          <w:szCs w:val="32"/>
        </w:rPr>
        <w:t>2.58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0.06</w:t>
      </w:r>
      <w:r>
        <w:rPr>
          <w:rFonts w:ascii="方正仿宋_GBK" w:hAnsi="方正仿宋_GBK" w:eastAsia="方正仿宋_GBK" w:cs="方正仿宋_GBK"/>
          <w:sz w:val="32"/>
          <w:szCs w:val="32"/>
          <w:shd w:val="clear" w:color="auto" w:fill="FFFFFF"/>
        </w:rPr>
        <w:t>%，较年初预算数减少1.21万元，下降31.9%，主要原因是本年动物防疫</w:t>
      </w:r>
      <w:r>
        <w:rPr>
          <w:rFonts w:ascii="方正仿宋_GBK" w:hAnsi="方正仿宋_GBK" w:eastAsia="方正仿宋_GBK" w:cs="方正仿宋_GBK"/>
          <w:sz w:val="32"/>
          <w:szCs w:val="32"/>
        </w:rPr>
        <w:t>经费没有全部用完，指标调减</w:t>
      </w:r>
      <w:r>
        <w:rPr>
          <w:rFonts w:ascii="方正仿宋_GBK" w:hAnsi="方正仿宋_GBK" w:eastAsia="方正仿宋_GBK" w:cs="方正仿宋_GBK"/>
          <w:sz w:val="32"/>
          <w:szCs w:val="32"/>
          <w:shd w:val="clear" w:color="auto" w:fill="FFFFFF"/>
        </w:rPr>
        <w:t>。</w:t>
      </w:r>
    </w:p>
    <w:p w14:paraId="511D8FAF">
      <w:pPr>
        <w:spacing w:line="594"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住房保障支出104.12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2.54</w:t>
      </w:r>
      <w:r>
        <w:rPr>
          <w:rFonts w:ascii="方正仿宋_GBK" w:hAnsi="方正仿宋_GBK" w:eastAsia="方正仿宋_GBK" w:cs="方正仿宋_GBK"/>
          <w:sz w:val="32"/>
          <w:szCs w:val="32"/>
          <w:shd w:val="clear" w:color="auto" w:fill="FFFFFF"/>
        </w:rPr>
        <w:t>%，较年初预算数增加3.18万元，增长3.2%，主要原因是</w:t>
      </w:r>
      <w:bookmarkStart w:id="0" w:name="OLE_LINK4"/>
      <w:r>
        <w:rPr>
          <w:rFonts w:ascii="方正仿宋_GBK" w:hAnsi="方正仿宋_GBK" w:eastAsia="方正仿宋_GBK" w:cs="方正仿宋_GBK"/>
          <w:sz w:val="32"/>
          <w:szCs w:val="32"/>
          <w:shd w:val="clear" w:color="auto" w:fill="FFFFFF"/>
        </w:rPr>
        <w:t>本年有新增人员</w:t>
      </w:r>
      <w:bookmarkEnd w:id="0"/>
      <w:r>
        <w:rPr>
          <w:rFonts w:ascii="方正仿宋_GBK" w:hAnsi="方正仿宋_GBK" w:eastAsia="方正仿宋_GBK" w:cs="方正仿宋_GBK"/>
          <w:sz w:val="32"/>
          <w:szCs w:val="32"/>
          <w:shd w:val="clear" w:color="auto" w:fill="FFFFFF"/>
        </w:rPr>
        <w:t>、人员缴费标准变动，购房补贴经费增加。</w:t>
      </w:r>
    </w:p>
    <w:p w14:paraId="7FEB709D">
      <w:pPr>
        <w:widowControl w:val="0"/>
        <w:spacing w:line="594"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（四）一般公共预算财政拨款基本支出决算情况说明</w:t>
      </w:r>
    </w:p>
    <w:p w14:paraId="46B92F8A">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2098.41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1828.85</w:t>
      </w:r>
      <w:r>
        <w:rPr>
          <w:rFonts w:ascii="方正仿宋_GBK" w:hAnsi="方正仿宋_GBK" w:eastAsia="方正仿宋_GBK" w:cs="方正仿宋_GBK"/>
          <w:sz w:val="32"/>
          <w:szCs w:val="32"/>
          <w:shd w:val="clear" w:color="auto" w:fill="FFFFFF"/>
        </w:rPr>
        <w:t>万元，与2023年度相比，增加102.67万元，增长6.0%，主要原因是本年度人员增加，新进6人，相应人员经费增加。人员经费用途主要包括人员工资、津补贴、绩效工资及住房公积金、社保经费等。公用经费</w:t>
      </w:r>
      <w:r>
        <w:rPr>
          <w:rFonts w:ascii="方正仿宋_GBK" w:hAnsi="方正仿宋_GBK" w:eastAsia="方正仿宋_GBK" w:cs="方正仿宋_GBK"/>
          <w:sz w:val="32"/>
          <w:szCs w:val="32"/>
        </w:rPr>
        <w:t>269.56</w:t>
      </w:r>
      <w:r>
        <w:rPr>
          <w:rFonts w:ascii="方正仿宋_GBK" w:hAnsi="方正仿宋_GBK" w:eastAsia="方正仿宋_GBK" w:cs="方正仿宋_GBK"/>
          <w:sz w:val="32"/>
          <w:szCs w:val="32"/>
          <w:shd w:val="clear" w:color="auto" w:fill="FFFFFF"/>
        </w:rPr>
        <w:t>万元，与2023年度相比，增加68.21万元，增长33.9%，主要原因是本年人员增加，办公费增加。公用经费用途主要包括中心办公费、办公大楼水电、维修、物业等运转费用。</w:t>
      </w:r>
    </w:p>
    <w:p w14:paraId="106D4682">
      <w:pPr>
        <w:widowControl w:val="0"/>
        <w:spacing w:line="594"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（五）政府性基金预算收支决算情况说明</w:t>
      </w:r>
    </w:p>
    <w:p w14:paraId="348A5079">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本单位2024年度无政府性基金预算财政拨款收支。</w:t>
      </w:r>
    </w:p>
    <w:p w14:paraId="50D2DB7E">
      <w:pPr>
        <w:widowControl w:val="0"/>
        <w:spacing w:line="594"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（六）国有资本经营预算财政拨款支出决算情况说明</w:t>
      </w:r>
    </w:p>
    <w:p w14:paraId="4928156F">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本单位2024年度无国有资本经营预算财政拨款支出。</w:t>
      </w:r>
    </w:p>
    <w:p w14:paraId="445731B7">
      <w:pPr>
        <w:widowControl w:val="0"/>
        <w:spacing w:line="594" w:lineRule="exact"/>
        <w:ind w:firstLine="640" w:firstLineChars="200"/>
        <w:jc w:val="both"/>
        <w:rPr>
          <w:rFonts w:hint="default" w:ascii="Times New Roman" w:hAnsi="Times New Roman" w:eastAsia="方正黑体_GBK"/>
          <w:kern w:val="2"/>
          <w:sz w:val="32"/>
          <w:szCs w:val="32"/>
        </w:rPr>
      </w:pPr>
      <w:r>
        <w:rPr>
          <w:rFonts w:hint="default" w:ascii="Times New Roman" w:hAnsi="Times New Roman" w:eastAsia="方正黑体_GBK"/>
          <w:kern w:val="2"/>
          <w:sz w:val="32"/>
          <w:szCs w:val="32"/>
        </w:rPr>
        <w:t>三、财政拨款“三公”经费情况说明</w:t>
      </w:r>
    </w:p>
    <w:p w14:paraId="069FF16D">
      <w:pPr>
        <w:widowControl w:val="0"/>
        <w:spacing w:line="594"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（一）“三公”经费支出总体情况说明</w:t>
      </w:r>
    </w:p>
    <w:p w14:paraId="62E42CF4">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8.60</w:t>
      </w:r>
      <w:r>
        <w:rPr>
          <w:rFonts w:ascii="方正仿宋_GBK" w:hAnsi="方正仿宋_GBK" w:eastAsia="方正仿宋_GBK" w:cs="方正仿宋_GBK"/>
          <w:sz w:val="32"/>
          <w:szCs w:val="32"/>
          <w:shd w:val="clear" w:color="auto" w:fill="FFFFFF"/>
        </w:rPr>
        <w:t>万元，较年初预算数减少0.60万元，下降6.5%，主要原因是单位厉行节约，公务车运行维护费有0.6万元未使用，指标调减。较上年支出数减少0.60万元，下降6.5%，主要原因是单位厉行节约。</w:t>
      </w:r>
    </w:p>
    <w:p w14:paraId="29607101">
      <w:pPr>
        <w:widowControl w:val="0"/>
        <w:spacing w:line="594"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（二）“三公”经费分项支出情况</w:t>
      </w:r>
    </w:p>
    <w:p w14:paraId="08EC9AEB">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14:paraId="22ABE4C1">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14:paraId="66A1CA79">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7.74</w:t>
      </w:r>
      <w:r>
        <w:rPr>
          <w:rFonts w:ascii="方正仿宋_GBK" w:hAnsi="方正仿宋_GBK" w:eastAsia="方正仿宋_GBK" w:cs="方正仿宋_GBK"/>
          <w:sz w:val="32"/>
          <w:szCs w:val="32"/>
          <w:shd w:val="clear" w:color="auto" w:fill="FFFFFF"/>
        </w:rPr>
        <w:t>万元，主要用于本单位车辆维修、 汽油、保险等。费用支出较年初预算数减少1.26万元，下降14.0%，主要原因是本年调剂0.66万元为公务接待费，年底有0.6万元经费未使用，指标调减。较上年支出数减少0.89万元，下降10.3%，主要原因是单位厉行节约。</w:t>
      </w:r>
    </w:p>
    <w:p w14:paraId="36681BF9">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0.86</w:t>
      </w:r>
      <w:r>
        <w:rPr>
          <w:rFonts w:ascii="方正仿宋_GBK" w:hAnsi="方正仿宋_GBK" w:eastAsia="方正仿宋_GBK" w:cs="方正仿宋_GBK"/>
          <w:sz w:val="32"/>
          <w:szCs w:val="32"/>
          <w:shd w:val="clear" w:color="auto" w:fill="FFFFFF"/>
        </w:rPr>
        <w:t>万元，主要用于接待</w:t>
      </w:r>
      <w:r>
        <w:rPr>
          <w:rFonts w:hint="default" w:ascii="方正仿宋_GBK" w:hAnsi="方正仿宋_GBK" w:eastAsia="方正仿宋_GBK" w:cs="方正仿宋_GBK"/>
          <w:sz w:val="32"/>
          <w:szCs w:val="32"/>
          <w:shd w:val="clear" w:color="auto" w:fill="FFFFFF"/>
        </w:rPr>
        <w:t>中国铁路成都局集团有限公司</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重庆</w:t>
      </w:r>
      <w:r>
        <w:rPr>
          <w:rFonts w:ascii="方正仿宋_GBK" w:hAnsi="方正仿宋_GBK" w:eastAsia="方正仿宋_GBK" w:cs="方正仿宋_GBK"/>
          <w:sz w:val="32"/>
          <w:szCs w:val="32"/>
          <w:shd w:val="clear" w:color="auto" w:fill="FFFFFF"/>
        </w:rPr>
        <w:t>市</w:t>
      </w:r>
      <w:r>
        <w:rPr>
          <w:rFonts w:hint="default" w:ascii="方正仿宋_GBK" w:hAnsi="方正仿宋_GBK" w:eastAsia="方正仿宋_GBK" w:cs="方正仿宋_GBK"/>
          <w:sz w:val="32"/>
          <w:szCs w:val="32"/>
          <w:shd w:val="clear" w:color="auto" w:fill="FFFFFF"/>
        </w:rPr>
        <w:t>疾病预防控制所</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重庆市万州区疾病预防控制中心交流学习</w:t>
      </w:r>
      <w:r>
        <w:rPr>
          <w:rFonts w:ascii="方正仿宋_GBK" w:hAnsi="方正仿宋_GBK" w:eastAsia="方正仿宋_GBK" w:cs="方正仿宋_GBK"/>
          <w:sz w:val="32"/>
          <w:szCs w:val="32"/>
          <w:shd w:val="clear" w:color="auto" w:fill="FFFFFF"/>
        </w:rPr>
        <w:t>；重庆市</w:t>
      </w:r>
      <w:r>
        <w:rPr>
          <w:rFonts w:hint="default" w:ascii="方正仿宋_GBK" w:hAnsi="方正仿宋_GBK" w:eastAsia="方正仿宋_GBK" w:cs="方正仿宋_GBK"/>
          <w:sz w:val="32"/>
          <w:szCs w:val="32"/>
          <w:shd w:val="clear" w:color="auto" w:fill="FFFFFF"/>
        </w:rPr>
        <w:t>疾病预防控制中心</w:t>
      </w:r>
      <w:r>
        <w:rPr>
          <w:rFonts w:ascii="方正仿宋_GBK" w:hAnsi="方正仿宋_GBK" w:eastAsia="方正仿宋_GBK" w:cs="方正仿宋_GBK"/>
          <w:sz w:val="32"/>
          <w:szCs w:val="32"/>
          <w:shd w:val="clear" w:color="auto" w:fill="FFFFFF"/>
        </w:rPr>
        <w:t>及相关业务科室调研。费用支出较年初预算数增加0.66万元，增长330.0%，主要原因是本年实际接待较多，从公务用车运行维护费调剂0.66万元。较上年支出数增加0.29万元，增长50.9%，主要原因是本年接待活动较上年增多。</w:t>
      </w:r>
    </w:p>
    <w:p w14:paraId="22AA571D">
      <w:pPr>
        <w:widowControl w:val="0"/>
        <w:spacing w:line="594"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（三）“三公”经费实物量情况</w:t>
      </w:r>
    </w:p>
    <w:p w14:paraId="182D173C">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7</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68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126.62</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2.58</w:t>
      </w:r>
      <w:r>
        <w:rPr>
          <w:rFonts w:ascii="方正仿宋_GBK" w:hAnsi="方正仿宋_GBK" w:eastAsia="方正仿宋_GBK" w:cs="方正仿宋_GBK"/>
          <w:sz w:val="32"/>
          <w:szCs w:val="32"/>
          <w:shd w:val="clear" w:color="auto" w:fill="FFFFFF"/>
        </w:rPr>
        <w:t>万元。</w:t>
      </w:r>
    </w:p>
    <w:p w14:paraId="2507C381">
      <w:pPr>
        <w:widowControl w:val="0"/>
        <w:spacing w:line="594" w:lineRule="exact"/>
        <w:ind w:firstLine="640" w:firstLineChars="200"/>
        <w:jc w:val="both"/>
        <w:rPr>
          <w:rFonts w:hint="default" w:ascii="Times New Roman" w:hAnsi="Times New Roman" w:eastAsia="方正黑体_GBK"/>
          <w:kern w:val="2"/>
          <w:sz w:val="32"/>
          <w:szCs w:val="32"/>
        </w:rPr>
      </w:pPr>
      <w:r>
        <w:rPr>
          <w:rFonts w:hint="default" w:ascii="Times New Roman" w:hAnsi="Times New Roman" w:eastAsia="方正黑体_GBK"/>
          <w:kern w:val="2"/>
          <w:sz w:val="32"/>
          <w:szCs w:val="32"/>
        </w:rPr>
        <w:t>四、其他需要说明的事项</w:t>
      </w:r>
    </w:p>
    <w:p w14:paraId="0CD23450">
      <w:pPr>
        <w:widowControl w:val="0"/>
        <w:spacing w:line="594"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 xml:space="preserve"> （一）财政拨款会议费和培训费情况说明</w:t>
      </w:r>
    </w:p>
    <w:p w14:paraId="40A3CDA5">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0.06</w:t>
      </w:r>
      <w:r>
        <w:rPr>
          <w:rFonts w:ascii="方正仿宋_GBK" w:hAnsi="方正仿宋_GBK" w:eastAsia="方正仿宋_GBK" w:cs="方正仿宋_GBK"/>
          <w:sz w:val="32"/>
          <w:szCs w:val="32"/>
          <w:shd w:val="clear" w:color="auto" w:fill="FFFFFF"/>
        </w:rPr>
        <w:t>万元，与2023年度相比，减少0.03万元，下降33.3%，主要原因是单位严格控制会议支出。本年度培训费支出</w:t>
      </w:r>
      <w:r>
        <w:rPr>
          <w:rFonts w:ascii="方正仿宋_GBK" w:hAnsi="方正仿宋_GBK" w:eastAsia="方正仿宋_GBK" w:cs="方正仿宋_GBK"/>
          <w:sz w:val="32"/>
          <w:szCs w:val="32"/>
        </w:rPr>
        <w:t>35.03</w:t>
      </w:r>
      <w:r>
        <w:rPr>
          <w:rFonts w:ascii="方正仿宋_GBK" w:hAnsi="方正仿宋_GBK" w:eastAsia="方正仿宋_GBK" w:cs="方正仿宋_GBK"/>
          <w:sz w:val="32"/>
          <w:szCs w:val="32"/>
          <w:shd w:val="clear" w:color="auto" w:fill="FFFFFF"/>
        </w:rPr>
        <w:t>万元，与2023年度相比，增加31.22万元，增长819.4%，主要原因是本年度开展凝心聚力-赋能高质量发展培训、康希诺MCV4项目启动及分组培训、应急小分队能力培训、2024年艾滋病筛查实验室人员技术培训、2024年医疗机构传染病暨预防接种技术培训、医疗机构传染病暨预防接种技术培训等培训活动。</w:t>
      </w:r>
    </w:p>
    <w:p w14:paraId="09BE054D">
      <w:pPr>
        <w:widowControl w:val="0"/>
        <w:spacing w:line="594"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（二）机关运行经费情况说明</w:t>
      </w:r>
    </w:p>
    <w:p w14:paraId="3279EAE5">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rPr>
        <w:t>按照部门决算列报口径，事业单位不在机关运行经费统计范围之内</w:t>
      </w:r>
      <w:r>
        <w:rPr>
          <w:rFonts w:hint="default" w:ascii="方正仿宋_GBK" w:hAnsi="方正仿宋_GBK" w:eastAsia="方正仿宋_GBK" w:cs="方正仿宋_GBK"/>
          <w:sz w:val="32"/>
          <w:szCs w:val="32"/>
        </w:rPr>
        <w:t>。</w:t>
      </w:r>
    </w:p>
    <w:p w14:paraId="30D9CC21">
      <w:pPr>
        <w:widowControl w:val="0"/>
        <w:spacing w:line="594"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（三）国有资产占用情况说明</w:t>
      </w:r>
    </w:p>
    <w:p w14:paraId="659D6C78">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台（套）。</w:t>
      </w:r>
    </w:p>
    <w:p w14:paraId="36C2B347">
      <w:pPr>
        <w:widowControl w:val="0"/>
        <w:spacing w:line="594"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（四）政府采购支出情况说明</w:t>
      </w:r>
    </w:p>
    <w:p w14:paraId="58937CCF">
      <w:pPr>
        <w:pStyle w:val="6"/>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158.39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158.39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4.63万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2.92</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4.63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2.92</w:t>
      </w:r>
      <w:r>
        <w:rPr>
          <w:rFonts w:ascii="方正仿宋_GBK" w:hAnsi="方正仿宋_GBK" w:eastAsia="方正仿宋_GBK" w:cs="方正仿宋_GBK"/>
          <w:sz w:val="32"/>
          <w:szCs w:val="32"/>
          <w:shd w:val="clear" w:color="auto" w:fill="FFFFFF"/>
        </w:rPr>
        <w:t xml:space="preserve"> %。主要用于采购办公电脑、A4纸及气相色谱质谱仪1套，微波消解仪1套，全自动免疫印迹仪1套。</w:t>
      </w:r>
    </w:p>
    <w:p w14:paraId="75B5E878">
      <w:pPr>
        <w:widowControl w:val="0"/>
        <w:spacing w:line="594" w:lineRule="exact"/>
        <w:ind w:firstLine="640" w:firstLineChars="200"/>
        <w:jc w:val="both"/>
        <w:rPr>
          <w:rFonts w:hint="default" w:ascii="Times New Roman" w:hAnsi="Times New Roman" w:eastAsia="方正黑体_GBK"/>
          <w:kern w:val="2"/>
          <w:sz w:val="32"/>
          <w:szCs w:val="32"/>
        </w:rPr>
      </w:pPr>
      <w:r>
        <w:rPr>
          <w:rFonts w:ascii="Times New Roman" w:hAnsi="Times New Roman" w:eastAsia="方正黑体_GBK"/>
          <w:kern w:val="2"/>
          <w:sz w:val="32"/>
          <w:szCs w:val="32"/>
        </w:rPr>
        <w:t>五、2024年度预算绩效管理情况说明</w:t>
      </w:r>
    </w:p>
    <w:p w14:paraId="1CE36D51">
      <w:pPr>
        <w:widowControl w:val="0"/>
        <w:spacing w:line="594" w:lineRule="exact"/>
        <w:ind w:firstLine="640" w:firstLineChars="200"/>
        <w:jc w:val="both"/>
        <w:rPr>
          <w:rFonts w:hint="default" w:ascii="Times New Roman" w:hAnsi="Times New Roman" w:eastAsia="方正楷体_GBK"/>
          <w:kern w:val="2"/>
          <w:sz w:val="32"/>
          <w:szCs w:val="32"/>
        </w:rPr>
      </w:pPr>
      <w:r>
        <w:rPr>
          <w:rFonts w:ascii="Times New Roman" w:hAnsi="Times New Roman" w:eastAsia="方正楷体_GBK"/>
          <w:kern w:val="2"/>
          <w:sz w:val="32"/>
          <w:szCs w:val="32"/>
        </w:rPr>
        <w:t>（一）单位自评情况</w:t>
      </w:r>
    </w:p>
    <w:p w14:paraId="3BE58D89">
      <w:pPr>
        <w:pStyle w:val="16"/>
        <w:tabs>
          <w:tab w:val="center" w:pos="4153"/>
          <w:tab w:val="left" w:pos="7275"/>
        </w:tabs>
        <w:spacing w:line="594" w:lineRule="exact"/>
        <w:ind w:firstLine="640"/>
        <w:rPr>
          <w:rFonts w:hint="default" w:ascii="Times New Roman" w:hAnsi="Times New Roman" w:eastAsia="方正仿宋_GBK"/>
          <w:sz w:val="32"/>
          <w:szCs w:val="32"/>
        </w:rPr>
      </w:pPr>
      <w:r>
        <w:rPr>
          <w:rFonts w:hint="default" w:ascii="Times New Roman" w:hAnsi="Times New Roman" w:eastAsia="方正仿宋_GBK"/>
          <w:sz w:val="32"/>
          <w:szCs w:val="32"/>
        </w:rPr>
        <w:t>根据预算绩效管理要求，我</w:t>
      </w:r>
      <w:r>
        <w:rPr>
          <w:rFonts w:ascii="Times New Roman" w:hAnsi="Times New Roman" w:eastAsia="方正仿宋_GBK"/>
          <w:sz w:val="32"/>
          <w:szCs w:val="32"/>
        </w:rPr>
        <w:t>单位</w:t>
      </w:r>
      <w:r>
        <w:rPr>
          <w:rFonts w:hint="default" w:ascii="Times New Roman" w:hAnsi="Times New Roman" w:eastAsia="方正仿宋_GBK"/>
          <w:sz w:val="32"/>
          <w:szCs w:val="32"/>
        </w:rPr>
        <w:t>对</w:t>
      </w:r>
      <w:r>
        <w:rPr>
          <w:rFonts w:ascii="Times New Roman" w:hAnsi="Times New Roman" w:eastAsia="方正仿宋_GBK"/>
          <w:sz w:val="32"/>
          <w:szCs w:val="32"/>
        </w:rPr>
        <w:t>15</w:t>
      </w:r>
      <w:r>
        <w:rPr>
          <w:rFonts w:hint="default" w:ascii="Times New Roman" w:hAnsi="Times New Roman" w:eastAsia="方正仿宋_GBK"/>
          <w:sz w:val="32"/>
          <w:szCs w:val="32"/>
        </w:rPr>
        <w:t>个项目开展了绩效自评，其中，以填报目标自评表形式开展自评</w:t>
      </w:r>
      <w:r>
        <w:rPr>
          <w:rFonts w:ascii="Times New Roman" w:hAnsi="Times New Roman" w:eastAsia="方正仿宋_GBK"/>
          <w:sz w:val="32"/>
          <w:szCs w:val="32"/>
        </w:rPr>
        <w:t>15</w:t>
      </w:r>
      <w:r>
        <w:rPr>
          <w:rFonts w:hint="default" w:ascii="Times New Roman" w:hAnsi="Times New Roman" w:eastAsia="方正仿宋_GBK"/>
          <w:sz w:val="32"/>
          <w:szCs w:val="32"/>
        </w:rPr>
        <w:t>项，涉及资金</w:t>
      </w:r>
      <w:r>
        <w:rPr>
          <w:rFonts w:ascii="Times New Roman" w:hAnsi="Times New Roman" w:eastAsia="方正仿宋_GBK"/>
          <w:sz w:val="32"/>
          <w:szCs w:val="32"/>
        </w:rPr>
        <w:t>1962.27</w:t>
      </w:r>
      <w:r>
        <w:rPr>
          <w:rFonts w:hint="default" w:ascii="Times New Roman" w:hAnsi="Times New Roman" w:eastAsia="方正仿宋_GBK"/>
          <w:sz w:val="32"/>
          <w:szCs w:val="32"/>
        </w:rPr>
        <w:t>万元</w:t>
      </w:r>
      <w:r>
        <w:rPr>
          <w:rFonts w:ascii="Times New Roman" w:hAnsi="Times New Roman" w:eastAsia="方正仿宋_GBK"/>
          <w:sz w:val="32"/>
          <w:szCs w:val="32"/>
        </w:rPr>
        <w:t>。</w:t>
      </w:r>
    </w:p>
    <w:p w14:paraId="0389BB10">
      <w:pPr>
        <w:widowControl w:val="0"/>
        <w:spacing w:line="594" w:lineRule="exact"/>
        <w:ind w:firstLine="640" w:firstLineChars="200"/>
        <w:jc w:val="both"/>
        <w:rPr>
          <w:rFonts w:hint="default" w:ascii="Times New Roman" w:hAnsi="Times New Roman" w:eastAsia="方正黑体_GBK"/>
          <w:kern w:val="2"/>
          <w:sz w:val="32"/>
          <w:szCs w:val="32"/>
        </w:rPr>
      </w:pPr>
      <w:r>
        <w:rPr>
          <w:rFonts w:ascii="Times New Roman" w:hAnsi="Times New Roman" w:eastAsia="方正黑体_GBK"/>
          <w:kern w:val="2"/>
          <w:sz w:val="32"/>
          <w:szCs w:val="32"/>
        </w:rPr>
        <w:t xml:space="preserve"> 六、专业名词解释</w:t>
      </w:r>
    </w:p>
    <w:p w14:paraId="5BAFB0DC">
      <w:pPr>
        <w:pStyle w:val="12"/>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kern w:val="2"/>
          <w:sz w:val="32"/>
          <w:szCs w:val="32"/>
        </w:rPr>
        <w:t>（一）财政拨款收入</w:t>
      </w:r>
      <w:r>
        <w:rPr>
          <w:rStyle w:val="10"/>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1578376">
      <w:pPr>
        <w:pStyle w:val="12"/>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kern w:val="2"/>
          <w:sz w:val="32"/>
          <w:szCs w:val="32"/>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A5AC390">
      <w:pPr>
        <w:pStyle w:val="12"/>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kern w:val="2"/>
          <w:sz w:val="32"/>
          <w:szCs w:val="32"/>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94BB16A">
      <w:pPr>
        <w:pStyle w:val="12"/>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kern w:val="2"/>
          <w:sz w:val="32"/>
          <w:szCs w:val="32"/>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D686221">
      <w:pPr>
        <w:pStyle w:val="12"/>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kern w:val="2"/>
          <w:sz w:val="32"/>
          <w:szCs w:val="32"/>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16A845C">
      <w:pPr>
        <w:pStyle w:val="12"/>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kern w:val="2"/>
          <w:sz w:val="32"/>
          <w:szCs w:val="32"/>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00525E03">
      <w:pPr>
        <w:pStyle w:val="12"/>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kern w:val="2"/>
          <w:sz w:val="32"/>
          <w:szCs w:val="32"/>
        </w:rPr>
        <w:t>（七）结余分配</w:t>
      </w:r>
      <w:r>
        <w:rPr>
          <w:rStyle w:val="10"/>
          <w:rFonts w:hint="eastAsia" w:ascii="楷体" w:hAnsi="楷体" w:eastAsia="楷体" w:cs="楷体"/>
          <w:sz w:val="32"/>
          <w:szCs w:val="32"/>
          <w:shd w:val="clear" w:color="auto" w:fill="FFFFFF"/>
        </w:rPr>
        <w:t>：</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CF7FBEE">
      <w:pPr>
        <w:pStyle w:val="12"/>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kern w:val="2"/>
          <w:sz w:val="32"/>
          <w:szCs w:val="32"/>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0A88A404">
      <w:pPr>
        <w:pStyle w:val="12"/>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kern w:val="2"/>
          <w:sz w:val="32"/>
          <w:szCs w:val="32"/>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A6E9CEE">
      <w:pPr>
        <w:pStyle w:val="12"/>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kern w:val="2"/>
          <w:sz w:val="32"/>
          <w:szCs w:val="32"/>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B7B75B2">
      <w:pPr>
        <w:widowControl w:val="0"/>
        <w:spacing w:line="594"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楷体_GBK"/>
          <w:kern w:val="2"/>
          <w:sz w:val="32"/>
          <w:szCs w:val="32"/>
        </w:rPr>
        <w:t>（十一）经营支出：指事业单位在专业业务活动及其辅助</w:t>
      </w:r>
      <w:r>
        <w:rPr>
          <w:rFonts w:ascii="方正仿宋_GBK" w:hAnsi="方正仿宋_GBK" w:eastAsia="方正仿宋_GBK" w:cs="方正仿宋_GBK"/>
          <w:sz w:val="32"/>
          <w:szCs w:val="32"/>
          <w:shd w:val="clear" w:color="auto" w:fill="FFFFFF"/>
        </w:rPr>
        <w:t>活动之外开展非独立核算经营活动发生的支出。</w:t>
      </w:r>
    </w:p>
    <w:p w14:paraId="2EE7955A">
      <w:pPr>
        <w:pStyle w:val="12"/>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kern w:val="2"/>
          <w:sz w:val="32"/>
          <w:szCs w:val="32"/>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FCE70C3">
      <w:pPr>
        <w:pStyle w:val="12"/>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kern w:val="2"/>
          <w:sz w:val="32"/>
          <w:szCs w:val="32"/>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26E78EB">
      <w:pPr>
        <w:pStyle w:val="12"/>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kern w:val="2"/>
          <w:sz w:val="32"/>
          <w:szCs w:val="32"/>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42A7410">
      <w:pPr>
        <w:pStyle w:val="12"/>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kern w:val="2"/>
          <w:sz w:val="32"/>
          <w:szCs w:val="32"/>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8DA28A5">
      <w:pPr>
        <w:pStyle w:val="12"/>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kern w:val="2"/>
          <w:sz w:val="32"/>
          <w:szCs w:val="32"/>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C6EAA50">
      <w:pPr>
        <w:pStyle w:val="12"/>
        <w:spacing w:before="0" w:beforeAutospacing="0" w:after="0" w:afterAutospacing="0" w:line="594"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楷体_GBK"/>
          <w:kern w:val="2"/>
          <w:sz w:val="32"/>
          <w:szCs w:val="32"/>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9236C22">
      <w:pPr>
        <w:widowControl w:val="0"/>
        <w:spacing w:line="594" w:lineRule="exact"/>
        <w:ind w:firstLine="640" w:firstLineChars="200"/>
        <w:jc w:val="both"/>
        <w:rPr>
          <w:rFonts w:hint="default" w:ascii="Times New Roman" w:hAnsi="Times New Roman" w:eastAsia="方正黑体_GBK"/>
          <w:kern w:val="2"/>
          <w:sz w:val="32"/>
          <w:szCs w:val="32"/>
        </w:rPr>
      </w:pPr>
      <w:r>
        <w:rPr>
          <w:rFonts w:ascii="Times New Roman" w:hAnsi="Times New Roman" w:eastAsia="方正黑体_GBK"/>
          <w:kern w:val="2"/>
          <w:sz w:val="32"/>
          <w:szCs w:val="32"/>
        </w:rPr>
        <w:t>七、决算公开联系方式及信息反馈渠道</w:t>
      </w:r>
    </w:p>
    <w:p w14:paraId="62C29A50">
      <w:pPr>
        <w:pStyle w:val="12"/>
        <w:spacing w:before="0" w:beforeAutospacing="0" w:after="0" w:afterAutospacing="0" w:line="594" w:lineRule="exact"/>
        <w:ind w:firstLine="640" w:firstLineChars="200"/>
        <w:rPr>
          <w:rStyle w:val="10"/>
          <w:rFonts w:ascii="方正仿宋_GBK" w:hAnsi="方正仿宋_GBK" w:eastAsia="方正仿宋_GBK" w:cs="方正仿宋_GBK"/>
          <w:sz w:val="32"/>
          <w:szCs w:val="32"/>
          <w:shd w:val="clear" w:color="auto" w:fill="FFFF00"/>
        </w:rPr>
        <w:sectPr>
          <w:footerReference r:id="rId3" w:type="default"/>
          <w:pgSz w:w="11915" w:h="16840"/>
          <w:pgMar w:top="1928" w:right="1446" w:bottom="1644" w:left="1446"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本单位决算公开信息反馈和联系方式：兰雪梅023-89035631</w:t>
      </w:r>
      <w:bookmarkStart w:id="1" w:name="_GoBack"/>
      <w:bookmarkEnd w:id="1"/>
    </w:p>
    <w:p w14:paraId="19F0EE92">
      <w:pPr>
        <w:spacing w:line="594" w:lineRule="exact"/>
        <w:rPr>
          <w:rFonts w:hint="default"/>
          <w:sz w:val="18"/>
          <w:szCs w:val="18"/>
        </w:rPr>
      </w:pPr>
    </w:p>
    <w:sectPr>
      <w:headerReference r:id="rId4" w:type="default"/>
      <w:footerReference r:id="rId5" w:type="default"/>
      <w:pgSz w:w="16783" w:h="11850" w:orient="landscape"/>
      <w:pgMar w:top="1928" w:right="1446" w:bottom="1644" w:left="1446" w:header="0" w:footer="283" w:gutter="0"/>
      <w:pgNumType w:fmt="numberInDash"/>
      <w:cols w:space="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4A39D">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2BA25603">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- 2 -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070F4">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3B533ED3">
                <w:pPr>
                  <w:pStyle w:val="3"/>
                  <w:rPr>
                    <w:rFonts w:hint="default"/>
                  </w:rPr>
                </w:pP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40 -</w:t>
                </w:r>
                <w:r>
                  <w:rPr>
                    <w:rFonts w:hint="default"/>
                  </w:rP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20C2E4C3">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0F64A">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20"/>
  <w:drawingGridVerticalSpacing w:val="165"/>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GE3ODM3YzJlNjUzMDBiYTY4NjNmN2RhZWYxZTg4NzkifQ=="/>
  </w:docVars>
  <w:rsids>
    <w:rsidRoot w:val="00B03CCD"/>
    <w:rsid w:val="000239C6"/>
    <w:rsid w:val="00090CDE"/>
    <w:rsid w:val="000C245F"/>
    <w:rsid w:val="001D3434"/>
    <w:rsid w:val="001D3BB7"/>
    <w:rsid w:val="00205B07"/>
    <w:rsid w:val="00242F71"/>
    <w:rsid w:val="002B254B"/>
    <w:rsid w:val="002D668C"/>
    <w:rsid w:val="0034050A"/>
    <w:rsid w:val="003843FF"/>
    <w:rsid w:val="00423EBB"/>
    <w:rsid w:val="0044504F"/>
    <w:rsid w:val="00466C9B"/>
    <w:rsid w:val="00486CFC"/>
    <w:rsid w:val="00491DDD"/>
    <w:rsid w:val="00550ABE"/>
    <w:rsid w:val="005D531F"/>
    <w:rsid w:val="00603A6D"/>
    <w:rsid w:val="00623A85"/>
    <w:rsid w:val="00645C88"/>
    <w:rsid w:val="00697C11"/>
    <w:rsid w:val="006B73CF"/>
    <w:rsid w:val="006B7EE6"/>
    <w:rsid w:val="00726AD0"/>
    <w:rsid w:val="00770383"/>
    <w:rsid w:val="007819D4"/>
    <w:rsid w:val="007B419D"/>
    <w:rsid w:val="007B7C4B"/>
    <w:rsid w:val="007C4CF1"/>
    <w:rsid w:val="007D3D39"/>
    <w:rsid w:val="007F2BED"/>
    <w:rsid w:val="00930E16"/>
    <w:rsid w:val="00967B0C"/>
    <w:rsid w:val="00984C6A"/>
    <w:rsid w:val="00994AF7"/>
    <w:rsid w:val="009B67B8"/>
    <w:rsid w:val="009C0FDF"/>
    <w:rsid w:val="009C14C9"/>
    <w:rsid w:val="009C25D0"/>
    <w:rsid w:val="009D2B67"/>
    <w:rsid w:val="009E1452"/>
    <w:rsid w:val="00A3164E"/>
    <w:rsid w:val="00A566F9"/>
    <w:rsid w:val="00A85454"/>
    <w:rsid w:val="00AF2751"/>
    <w:rsid w:val="00B03CCD"/>
    <w:rsid w:val="00BE2B89"/>
    <w:rsid w:val="00BF0D89"/>
    <w:rsid w:val="00C10E9E"/>
    <w:rsid w:val="00C16FE9"/>
    <w:rsid w:val="00C20C3E"/>
    <w:rsid w:val="00C23761"/>
    <w:rsid w:val="00C5163E"/>
    <w:rsid w:val="00C735DE"/>
    <w:rsid w:val="00CC6732"/>
    <w:rsid w:val="00CE6EAB"/>
    <w:rsid w:val="00CF2ACF"/>
    <w:rsid w:val="00D03AAF"/>
    <w:rsid w:val="00D32606"/>
    <w:rsid w:val="00D36B23"/>
    <w:rsid w:val="00D80756"/>
    <w:rsid w:val="00D8322C"/>
    <w:rsid w:val="00DA311F"/>
    <w:rsid w:val="00DD0539"/>
    <w:rsid w:val="00E07662"/>
    <w:rsid w:val="00E12681"/>
    <w:rsid w:val="00E368E9"/>
    <w:rsid w:val="00EC417D"/>
    <w:rsid w:val="00EE1E33"/>
    <w:rsid w:val="00F73F90"/>
    <w:rsid w:val="00FB4B3B"/>
    <w:rsid w:val="00FE0B85"/>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A712C1"/>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AE2601"/>
    <w:rsid w:val="10EC0126"/>
    <w:rsid w:val="10F70B9A"/>
    <w:rsid w:val="111445C7"/>
    <w:rsid w:val="114278C6"/>
    <w:rsid w:val="1158083A"/>
    <w:rsid w:val="11643A4B"/>
    <w:rsid w:val="11ED0F98"/>
    <w:rsid w:val="11F03528"/>
    <w:rsid w:val="12C921C4"/>
    <w:rsid w:val="1327709A"/>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A9434D"/>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5FA7699A"/>
    <w:rsid w:val="60C74F6C"/>
    <w:rsid w:val="61015958"/>
    <w:rsid w:val="61025A59"/>
    <w:rsid w:val="613D5BBC"/>
    <w:rsid w:val="61536C39"/>
    <w:rsid w:val="627477E0"/>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1748C4"/>
    <w:rsid w:val="6A5B525B"/>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autoRedefine/>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autoRedefine/>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autoRedefine/>
    <w:qFormat/>
    <w:uiPriority w:val="99"/>
    <w:pPr>
      <w:ind w:firstLine="420" w:firstLineChars="200"/>
    </w:pPr>
  </w:style>
  <w:style w:type="character" w:customStyle="1" w:styleId="17">
    <w:name w:val="fontstyle01"/>
    <w:qFormat/>
    <w:uiPriority w:val="0"/>
    <w:rPr>
      <w:rFonts w:hint="eastAsia" w:ascii="仿宋" w:hAnsi="仿宋" w:eastAsia="仿宋"/>
      <w:color w:val="333333"/>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5718</Words>
  <Characters>6501</Characters>
  <Lines>114</Lines>
  <Paragraphs>32</Paragraphs>
  <TotalTime>28</TotalTime>
  <ScaleCrop>false</ScaleCrop>
  <LinksUpToDate>false</LinksUpToDate>
  <CharactersWithSpaces>6515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孙正义</cp:lastModifiedBy>
  <dcterms:modified xsi:type="dcterms:W3CDTF">2025-10-14T02:46:55Z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eyJoZGlkIjoiYzQ4ZDg5ZTM4OWUzOTIxZjJmOWY1YzRhZjQ5ZTU0MTkiLCJ1c2VySWQiOiIxNjIwNzQyNzI3In0=</vt:lpwstr>
  </property>
</Properties>
</file>