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ascii="方正小标宋_GBK" w:eastAsia="方正小标宋_GBK" w:cs="方正小标宋_GBK" w:hint="eastAsia"/>
          <w:sz w:val="44"/>
          <w:szCs w:val="44"/>
        </w:rPr>
      </w:pPr>
      <w:r>
        <w:rPr>
          <w:rFonts w:ascii="方正小标宋_GBK" w:eastAsia="方正小标宋_GBK" w:cs="方正小标宋_GBK" w:hint="eastAsia"/>
          <w:sz w:val="44"/>
          <w:szCs w:val="44"/>
        </w:rPr>
        <w:t>重庆市渝中区卫生健康综合行政执法支队</w:t>
      </w:r>
    </w:p>
    <w:p>
      <w:pPr>
        <w:pStyle w:val="19"/>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ascii="方正小标宋_GBK" w:eastAsia="方正小标宋_GBK" w:cs="方正小标宋_GBK" w:hint="eastAsia"/>
          <w:sz w:val="44"/>
          <w:szCs w:val="44"/>
          <w:shd w:val="clear" w:color="auto" w:fill="FFFFFF"/>
        </w:rPr>
      </w:pPr>
      <w:r>
        <w:rPr>
          <w:rFonts w:ascii="方正小标宋_GBK" w:eastAsia="方正小标宋_GBK" w:cs="方正小标宋_GBK" w:hint="eastAsia"/>
          <w:sz w:val="44"/>
          <w:szCs w:val="44"/>
          <w:shd w:val="clear" w:color="auto" w:fill="FFFFFF"/>
        </w:rPr>
        <w:t>2024年度决算公开说明</w:t>
      </w:r>
    </w:p>
    <w:p>
      <w:pPr>
        <w:pStyle w:val="19"/>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360" w:lineRule="auto"/>
        <w:ind w:left="0" w:firstLineChars="200" w:firstLine="640"/>
        <w:textAlignment w:val="auto"/>
        <w:rPr>
          <w:rStyle w:val="20"/>
          <w:rFonts w:ascii="黑体" w:eastAsia="黑体" w:cs="黑体"/>
          <w:sz w:val="32"/>
          <w:szCs w:val="32"/>
          <w:shd w:val="clear" w:color="auto" w:fill="FFFFFF"/>
        </w:rPr>
      </w:pPr>
      <w:r>
        <w:rPr>
          <w:rStyle w:val="20"/>
          <w:rFonts w:ascii="黑体" w:eastAsia="黑体" w:cs="黑体"/>
          <w:sz w:val="32"/>
          <w:szCs w:val="32"/>
          <w:shd w:val="clear" w:color="auto" w:fill="FFFFFF"/>
        </w:rPr>
        <w:t>单位基本情况</w:t>
      </w:r>
    </w:p>
    <w:p>
      <w:pPr>
        <w:pStyle w:val="19"/>
        <w:keepNext w:val="0"/>
        <w:keepLines w:val="0"/>
        <w:pageBreakBefore w:val="0"/>
        <w:widowControl/>
        <w:numPr>
          <w:ilvl w:val="0"/>
          <w:numId w:val="2"/>
        </w:numPr>
        <w:shd w:val="clear" w:color="auto" w:fill="FFFFFF"/>
        <w:kinsoku/>
        <w:wordWrap/>
        <w:overflowPunct/>
        <w:topLinePunct w:val="0"/>
        <w:autoSpaceDN/>
        <w:bidi w:val="0"/>
        <w:adjustRightInd/>
        <w:spacing w:beforeAutospacing="0" w:afterAutospacing="0" w:line="360" w:lineRule="auto"/>
        <w:ind w:left="0" w:firstLine="420"/>
        <w:textAlignment w:val="auto"/>
        <w:rPr>
          <w:rStyle w:val="20"/>
          <w:rFonts w:ascii="楷体" w:eastAsia="楷体" w:cs="楷体"/>
          <w:sz w:val="32"/>
          <w:szCs w:val="32"/>
          <w:shd w:val="clear" w:color="auto" w:fill="FFFFFF"/>
        </w:rPr>
      </w:pPr>
      <w:r>
        <w:rPr>
          <w:rStyle w:val="20"/>
          <w:rFonts w:ascii="楷体" w:eastAsia="楷体" w:cs="楷体"/>
          <w:sz w:val="32"/>
          <w:szCs w:val="32"/>
          <w:shd w:val="clear" w:color="auto" w:fill="FFFFFF"/>
        </w:rPr>
        <w:t>职能职责</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left="0" w:firstLineChars="200" w:firstLine="640"/>
        <w:textAlignment w:val="auto"/>
        <w:rPr>
          <w:sz w:val="32"/>
          <w:szCs w:val="32"/>
        </w:rPr>
      </w:pPr>
      <w:r>
        <w:rPr>
          <w:rFonts w:ascii="方正仿宋_GBK" w:eastAsia="方正仿宋_GBK" w:cs="方正仿宋_GBK"/>
          <w:sz w:val="32"/>
          <w:szCs w:val="32"/>
          <w:shd w:val="clear" w:color="auto" w:fill="FFFFFF"/>
        </w:rPr>
        <w:t>重庆市渝中区卫生健康综合行政执法支队以重庆市渝中区卫生健康委员会的名义，统一行使卫生健康和动物卫生领域的行政处罚权与之相关的行政检查、行政强制权等执法职能。主要职责是：1、贯彻执行相关卫生健康综合行政执法工作制度、地方性卫生执法标准。2、承担区内医疗机构、采供血机构和医师执业、计划生育、母婴保健等医疗卫生领域的执法职能。3、承担区内公共场所卫生、饮用水卫生、学校卫生等公共卫生领域的执法职能。4、承担区内传染病防治、消毒产品、餐饮具集中消毒等传染病防治领域的执法职能。5、承担区内职业卫生、放射卫生等职业健康领域的执法职能。6、承担区内卫生健康综合行政执法体系和信息化建设任务。7、承担动物及动物产品检疫、动物防疫、畜禽屠宰、动物诊疗、兽药等方面的执法职能。8、监督、指导街道卫生健康综合行政执法工作。9、承担区卫生健康综合行政执法有关的应急工作。10、完成区委、区政府和区卫生健康委交办的其他任务。</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rPr>
      </w:pP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ascii="楷体" w:eastAsia="楷体" w:cs="楷体"/>
          <w:sz w:val="32"/>
          <w:szCs w:val="32"/>
        </w:rPr>
      </w:pPr>
      <w:r>
        <w:rPr>
          <w:rStyle w:val="20"/>
          <w:rFonts w:asci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360" w:lineRule="auto"/>
        <w:ind w:firstLineChars="200" w:firstLine="600"/>
        <w:jc w:val="both"/>
        <w:textAlignment w:val="auto"/>
        <w:rPr>
          <w:rFonts w:ascii="方正仿宋_GBK" w:eastAsia="方正仿宋_GBK" w:cs="方正仿宋_GBK"/>
          <w:sz w:val="30"/>
          <w:szCs w:val="30"/>
        </w:rPr>
      </w:pPr>
      <w:r>
        <w:rPr>
          <w:rFonts w:ascii="方正仿宋_GBK" w:eastAsia="方正仿宋_GBK" w:cs="方正仿宋_GBK"/>
          <w:sz w:val="30"/>
          <w:szCs w:val="30"/>
        </w:rPr>
        <w:t>重庆市渝中区卫生健康综合行政执法支队内设9个科室。</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textAlignment w:val="auto"/>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二、单位决算收支情况说明</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（一）收入支出决算总体情况说明。</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hint="eastAsia"/>
          <w:sz w:val="32"/>
          <w:szCs w:val="32"/>
          <w:shd w:val="clear" w:color="auto" w:fill="FFFFFF"/>
          <w:lang w:eastAsia="zh-CN"/>
        </w:rPr>
      </w:pPr>
      <w:r>
        <w:rPr>
          <w:rStyle w:val="20"/>
          <w:rFonts w:ascii="方正仿宋_GBK" w:eastAsia="方正仿宋_GBK" w:cs="方正仿宋_GBK"/>
          <w:sz w:val="32"/>
          <w:szCs w:val="32"/>
          <w:shd w:val="clear" w:color="auto" w:fill="FFFFFF"/>
        </w:rPr>
        <w:t>1.总体情况。</w:t>
      </w:r>
      <w:r>
        <w:rPr>
          <w:rFonts w:ascii="方正仿宋_GBK" w:eastAsia="方正仿宋_GBK" w:cs="方正仿宋_GBK"/>
          <w:sz w:val="32"/>
          <w:szCs w:val="32"/>
          <w:shd w:val="clear" w:color="auto" w:fill="FFFFFF"/>
        </w:rPr>
        <w:t>2024年度收入总计1593.15万元，支出总计</w:t>
      </w:r>
      <w:r>
        <w:rPr>
          <w:rFonts w:ascii="方正仿宋_GBK" w:eastAsia="方正仿宋_GBK" w:cs="方正仿宋_GBK"/>
          <w:sz w:val="32"/>
          <w:szCs w:val="32"/>
        </w:rPr>
        <w:t>1593.15</w:t>
      </w:r>
      <w:r>
        <w:rPr>
          <w:rFonts w:ascii="方正仿宋_GBK" w:eastAsia="方正仿宋_GBK" w:cs="方正仿宋_GBK"/>
          <w:sz w:val="32"/>
          <w:szCs w:val="32"/>
          <w:shd w:val="clear" w:color="auto" w:fill="FFFFFF"/>
        </w:rPr>
        <w:t>万元。收、支与2023年度相比，增加158.96万元，增长11.1%，主要原因是</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val="en-US" w:eastAsia="zh-CN"/>
        </w:rPr>
        <w:t>四是</w:t>
      </w:r>
      <w:r>
        <w:rPr>
          <w:rFonts w:ascii="方正仿宋_GBK" w:eastAsia="方正仿宋_GBK" w:cs="方正仿宋_GBK" w:hint="eastAsia"/>
          <w:sz w:val="32"/>
          <w:szCs w:val="32"/>
          <w:shd w:val="clear" w:color="auto" w:fill="FFFFFF"/>
        </w:rPr>
        <w:t>本年收入智慧卫监项目款120万元</w:t>
      </w:r>
      <w:r>
        <w:rPr>
          <w:rFonts w:ascii="方正仿宋_GBK" w:eastAsia="方正仿宋_GBK" w:cs="方正仿宋_GBK" w:hint="eastAsia"/>
          <w:sz w:val="32"/>
          <w:szCs w:val="32"/>
          <w:shd w:val="clear" w:color="auto" w:fill="FFFFFF"/>
          <w:lang w:eastAsia="zh-CN"/>
        </w:rPr>
        <w:t>。</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hint="eastAsia"/>
          <w:sz w:val="32"/>
          <w:szCs w:val="32"/>
          <w:shd w:val="clear" w:color="auto" w:fill="FFFFFF"/>
          <w:lang w:eastAsia="zh-CN"/>
        </w:rPr>
      </w:pPr>
      <w:r>
        <w:rPr>
          <w:rStyle w:val="20"/>
          <w:rFonts w:ascii="方正仿宋_GBK" w:eastAsia="方正仿宋_GBK" w:cs="方正仿宋_GBK"/>
          <w:sz w:val="32"/>
          <w:szCs w:val="32"/>
          <w:shd w:val="clear" w:color="auto" w:fill="FFFFFF"/>
        </w:rPr>
        <w:t>2.收入情况。</w:t>
      </w:r>
      <w:r>
        <w:rPr>
          <w:rFonts w:ascii="方正仿宋_GBK" w:eastAsia="方正仿宋_GBK" w:cs="方正仿宋_GBK"/>
          <w:sz w:val="32"/>
          <w:szCs w:val="32"/>
          <w:shd w:val="clear" w:color="auto" w:fill="FFFFFF"/>
        </w:rPr>
        <w:t>2024年度收入合计1593.15万元，与2023年度相比，增加158.96万元，增长11.1%，主要原因是</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val="en-US" w:eastAsia="zh-CN"/>
        </w:rPr>
        <w:t>四是</w:t>
      </w:r>
      <w:r>
        <w:rPr>
          <w:rFonts w:ascii="方正仿宋_GBK" w:eastAsia="方正仿宋_GBK" w:cs="方正仿宋_GBK" w:hint="eastAsia"/>
          <w:sz w:val="32"/>
          <w:szCs w:val="32"/>
          <w:shd w:val="clear" w:color="auto" w:fill="FFFFFF"/>
        </w:rPr>
        <w:t>本年收入智慧卫监项目款120万元</w:t>
      </w:r>
      <w:r>
        <w:rPr>
          <w:rFonts w:ascii="方正仿宋_GBK" w:eastAsia="方正仿宋_GBK" w:cs="方正仿宋_GBK" w:hint="eastAsia"/>
          <w:sz w:val="32"/>
          <w:szCs w:val="32"/>
          <w:shd w:val="clear" w:color="auto" w:fill="FFFFFF"/>
          <w:lang w:eastAsia="zh-CN"/>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其中：财政拨款收入</w:t>
      </w:r>
      <w:r>
        <w:rPr>
          <w:rFonts w:ascii="方正仿宋_GBK" w:eastAsia="方正仿宋_GBK" w:cs="方正仿宋_GBK"/>
          <w:sz w:val="32"/>
          <w:szCs w:val="32"/>
        </w:rPr>
        <w:t>1473.15</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92.47</w:t>
      </w:r>
      <w:r>
        <w:rPr>
          <w:rFonts w:ascii="方正仿宋_GBK" w:eastAsia="方正仿宋_GBK" w:cs="方正仿宋_GBK"/>
          <w:sz w:val="32"/>
          <w:szCs w:val="32"/>
          <w:shd w:val="clear" w:color="auto" w:fill="FFFFFF"/>
        </w:rPr>
        <w:t>%；事业收入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120.00</w:t>
      </w:r>
      <w:r>
        <w:rPr>
          <w:rFonts w:ascii="方正仿宋_GBK" w:eastAsia="方正仿宋_GBK" w:cs="方正仿宋_GBK"/>
          <w:sz w:val="32"/>
          <w:szCs w:val="32"/>
          <w:shd w:val="clear" w:color="auto" w:fill="FFFFFF"/>
        </w:rPr>
        <w:t>万元，占7.53%。此外，使用非财政拨款结余和专用结余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sz w:val="32"/>
          <w:szCs w:val="32"/>
          <w:shd w:val="clear" w:color="auto" w:fill="FFFFFF"/>
          <w:lang w:eastAsia="zh-CN"/>
        </w:rPr>
      </w:pPr>
      <w:r>
        <w:rPr>
          <w:rStyle w:val="20"/>
          <w:rFonts w:ascii="方正仿宋_GBK" w:eastAsia="方正仿宋_GBK" w:cs="方正仿宋_GBK"/>
          <w:sz w:val="32"/>
          <w:szCs w:val="32"/>
          <w:shd w:val="clear" w:color="auto" w:fill="FFFFFF"/>
        </w:rPr>
        <w:t>3.支出情况。</w:t>
      </w:r>
      <w:r>
        <w:rPr>
          <w:rFonts w:ascii="方正仿宋_GBK" w:eastAsia="方正仿宋_GBK" w:cs="方正仿宋_GBK"/>
          <w:sz w:val="32"/>
          <w:szCs w:val="32"/>
          <w:shd w:val="clear" w:color="auto" w:fill="FFFFFF"/>
        </w:rPr>
        <w:t>2024年度支出合计</w:t>
      </w:r>
      <w:r>
        <w:rPr>
          <w:rFonts w:ascii="方正仿宋_GBK" w:eastAsia="方正仿宋_GBK" w:cs="方正仿宋_GBK"/>
          <w:sz w:val="32"/>
          <w:szCs w:val="32"/>
        </w:rPr>
        <w:t>1593.15</w:t>
      </w:r>
      <w:r>
        <w:rPr>
          <w:rFonts w:ascii="方正仿宋_GBK" w:eastAsia="方正仿宋_GBK" w:cs="方正仿宋_GBK"/>
          <w:sz w:val="32"/>
          <w:szCs w:val="32"/>
          <w:shd w:val="clear" w:color="auto" w:fill="FFFFFF"/>
        </w:rPr>
        <w:t>万元，与2023年度相比，增加158.96万元，增长11.1%，主要原因</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val="en-US" w:eastAsia="zh-CN"/>
        </w:rPr>
        <w:t>四是</w:t>
      </w:r>
      <w:r>
        <w:rPr>
          <w:rFonts w:ascii="方正仿宋_GBK" w:eastAsia="方正仿宋_GBK" w:cs="方正仿宋_GBK" w:hint="eastAsia"/>
          <w:sz w:val="32"/>
          <w:szCs w:val="32"/>
          <w:shd w:val="clear" w:color="auto" w:fill="FFFFFF"/>
        </w:rPr>
        <w:t>本年收入智慧卫监项目款120万元</w:t>
      </w:r>
      <w:r>
        <w:rPr>
          <w:rFonts w:ascii="方正仿宋_GBK" w:eastAsia="方正仿宋_GBK" w:cs="方正仿宋_GBK" w:hint="eastAsia"/>
          <w:sz w:val="32"/>
          <w:szCs w:val="32"/>
          <w:shd w:val="clear" w:color="auto" w:fill="FFFFFF"/>
          <w:lang w:eastAsia="zh-CN"/>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其中：基本支出</w:t>
      </w:r>
      <w:r>
        <w:rPr>
          <w:rFonts w:ascii="方正仿宋_GBK" w:eastAsia="方正仿宋_GBK" w:cs="方正仿宋_GBK"/>
          <w:sz w:val="32"/>
          <w:szCs w:val="32"/>
        </w:rPr>
        <w:t>1349.87</w:t>
      </w:r>
      <w:r>
        <w:rPr>
          <w:rFonts w:ascii="方正仿宋_GBK" w:eastAsia="方正仿宋_GBK" w:cs="方正仿宋_GBK"/>
          <w:sz w:val="32"/>
          <w:szCs w:val="32"/>
          <w:shd w:val="clear" w:color="auto" w:fill="FFFFFF"/>
        </w:rPr>
        <w:t>万元，占84.73%；项目支出</w:t>
      </w:r>
      <w:r>
        <w:rPr>
          <w:rFonts w:ascii="方正仿宋_GBK" w:eastAsia="方正仿宋_GBK" w:cs="方正仿宋_GBK"/>
          <w:sz w:val="32"/>
          <w:szCs w:val="32"/>
        </w:rPr>
        <w:t>243.29</w:t>
      </w:r>
      <w:r>
        <w:rPr>
          <w:rFonts w:ascii="方正仿宋_GBK" w:eastAsia="方正仿宋_GBK" w:cs="方正仿宋_GBK"/>
          <w:sz w:val="32"/>
          <w:szCs w:val="32"/>
          <w:shd w:val="clear" w:color="auto" w:fill="FFFFFF"/>
        </w:rPr>
        <w:t>万元，占15.27%；经营支出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万元，占0.00%。此外，结余分配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left="0" w:firstLineChars="200" w:firstLine="640"/>
        <w:jc w:val="both"/>
        <w:textAlignment w:val="auto"/>
        <w:rPr>
          <w:rFonts w:ascii="方正仿宋_GBK" w:eastAsia="方正仿宋_GBK" w:cs="方正仿宋_GBK"/>
          <w:color w:val="auto"/>
          <w:sz w:val="32"/>
          <w:szCs w:val="32"/>
          <w:shd w:val="clear" w:color="auto" w:fill="FFFFFF"/>
        </w:rPr>
      </w:pPr>
      <w:r>
        <w:rPr>
          <w:rStyle w:val="20"/>
          <w:rFonts w:ascii="方正仿宋_GBK" w:eastAsia="方正仿宋_GBK" w:cs="方正仿宋_GBK" w:hint="eastAsia"/>
          <w:sz w:val="32"/>
          <w:szCs w:val="32"/>
          <w:shd w:val="clear" w:color="auto" w:fill="FFFFFF"/>
          <w:lang w:val="en-US" w:eastAsia="zh-CN"/>
        </w:rPr>
        <w:t>4.</w:t>
      </w:r>
      <w:r>
        <w:rPr>
          <w:rStyle w:val="20"/>
          <w:rFonts w:ascii="方正仿宋_GBK" w:eastAsia="方正仿宋_GBK" w:cs="方正仿宋_GBK"/>
          <w:sz w:val="32"/>
          <w:szCs w:val="32"/>
          <w:shd w:val="clear" w:color="auto" w:fill="FFFFFF"/>
        </w:rPr>
        <w:t>结转结余情况。</w:t>
      </w:r>
      <w:r>
        <w:rPr>
          <w:rFonts w:ascii="方正仿宋_GBK" w:eastAsia="方正仿宋_GBK" w:cs="方正仿宋_GBK"/>
          <w:color w:val="auto"/>
          <w:sz w:val="32"/>
          <w:szCs w:val="32"/>
          <w:shd w:val="clear" w:color="auto" w:fill="FFFFFF"/>
        </w:rPr>
        <w:t>2024年度年末结转和结余</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left="0" w:firstLineChars="200" w:firstLine="640"/>
        <w:jc w:val="both"/>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（二）财政拨款收入支出决算总体情况说明</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hint="eastAsia"/>
          <w:sz w:val="32"/>
          <w:szCs w:val="32"/>
          <w:shd w:val="clear" w:color="auto" w:fill="FFFFFF"/>
          <w:lang w:eastAsia="zh-CN"/>
        </w:rPr>
      </w:pPr>
      <w:r>
        <w:rPr>
          <w:rFonts w:ascii="方正仿宋_GBK" w:eastAsia="方正仿宋_GBK" w:cs="方正仿宋_GBK"/>
          <w:sz w:val="32"/>
          <w:szCs w:val="32"/>
          <w:shd w:val="clear" w:color="auto" w:fill="FFFFFF"/>
        </w:rPr>
        <w:t>2024年度财政拨款收、支总计1473.15万元。与2023年相比，财政拨款收、支总计各增加38.96万元，增长2.7%。主要原因</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eastAsia="zh-CN"/>
        </w:rPr>
        <w:t>。</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200" w:firstLine="64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N/>
        <w:bidi w:val="0"/>
        <w:adjustRightInd/>
        <w:spacing w:beforeAutospacing="0" w:afterAutospacing="0" w:line="360" w:lineRule="auto"/>
        <w:ind w:left="0" w:firstLineChars="200" w:firstLine="640"/>
        <w:textAlignment w:val="auto"/>
        <w:rPr>
          <w:rFonts w:ascii="方正仿宋_GBK" w:eastAsia="方正仿宋_GBK" w:cs="方正仿宋_GBK" w:hint="eastAsia"/>
          <w:sz w:val="32"/>
          <w:szCs w:val="32"/>
        </w:rPr>
      </w:pPr>
      <w:r>
        <w:rPr>
          <w:rStyle w:val="20"/>
          <w:rFonts w:ascii="方正仿宋_GBK" w:eastAsia="方正仿宋_GBK" w:cs="方正仿宋_GBK" w:hint="eastAsia"/>
          <w:sz w:val="32"/>
          <w:szCs w:val="32"/>
          <w:shd w:val="clear" w:color="auto" w:fill="FFFFFF"/>
        </w:rPr>
        <w:t>1.收入情况。</w:t>
      </w:r>
      <w:r>
        <w:rPr>
          <w:rFonts w:ascii="方正仿宋_GBK" w:eastAsia="方正仿宋_GBK" w:cs="方正仿宋_GBK" w:hint="eastAsia"/>
          <w:sz w:val="32"/>
          <w:szCs w:val="32"/>
          <w:shd w:val="clear" w:color="auto" w:fill="FFFFFF"/>
        </w:rPr>
        <w:t>2024年度一般公共预算财政拨款收入</w:t>
      </w:r>
      <w:r>
        <w:rPr>
          <w:rFonts w:ascii="方正仿宋_GBK" w:eastAsia="方正仿宋_GBK" w:cs="方正仿宋_GBK" w:hint="eastAsia"/>
          <w:sz w:val="32"/>
          <w:szCs w:val="32"/>
        </w:rPr>
        <w:t>1473.15</w:t>
      </w:r>
      <w:r>
        <w:rPr>
          <w:rFonts w:ascii="方正仿宋_GBK" w:eastAsia="方正仿宋_GBK" w:cs="方正仿宋_GBK" w:hint="eastAsia"/>
          <w:sz w:val="32"/>
          <w:szCs w:val="32"/>
          <w:shd w:val="clear" w:color="auto" w:fill="FFFFFF"/>
        </w:rPr>
        <w:t>万元，与2023年度相比，增加38.96万元，增长2.7%。主要原因</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hint="eastAsia"/>
          <w:sz w:val="32"/>
          <w:szCs w:val="32"/>
          <w:shd w:val="clear" w:color="auto" w:fill="FFFFFF"/>
        </w:rPr>
        <w:t>较年初预算数增加66.26万元，增长4.7%。主要原因是</w:t>
      </w:r>
      <w:r>
        <w:rPr>
          <w:rFonts w:ascii="方正仿宋_GBK" w:eastAsia="方正仿宋_GBK" w:cs="方正仿宋_GBK" w:hint="eastAsia"/>
          <w:bCs/>
          <w:sz w:val="32"/>
          <w:szCs w:val="32"/>
          <w:lang w:val="en-US" w:eastAsia="zh-CN"/>
        </w:rPr>
        <w:t>区卫健委二次拨款”金额为66.26万元，具体为“增人增资”38.60万元、“购房补贴”3.13万元、“一次性退休补贴”1.74万元、“护理费”0.19万元、“医疗服务与保障能力提升13.85万元、“基本公共卫生服务”4.60万元、“基层党建工作”0.27万元。</w:t>
      </w:r>
      <w:r>
        <w:rPr>
          <w:rFonts w:ascii="方正仿宋_GBK" w:eastAsia="方正仿宋_GBK" w:cs="方正仿宋_GBK" w:hint="eastAsia"/>
          <w:sz w:val="32"/>
          <w:szCs w:val="32"/>
          <w:shd w:val="clear" w:color="auto" w:fill="FFFFFF"/>
        </w:rPr>
        <w:t>此外，年初财政拨款结转和结余</w:t>
      </w:r>
      <w:r>
        <w:rPr>
          <w:rFonts w:ascii="方正仿宋_GBK" w:eastAsia="方正仿宋_GBK" w:cs="方正仿宋_GBK" w:hint="eastAsia"/>
          <w:sz w:val="32"/>
          <w:szCs w:val="32"/>
        </w:rPr>
        <w:t>0.00</w:t>
      </w:r>
      <w:r>
        <w:rPr>
          <w:rFonts w:ascii="方正仿宋_GBK" w:eastAsia="方正仿宋_GBK" w:cs="方正仿宋_GBK" w:hint="eastAsia"/>
          <w:sz w:val="32"/>
          <w:szCs w:val="32"/>
          <w:shd w:val="clear" w:color="auto" w:fill="FFFFFF"/>
        </w:rPr>
        <w:t>万元。</w:t>
      </w:r>
    </w:p>
    <w:p>
      <w:pPr>
        <w:keepNext w:val="0"/>
        <w:keepLines w:val="0"/>
        <w:pageBreakBefore w:val="0"/>
        <w:widowControl/>
        <w:kinsoku/>
        <w:wordWrap/>
        <w:overflowPunct/>
        <w:topLinePunct w:val="0"/>
        <w:autoSpaceDN/>
        <w:bidi w:val="0"/>
        <w:adjustRightInd/>
        <w:spacing w:beforeAutospacing="0" w:afterAutospacing="0" w:line="360" w:lineRule="auto"/>
        <w:ind w:left="0" w:firstLineChars="200" w:firstLine="640"/>
        <w:textAlignment w:val="auto"/>
        <w:rPr>
          <w:rFonts w:ascii="方正仿宋_GBK" w:eastAsia="方正仿宋_GBK" w:cs="方正仿宋_GBK" w:hint="eastAsia"/>
          <w:sz w:val="32"/>
          <w:szCs w:val="32"/>
        </w:rPr>
      </w:pPr>
      <w:r>
        <w:rPr>
          <w:rStyle w:val="20"/>
          <w:rFonts w:ascii="方正仿宋_GBK" w:eastAsia="方正仿宋_GBK" w:cs="方正仿宋_GBK" w:hint="eastAsia"/>
          <w:sz w:val="32"/>
          <w:szCs w:val="32"/>
          <w:shd w:val="clear" w:color="auto" w:fill="FFFFFF"/>
        </w:rPr>
        <w:t>2.支出情况。</w:t>
      </w:r>
      <w:r>
        <w:rPr>
          <w:rFonts w:ascii="方正仿宋_GBK" w:eastAsia="方正仿宋_GBK" w:cs="方正仿宋_GBK" w:hint="eastAsia"/>
          <w:sz w:val="32"/>
          <w:szCs w:val="32"/>
          <w:shd w:val="clear" w:color="auto" w:fill="FFFFFF"/>
        </w:rPr>
        <w:t>2024年度一般公共预算财政拨款支出</w:t>
      </w:r>
      <w:r>
        <w:rPr>
          <w:rFonts w:ascii="方正仿宋_GBK" w:eastAsia="方正仿宋_GBK" w:cs="方正仿宋_GBK" w:hint="eastAsia"/>
          <w:sz w:val="32"/>
          <w:szCs w:val="32"/>
        </w:rPr>
        <w:t>1473.15</w:t>
      </w:r>
      <w:r>
        <w:rPr>
          <w:rFonts w:ascii="方正仿宋_GBK" w:eastAsia="方正仿宋_GBK" w:cs="方正仿宋_GBK" w:hint="eastAsia"/>
          <w:sz w:val="32"/>
          <w:szCs w:val="32"/>
          <w:shd w:val="clear" w:color="auto" w:fill="FFFFFF"/>
        </w:rPr>
        <w:t>万元，与2023年度相比，增加38.96万元，增长2.7%。主要原因是</w:t>
      </w:r>
      <w:r>
        <w:rPr>
          <w:rFonts w:ascii="方正仿宋_GBK" w:eastAsia="方正仿宋_GBK" w:cs="方正仿宋_GBK" w:hint="eastAsia"/>
          <w:sz w:val="32"/>
          <w:szCs w:val="32"/>
          <w:shd w:val="clear" w:color="auto" w:fill="FFFFFF"/>
          <w:lang w:val="en-US" w:eastAsia="zh-CN"/>
        </w:rPr>
        <w:t>一是</w:t>
      </w:r>
      <w:r>
        <w:rPr>
          <w:rFonts w:ascii="方正仿宋_GBK" w:eastAsia="方正仿宋_GBK" w:cs="方正仿宋_GBK" w:hint="eastAsia"/>
          <w:sz w:val="32"/>
          <w:szCs w:val="32"/>
          <w:shd w:val="clear" w:color="auto" w:fill="FFFFFF"/>
        </w:rPr>
        <w:t>养老保险增加14.67万元，</w:t>
      </w:r>
      <w:r>
        <w:rPr>
          <w:rFonts w:ascii="方正仿宋_GBK" w:eastAsia="方正仿宋_GBK" w:cs="方正仿宋_GBK" w:hint="eastAsia"/>
          <w:sz w:val="32"/>
          <w:szCs w:val="32"/>
          <w:shd w:val="clear" w:color="auto" w:fill="FFFFFF"/>
          <w:lang w:val="en-US" w:eastAsia="zh-CN"/>
        </w:rPr>
        <w:t>二是</w:t>
      </w:r>
      <w:r>
        <w:rPr>
          <w:rFonts w:ascii="方正仿宋_GBK" w:eastAsia="方正仿宋_GBK" w:cs="方正仿宋_GBK" w:hint="eastAsia"/>
          <w:sz w:val="32"/>
          <w:szCs w:val="32"/>
          <w:shd w:val="clear" w:color="auto" w:fill="FFFFFF"/>
        </w:rPr>
        <w:t>职业年金增加15.26万元，</w:t>
      </w:r>
      <w:r>
        <w:rPr>
          <w:rFonts w:ascii="方正仿宋_GBK" w:eastAsia="方正仿宋_GBK" w:cs="方正仿宋_GBK" w:hint="eastAsia"/>
          <w:sz w:val="32"/>
          <w:szCs w:val="32"/>
          <w:shd w:val="clear" w:color="auto" w:fill="FFFFFF"/>
          <w:lang w:val="en-US" w:eastAsia="zh-CN"/>
        </w:rPr>
        <w:t>三是</w:t>
      </w:r>
      <w:r>
        <w:rPr>
          <w:rFonts w:ascii="方正仿宋_GBK" w:eastAsia="方正仿宋_GBK" w:cs="方正仿宋_GBK" w:hint="eastAsia"/>
          <w:sz w:val="32"/>
          <w:szCs w:val="32"/>
          <w:shd w:val="clear" w:color="auto" w:fill="FFFFFF"/>
        </w:rPr>
        <w:t>一般公用支出增加35.09万元</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hint="eastAsia"/>
          <w:sz w:val="32"/>
          <w:szCs w:val="32"/>
          <w:shd w:val="clear" w:color="auto" w:fill="FFFFFF"/>
        </w:rPr>
        <w:t>较年初预算数增加66.26万元，增长4.7%。主要原因是</w:t>
      </w:r>
      <w:r>
        <w:rPr>
          <w:rFonts w:ascii="方正仿宋_GBK" w:eastAsia="方正仿宋_GBK" w:cs="方正仿宋_GBK" w:hint="eastAsia"/>
          <w:bCs/>
          <w:sz w:val="32"/>
          <w:szCs w:val="32"/>
          <w:lang w:val="en-US" w:eastAsia="zh-CN"/>
        </w:rPr>
        <w:t>区卫健委二次拨款”金额为66.26万元，具体为“增人增资”38.60万元、“购房补贴”3.13万元、“一次性退休补贴”1.74万元、“护理费”0.19万元、“医疗服务与保障能力提升13.85万元、“基本公共卫生服务”4.60万元、“基层党建工作”0.27万元。</w:t>
      </w:r>
      <w:r>
        <w:rPr>
          <w:rFonts w:ascii="方正仿宋_GBK" w:eastAsia="方正仿宋_GBK" w:cs="方正仿宋_GBK" w:hint="eastAsia"/>
          <w:sz w:val="32"/>
          <w:szCs w:val="32"/>
          <w:shd w:val="clear" w:color="auto" w:fill="FFFFFF"/>
        </w:rPr>
        <w:t>此外，年初财政拨款结转和结余</w:t>
      </w:r>
      <w:r>
        <w:rPr>
          <w:rFonts w:ascii="方正仿宋_GBK" w:eastAsia="方正仿宋_GBK" w:cs="方正仿宋_GBK" w:hint="eastAsia"/>
          <w:sz w:val="32"/>
          <w:szCs w:val="32"/>
        </w:rPr>
        <w:t>0.00</w:t>
      </w:r>
      <w:r>
        <w:rPr>
          <w:rFonts w:ascii="方正仿宋_GBK" w:eastAsia="方正仿宋_GBK" w:cs="方正仿宋_GBK" w:hint="eastAsia"/>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sz w:val="32"/>
          <w:szCs w:val="32"/>
        </w:rPr>
      </w:pPr>
      <w:r>
        <w:rPr>
          <w:rStyle w:val="20"/>
          <w:rFonts w:ascii="方正仿宋_GBK" w:eastAsia="方正仿宋_GBK" w:cs="方正仿宋_GBK" w:hint="eastAsia"/>
          <w:sz w:val="32"/>
          <w:szCs w:val="32"/>
          <w:shd w:val="clear" w:color="auto" w:fill="FFFFFF"/>
        </w:rPr>
        <w:t>3.结转结余情况。</w:t>
      </w:r>
      <w:r>
        <w:rPr>
          <w:rFonts w:ascii="方正仿宋_GBK" w:eastAsia="方正仿宋_GBK" w:cs="方正仿宋_GBK" w:hint="eastAsia"/>
          <w:sz w:val="32"/>
          <w:szCs w:val="32"/>
          <w:shd w:val="clear" w:color="auto" w:fill="FFFFFF"/>
        </w:rPr>
        <w:t>2024年度年末一般公共预算财政拨款结转和结余</w:t>
      </w:r>
      <w:r>
        <w:rPr>
          <w:rFonts w:ascii="方正仿宋_GBK" w:eastAsia="方正仿宋_GBK" w:cs="方正仿宋_GBK" w:hint="eastAsia"/>
          <w:sz w:val="32"/>
          <w:szCs w:val="32"/>
        </w:rPr>
        <w:t>0.00</w:t>
      </w:r>
      <w:r>
        <w:rPr>
          <w:rFonts w:ascii="方正仿宋_GBK" w:eastAsia="方正仿宋_GBK" w:cs="方正仿宋_GBK" w:hint="eastAsia"/>
          <w:sz w:val="32"/>
          <w:szCs w:val="32"/>
          <w:shd w:val="clear" w:color="auto" w:fill="FFFFFF"/>
        </w:rPr>
        <w:t>万元，与2023年度相比，无增减</w:t>
      </w:r>
      <w:r>
        <w:rPr>
          <w:rFonts w:ascii="方正仿宋_GBK" w:eastAsia="方正仿宋_GBK" w:cs="方正仿宋_GBK" w:hint="eastAsia"/>
          <w:color w:val="FF0000"/>
          <w:sz w:val="32"/>
          <w:szCs w:val="32"/>
          <w:shd w:val="clear" w:color="auto" w:fill="FFFFFF"/>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sz w:val="32"/>
          <w:szCs w:val="32"/>
          <w:shd w:val="clear" w:color="auto" w:fill="FFFFFF"/>
        </w:rPr>
      </w:pPr>
      <w:r>
        <w:rPr>
          <w:rStyle w:val="20"/>
          <w:rFonts w:ascii="方正仿宋_GBK" w:eastAsia="方正仿宋_GBK" w:cs="方正仿宋_GBK" w:hint="eastAsia"/>
          <w:sz w:val="32"/>
          <w:szCs w:val="32"/>
          <w:shd w:val="clear" w:color="auto" w:fill="FFFFFF"/>
        </w:rPr>
        <w:t>4.比较情况。</w:t>
      </w:r>
      <w:r>
        <w:rPr>
          <w:rFonts w:ascii="方正仿宋_GBK" w:eastAsia="方正仿宋_GBK" w:cs="方正仿宋_GBK" w:hint="eastAsia"/>
          <w:sz w:val="32"/>
          <w:szCs w:val="32"/>
          <w:shd w:val="clear" w:color="auto" w:fill="FFFFFF"/>
        </w:rPr>
        <w:t>本单位2024年度一般公共预算财政拨款支出主要用于以下几个方面：</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sz w:val="32"/>
          <w:szCs w:val="32"/>
          <w:shd w:val="clear" w:color="auto" w:fill="FFFFFF"/>
          <w:lang w:val="en-US" w:eastAsia="zh-CN"/>
        </w:rPr>
      </w:pPr>
      <w:r>
        <w:rPr>
          <w:rFonts w:ascii="方正仿宋_GBK" w:eastAsia="方正仿宋_GBK" w:cs="方正仿宋_GBK" w:hint="eastAsia"/>
          <w:sz w:val="32"/>
          <w:szCs w:val="32"/>
          <w:shd w:val="clear" w:color="auto" w:fill="FFFFFF"/>
        </w:rPr>
        <w:t>（</w:t>
      </w:r>
      <w:r>
        <w:rPr>
          <w:rFonts w:ascii="方正仿宋_GBK" w:eastAsia="方正仿宋_GBK" w:cs="方正仿宋_GBK" w:hint="eastAsia"/>
          <w:sz w:val="32"/>
          <w:szCs w:val="32"/>
          <w:shd w:val="clear" w:color="auto" w:fill="FFFFFF"/>
          <w:lang w:val="en-US" w:eastAsia="zh-CN"/>
        </w:rPr>
        <w:t>1</w:t>
      </w:r>
      <w:r>
        <w:rPr>
          <w:rFonts w:ascii="方正仿宋_GBK" w:eastAsia="方正仿宋_GBK" w:cs="方正仿宋_GBK" w:hint="eastAsia"/>
          <w:sz w:val="32"/>
          <w:szCs w:val="32"/>
          <w:shd w:val="clear" w:color="auto" w:fill="FFFFFF"/>
        </w:rPr>
        <w:t>）社会保障与就业支出</w:t>
      </w:r>
      <w:r>
        <w:rPr>
          <w:rFonts w:ascii="方正仿宋_GBK" w:eastAsia="方正仿宋_GBK" w:cs="方正仿宋_GBK" w:hint="eastAsia"/>
          <w:sz w:val="32"/>
          <w:szCs w:val="32"/>
        </w:rPr>
        <w:t>260.27</w:t>
      </w:r>
      <w:r>
        <w:rPr>
          <w:rFonts w:ascii="方正仿宋_GBK" w:eastAsia="方正仿宋_GBK" w:cs="方正仿宋_GBK" w:hint="eastAsia"/>
          <w:sz w:val="32"/>
          <w:szCs w:val="32"/>
          <w:shd w:val="clear" w:color="auto" w:fill="FFFFFF"/>
        </w:rPr>
        <w:t>万元，占</w:t>
      </w:r>
      <w:r>
        <w:rPr>
          <w:rFonts w:ascii="方正仿宋_GBK" w:eastAsia="方正仿宋_GBK" w:cs="方正仿宋_GBK" w:hint="eastAsia"/>
          <w:sz w:val="32"/>
          <w:szCs w:val="32"/>
        </w:rPr>
        <w:t>17.67</w:t>
      </w:r>
      <w:r>
        <w:rPr>
          <w:rFonts w:ascii="方正仿宋_GBK" w:eastAsia="方正仿宋_GBK" w:cs="方正仿宋_GBK" w:hint="eastAsia"/>
          <w:sz w:val="32"/>
          <w:szCs w:val="32"/>
          <w:shd w:val="clear" w:color="auto" w:fill="FFFFFF"/>
        </w:rPr>
        <w:t>%，较年初预算数增加8.05万元，增长3.2%，主要原因是</w:t>
      </w:r>
      <w:r>
        <w:rPr>
          <w:rFonts w:ascii="方正仿宋_GBK" w:eastAsia="方正仿宋_GBK" w:cs="方正仿宋_GBK" w:hint="eastAsia"/>
          <w:sz w:val="32"/>
          <w:szCs w:val="32"/>
          <w:shd w:val="clear" w:color="auto" w:fill="FFFFFF"/>
          <w:lang w:val="en-US" w:eastAsia="zh-CN"/>
        </w:rPr>
        <w:t>追加养老保险和职业年金支出。</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color w:val="auto"/>
          <w:sz w:val="32"/>
          <w:szCs w:val="32"/>
          <w:shd w:val="clear" w:color="auto" w:fill="FFFFFF"/>
          <w:lang w:val="en-US" w:eastAsia="zh-CN"/>
        </w:rPr>
      </w:pPr>
      <w:r>
        <w:rPr>
          <w:rFonts w:ascii="方正仿宋_GBK" w:eastAsia="方正仿宋_GBK" w:cs="方正仿宋_GBK" w:hint="eastAsia"/>
          <w:color w:val="auto"/>
          <w:sz w:val="32"/>
          <w:szCs w:val="32"/>
          <w:shd w:val="clear" w:color="auto" w:fill="FFFFFF"/>
        </w:rPr>
        <w:t>（</w:t>
      </w:r>
      <w:r>
        <w:rPr>
          <w:rFonts w:ascii="方正仿宋_GBK" w:eastAsia="方正仿宋_GBK" w:cs="方正仿宋_GBK" w:hint="eastAsia"/>
          <w:color w:val="auto"/>
          <w:sz w:val="32"/>
          <w:szCs w:val="32"/>
          <w:shd w:val="clear" w:color="auto" w:fill="FFFFFF"/>
          <w:lang w:val="en-US" w:eastAsia="zh-CN"/>
        </w:rPr>
        <w:t>2</w:t>
      </w:r>
      <w:r>
        <w:rPr>
          <w:rFonts w:ascii="方正仿宋_GBK" w:eastAsia="方正仿宋_GBK" w:cs="方正仿宋_GBK" w:hint="eastAsia"/>
          <w:color w:val="auto"/>
          <w:sz w:val="32"/>
          <w:szCs w:val="32"/>
          <w:shd w:val="clear" w:color="auto" w:fill="FFFFFF"/>
        </w:rPr>
        <w:t>）卫生健康支出</w:t>
      </w:r>
      <w:r>
        <w:rPr>
          <w:rFonts w:ascii="方正仿宋_GBK" w:eastAsia="方正仿宋_GBK" w:cs="方正仿宋_GBK" w:hint="eastAsia"/>
          <w:color w:val="auto"/>
          <w:sz w:val="32"/>
          <w:szCs w:val="32"/>
        </w:rPr>
        <w:t>1072.12</w:t>
      </w:r>
      <w:r>
        <w:rPr>
          <w:rFonts w:ascii="方正仿宋_GBK" w:eastAsia="方正仿宋_GBK" w:cs="方正仿宋_GBK" w:hint="eastAsia"/>
          <w:color w:val="auto"/>
          <w:sz w:val="32"/>
          <w:szCs w:val="32"/>
          <w:shd w:val="clear" w:color="auto" w:fill="FFFFFF"/>
        </w:rPr>
        <w:t>万元，占</w:t>
      </w:r>
      <w:r>
        <w:rPr>
          <w:rFonts w:ascii="方正仿宋_GBK" w:eastAsia="方正仿宋_GBK" w:cs="方正仿宋_GBK" w:hint="eastAsia"/>
          <w:color w:val="auto"/>
          <w:sz w:val="32"/>
          <w:szCs w:val="32"/>
        </w:rPr>
        <w:t>72.78</w:t>
      </w:r>
      <w:r>
        <w:rPr>
          <w:rFonts w:ascii="方正仿宋_GBK" w:eastAsia="方正仿宋_GBK" w:cs="方正仿宋_GBK" w:hint="eastAsia"/>
          <w:color w:val="auto"/>
          <w:sz w:val="32"/>
          <w:szCs w:val="32"/>
          <w:shd w:val="clear" w:color="auto" w:fill="FFFFFF"/>
        </w:rPr>
        <w:t>%，较年初预算数增加50.47万元，增长4.9%，主要原因是</w:t>
      </w:r>
      <w:r>
        <w:rPr>
          <w:rFonts w:ascii="方正仿宋_GBK" w:eastAsia="方正仿宋_GBK" w:cs="方正仿宋_GBK" w:hint="eastAsia"/>
          <w:color w:val="auto"/>
          <w:sz w:val="32"/>
          <w:szCs w:val="32"/>
          <w:shd w:val="clear" w:color="auto" w:fill="FFFFFF"/>
          <w:lang w:val="en-US" w:eastAsia="zh-CN"/>
        </w:rPr>
        <w:t>追加“增人增资”等人员经费及“</w:t>
      </w:r>
      <w:r>
        <w:rPr>
          <w:rFonts w:ascii="方正仿宋_GBK" w:eastAsia="方正仿宋_GBK" w:cs="方正仿宋_GBK" w:hint="eastAsia"/>
          <w:bCs/>
          <w:color w:val="auto"/>
          <w:sz w:val="32"/>
          <w:szCs w:val="32"/>
          <w:lang w:val="en-US" w:eastAsia="zh-CN"/>
        </w:rPr>
        <w:t>医疗服务与保障能力提升</w:t>
      </w:r>
      <w:r>
        <w:rPr>
          <w:rFonts w:ascii="方正仿宋_GBK" w:eastAsia="方正仿宋_GBK" w:cs="方正仿宋_GBK" w:hint="eastAsia"/>
          <w:color w:val="auto"/>
          <w:sz w:val="32"/>
          <w:szCs w:val="32"/>
          <w:shd w:val="clear" w:color="auto" w:fill="FFFFFF"/>
          <w:lang w:val="en-US" w:eastAsia="zh-CN"/>
        </w:rPr>
        <w:t>”等项目经费。</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color w:val="auto"/>
          <w:sz w:val="32"/>
          <w:szCs w:val="32"/>
          <w:shd w:val="clear" w:color="auto" w:fill="FFFFFF"/>
          <w:lang w:val="en-US" w:eastAsia="zh-CN"/>
        </w:rPr>
      </w:pPr>
      <w:r>
        <w:rPr>
          <w:rFonts w:ascii="方正仿宋_GBK" w:eastAsia="方正仿宋_GBK" w:cs="方正仿宋_GBK" w:hint="eastAsia"/>
          <w:color w:val="auto"/>
          <w:sz w:val="32"/>
          <w:szCs w:val="32"/>
          <w:shd w:val="clear" w:color="auto" w:fill="FFFFFF"/>
        </w:rPr>
        <w:t>（</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hint="eastAsia"/>
          <w:color w:val="auto"/>
          <w:sz w:val="32"/>
          <w:szCs w:val="32"/>
          <w:shd w:val="clear" w:color="auto" w:fill="FFFFFF"/>
        </w:rPr>
        <w:t>）农林水支出</w:t>
      </w:r>
      <w:r>
        <w:rPr>
          <w:rFonts w:ascii="方正仿宋_GBK" w:eastAsia="方正仿宋_GBK" w:cs="方正仿宋_GBK" w:hint="eastAsia"/>
          <w:color w:val="auto"/>
          <w:sz w:val="32"/>
          <w:szCs w:val="32"/>
        </w:rPr>
        <w:t>41.82</w:t>
      </w:r>
      <w:r>
        <w:rPr>
          <w:rFonts w:ascii="方正仿宋_GBK" w:eastAsia="方正仿宋_GBK" w:cs="方正仿宋_GBK" w:hint="eastAsia"/>
          <w:color w:val="auto"/>
          <w:sz w:val="32"/>
          <w:szCs w:val="32"/>
          <w:shd w:val="clear" w:color="auto" w:fill="FFFFFF"/>
        </w:rPr>
        <w:t>万元，占</w:t>
      </w:r>
      <w:r>
        <w:rPr>
          <w:rFonts w:ascii="方正仿宋_GBK" w:eastAsia="方正仿宋_GBK" w:cs="方正仿宋_GBK" w:hint="eastAsia"/>
          <w:color w:val="auto"/>
          <w:sz w:val="32"/>
          <w:szCs w:val="32"/>
        </w:rPr>
        <w:t>2.84</w:t>
      </w:r>
      <w:r>
        <w:rPr>
          <w:rFonts w:ascii="方正仿宋_GBK" w:eastAsia="方正仿宋_GBK" w:cs="方正仿宋_GBK" w:hint="eastAsia"/>
          <w:color w:val="auto"/>
          <w:sz w:val="32"/>
          <w:szCs w:val="32"/>
          <w:shd w:val="clear" w:color="auto" w:fill="FFFFFF"/>
        </w:rPr>
        <w:t>%，较年初预算数减少0.48万元，下降1.1%，主要原因是</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动物卫生监督</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项目全年预算数42.30万元，因开展实际业务活动，共计支出41.82万元，剩余指标0.48万元退回财政。</w:t>
      </w:r>
    </w:p>
    <w:p>
      <w:pPr>
        <w:keepNext w:val="0"/>
        <w:keepLines w:val="0"/>
        <w:pageBreakBefore w:val="0"/>
        <w:widowControl/>
        <w:kinsoku/>
        <w:wordWrap/>
        <w:overflowPunct/>
        <w:topLinePunct w:val="0"/>
        <w:autoSpaceDN/>
        <w:bidi w:val="0"/>
        <w:adjustRightInd/>
        <w:spacing w:beforeAutospacing="0" w:afterAutospacing="0" w:line="360" w:lineRule="auto"/>
        <w:ind w:firstLineChars="200" w:firstLine="640"/>
        <w:textAlignment w:val="auto"/>
        <w:rPr>
          <w:rFonts w:ascii="方正仿宋_GBK" w:eastAsia="方正仿宋_GBK" w:cs="方正仿宋_GBK" w:hint="eastAsia"/>
          <w:color w:val="auto"/>
          <w:sz w:val="32"/>
          <w:szCs w:val="32"/>
          <w:shd w:val="clear" w:color="auto" w:fill="FFFFFF"/>
          <w:lang w:val="en-US" w:eastAsia="zh-CN"/>
        </w:rPr>
      </w:pPr>
      <w:r>
        <w:rPr>
          <w:rFonts w:ascii="方正仿宋_GBK" w:eastAsia="方正仿宋_GBK" w:cs="方正仿宋_GBK" w:hint="eastAsia"/>
          <w:color w:val="auto"/>
          <w:sz w:val="32"/>
          <w:szCs w:val="32"/>
          <w:shd w:val="clear" w:color="auto" w:fill="FFFFFF"/>
        </w:rPr>
        <w:t>（</w:t>
      </w:r>
      <w:r>
        <w:rPr>
          <w:rFonts w:ascii="方正仿宋_GBK" w:eastAsia="方正仿宋_GBK" w:cs="方正仿宋_GBK" w:hint="eastAsia"/>
          <w:color w:val="auto"/>
          <w:sz w:val="32"/>
          <w:szCs w:val="32"/>
          <w:shd w:val="clear" w:color="auto" w:fill="FFFFFF"/>
          <w:lang w:val="en-US" w:eastAsia="zh-CN"/>
        </w:rPr>
        <w:t>4</w:t>
      </w:r>
      <w:r>
        <w:rPr>
          <w:rFonts w:ascii="方正仿宋_GBK" w:eastAsia="方正仿宋_GBK" w:cs="方正仿宋_GBK" w:hint="eastAsia"/>
          <w:color w:val="auto"/>
          <w:sz w:val="32"/>
          <w:szCs w:val="32"/>
          <w:shd w:val="clear" w:color="auto" w:fill="FFFFFF"/>
        </w:rPr>
        <w:t>）</w:t>
      </w:r>
      <w:r>
        <w:rPr>
          <w:rFonts w:ascii="方正仿宋_GBK" w:eastAsia="方正仿宋_GBK" w:cs="方正仿宋_GBK" w:hint="eastAsia"/>
          <w:color w:val="auto"/>
          <w:sz w:val="32"/>
          <w:szCs w:val="32"/>
        </w:rPr>
        <w:t>住房保障支出98.94</w:t>
      </w:r>
      <w:r>
        <w:rPr>
          <w:rFonts w:ascii="方正仿宋_GBK" w:eastAsia="方正仿宋_GBK" w:cs="方正仿宋_GBK" w:hint="eastAsia"/>
          <w:color w:val="auto"/>
          <w:sz w:val="32"/>
          <w:szCs w:val="32"/>
          <w:shd w:val="clear" w:color="auto" w:fill="FFFFFF"/>
        </w:rPr>
        <w:t>万元，占</w:t>
      </w:r>
      <w:r>
        <w:rPr>
          <w:rFonts w:ascii="方正仿宋_GBK" w:eastAsia="方正仿宋_GBK" w:cs="方正仿宋_GBK" w:hint="eastAsia"/>
          <w:color w:val="auto"/>
          <w:sz w:val="32"/>
          <w:szCs w:val="32"/>
        </w:rPr>
        <w:t>6.72</w:t>
      </w:r>
      <w:r>
        <w:rPr>
          <w:rFonts w:ascii="方正仿宋_GBK" w:eastAsia="方正仿宋_GBK" w:cs="方正仿宋_GBK" w:hint="eastAsia"/>
          <w:color w:val="auto"/>
          <w:sz w:val="32"/>
          <w:szCs w:val="32"/>
          <w:shd w:val="clear" w:color="auto" w:fill="FFFFFF"/>
        </w:rPr>
        <w:t>%，较年初预算数增加8.21万元，增长9.1%，主要原因是</w:t>
      </w:r>
      <w:bookmarkStart w:id="0" w:name="_GoBack"/>
      <w:bookmarkEnd w:id="0"/>
      <w:r>
        <w:rPr>
          <w:rFonts w:ascii="方正仿宋_GBK" w:eastAsia="方正仿宋_GBK" w:cs="方正仿宋_GBK" w:hint="eastAsia"/>
          <w:color w:val="auto"/>
          <w:sz w:val="32"/>
          <w:szCs w:val="32"/>
          <w:shd w:val="clear" w:color="auto" w:fill="FFFFFF"/>
          <w:lang w:val="en-US" w:eastAsia="zh-CN"/>
        </w:rPr>
        <w:t>人员工资级别调整及新增退休人员，追加“购房补贴”经费。</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（四）一般公共预算财政拨款基本支出决算情况说明</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jc w:val="both"/>
        <w:textAlignment w:val="auto"/>
        <w:rPr>
          <w:rFonts w:ascii="方正仿宋_GBK" w:eastAsia="方正仿宋_GBK" w:cs="方正仿宋_GBK" w:hint="eastAsia"/>
          <w:sz w:val="32"/>
          <w:szCs w:val="32"/>
        </w:rPr>
      </w:pPr>
      <w:r>
        <w:rPr>
          <w:rFonts w:ascii="方正仿宋_GBK" w:eastAsia="方正仿宋_GBK" w:cs="方正仿宋_GBK" w:hint="eastAsia"/>
          <w:sz w:val="32"/>
          <w:szCs w:val="32"/>
          <w:shd w:val="clear" w:color="auto" w:fill="FFFFFF"/>
        </w:rPr>
        <w:t> 2024年度一般公共财政拨款基本支出</w:t>
      </w:r>
      <w:r>
        <w:rPr>
          <w:rFonts w:ascii="方正仿宋_GBK" w:eastAsia="方正仿宋_GBK" w:cs="方正仿宋_GBK" w:hint="eastAsia"/>
          <w:sz w:val="32"/>
          <w:szCs w:val="32"/>
        </w:rPr>
        <w:t>1349.87</w:t>
      </w:r>
      <w:r>
        <w:rPr>
          <w:rFonts w:ascii="方正仿宋_GBK" w:eastAsia="方正仿宋_GBK" w:cs="方正仿宋_GBK" w:hint="eastAsia"/>
          <w:sz w:val="32"/>
          <w:szCs w:val="32"/>
          <w:shd w:val="clear" w:color="auto" w:fill="FFFFFF"/>
        </w:rPr>
        <w:t>万元。其中：人员经费</w:t>
      </w:r>
      <w:r>
        <w:rPr>
          <w:rFonts w:ascii="方正仿宋_GBK" w:eastAsia="方正仿宋_GBK" w:cs="方正仿宋_GBK" w:hint="eastAsia"/>
          <w:sz w:val="32"/>
          <w:szCs w:val="32"/>
        </w:rPr>
        <w:t>1092.29</w:t>
      </w:r>
      <w:r>
        <w:rPr>
          <w:rFonts w:ascii="方正仿宋_GBK" w:eastAsia="方正仿宋_GBK" w:cs="方正仿宋_GBK" w:hint="eastAsia"/>
          <w:sz w:val="32"/>
          <w:szCs w:val="32"/>
          <w:shd w:val="clear" w:color="auto" w:fill="FFFFFF"/>
        </w:rPr>
        <w:t>万元，与2023年度相比，减少10.64万元，下降1.0%，主要原因是</w:t>
      </w:r>
      <w:r>
        <w:rPr>
          <w:rFonts w:ascii="方正仿宋_GBK" w:eastAsia="方正仿宋_GBK" w:cs="方正仿宋_GBK" w:hint="eastAsia"/>
          <w:sz w:val="32"/>
          <w:szCs w:val="32"/>
        </w:rPr>
        <w:t>单位</w:t>
      </w:r>
      <w:r>
        <w:rPr>
          <w:rFonts w:ascii="方正仿宋_GBK" w:eastAsia="方正仿宋_GBK" w:cs="方正仿宋_GBK" w:hint="eastAsia"/>
          <w:sz w:val="32"/>
          <w:szCs w:val="32"/>
          <w:lang w:val="en-US" w:eastAsia="zh-CN"/>
        </w:rPr>
        <w:t>职工工资变动、</w:t>
      </w:r>
      <w:r>
        <w:rPr>
          <w:rFonts w:ascii="方正仿宋_GBK" w:eastAsia="方正仿宋_GBK" w:cs="方正仿宋_GBK" w:hint="eastAsia"/>
          <w:sz w:val="32"/>
          <w:szCs w:val="32"/>
        </w:rPr>
        <w:t>社保公积金基数调整导致人员经费变动。人员经费用途主要包括：基本工资、津贴补贴、奖金、社会保障缴费等</w:t>
      </w:r>
      <w:r>
        <w:rPr>
          <w:rFonts w:ascii="方正仿宋_GBK" w:eastAsia="方正仿宋_GBK" w:cs="方正仿宋_GBK" w:hint="eastAsia"/>
          <w:sz w:val="32"/>
          <w:szCs w:val="32"/>
          <w:shd w:val="clear" w:color="auto" w:fill="FFFFFF"/>
        </w:rPr>
        <w:t>。公用经费</w:t>
      </w:r>
      <w:r>
        <w:rPr>
          <w:rFonts w:ascii="方正仿宋_GBK" w:eastAsia="方正仿宋_GBK" w:cs="方正仿宋_GBK" w:hint="eastAsia"/>
          <w:sz w:val="32"/>
          <w:szCs w:val="32"/>
        </w:rPr>
        <w:t>257.58</w:t>
      </w:r>
      <w:r>
        <w:rPr>
          <w:rFonts w:ascii="方正仿宋_GBK" w:eastAsia="方正仿宋_GBK" w:cs="方正仿宋_GBK" w:hint="eastAsia"/>
          <w:sz w:val="32"/>
          <w:szCs w:val="32"/>
          <w:shd w:val="clear" w:color="auto" w:fill="FFFFFF"/>
        </w:rPr>
        <w:t>万元，与2023年度相比，增加53.21万元，增长26.0%，主要原因一是</w:t>
      </w:r>
      <w:r>
        <w:rPr>
          <w:rFonts w:ascii="方正仿宋_GBK" w:eastAsia="方正仿宋_GBK" w:cs="方正仿宋_GBK" w:hint="eastAsia"/>
          <w:sz w:val="32"/>
          <w:szCs w:val="32"/>
        </w:rPr>
        <w:t>一般公用经费2023年预算为45人*37000元/人，合计166.50万元，202</w:t>
      </w:r>
      <w:r>
        <w:rPr>
          <w:rFonts w:ascii="方正仿宋_GBK" w:eastAsia="方正仿宋_GBK" w:cs="方正仿宋_GBK" w:hint="eastAsia"/>
          <w:sz w:val="32"/>
          <w:szCs w:val="32"/>
          <w:lang w:val="en-US" w:eastAsia="zh-CN"/>
        </w:rPr>
        <w:t>4</w:t>
      </w:r>
      <w:r>
        <w:rPr>
          <w:rFonts w:ascii="方正仿宋_GBK" w:eastAsia="方正仿宋_GBK" w:cs="方正仿宋_GBK" w:hint="eastAsia"/>
          <w:sz w:val="32"/>
          <w:szCs w:val="32"/>
        </w:rPr>
        <w:t>年为4</w:t>
      </w:r>
      <w:r>
        <w:rPr>
          <w:rFonts w:ascii="方正仿宋_GBK" w:eastAsia="方正仿宋_GBK" w:cs="方正仿宋_GBK" w:hint="eastAsia"/>
          <w:sz w:val="32"/>
          <w:szCs w:val="32"/>
          <w:lang w:val="en-US" w:eastAsia="zh-CN"/>
        </w:rPr>
        <w:t>7</w:t>
      </w:r>
      <w:r>
        <w:rPr>
          <w:rFonts w:ascii="方正仿宋_GBK" w:eastAsia="方正仿宋_GBK" w:cs="方正仿宋_GBK" w:hint="eastAsia"/>
          <w:sz w:val="32"/>
          <w:szCs w:val="32"/>
        </w:rPr>
        <w:t>人*</w:t>
      </w:r>
      <w:r>
        <w:rPr>
          <w:rFonts w:ascii="方正仿宋_GBK" w:eastAsia="方正仿宋_GBK" w:cs="方正仿宋_GBK" w:hint="eastAsia"/>
          <w:sz w:val="32"/>
          <w:szCs w:val="32"/>
          <w:lang w:val="en-US" w:eastAsia="zh-CN"/>
        </w:rPr>
        <w:t>37000元</w:t>
      </w:r>
      <w:r>
        <w:rPr>
          <w:rFonts w:ascii="方正仿宋_GBK" w:eastAsia="方正仿宋_GBK" w:cs="方正仿宋_GBK" w:hint="eastAsia"/>
          <w:sz w:val="32"/>
          <w:szCs w:val="32"/>
        </w:rPr>
        <w:t>/人，合计</w:t>
      </w:r>
      <w:r>
        <w:rPr>
          <w:rFonts w:ascii="方正仿宋_GBK" w:eastAsia="方正仿宋_GBK" w:cs="方正仿宋_GBK" w:hint="eastAsia"/>
          <w:sz w:val="32"/>
          <w:szCs w:val="32"/>
          <w:lang w:val="en-US" w:eastAsia="zh-CN"/>
        </w:rPr>
        <w:t>173.90</w:t>
      </w:r>
      <w:r>
        <w:rPr>
          <w:rFonts w:ascii="方正仿宋_GBK" w:eastAsia="方正仿宋_GBK" w:cs="方正仿宋_GBK" w:hint="eastAsia"/>
          <w:sz w:val="32"/>
          <w:szCs w:val="32"/>
        </w:rPr>
        <w:t>万元，</w:t>
      </w:r>
      <w:r>
        <w:rPr>
          <w:rFonts w:ascii="方正仿宋_GBK" w:eastAsia="方正仿宋_GBK" w:cs="方正仿宋_GBK" w:hint="eastAsia"/>
          <w:sz w:val="32"/>
          <w:szCs w:val="32"/>
          <w:lang w:val="en-US" w:eastAsia="zh-CN"/>
        </w:rPr>
        <w:t>增加</w:t>
      </w:r>
      <w:r>
        <w:rPr>
          <w:rFonts w:ascii="方正仿宋_GBK" w:eastAsia="方正仿宋_GBK" w:cs="方正仿宋_GBK" w:hint="eastAsia"/>
          <w:sz w:val="32"/>
          <w:szCs w:val="32"/>
        </w:rPr>
        <w:t>了</w:t>
      </w:r>
      <w:r>
        <w:rPr>
          <w:rFonts w:ascii="方正仿宋_GBK" w:eastAsia="方正仿宋_GBK" w:cs="方正仿宋_GBK" w:hint="eastAsia"/>
          <w:sz w:val="32"/>
          <w:szCs w:val="32"/>
          <w:lang w:val="en-US" w:eastAsia="zh-CN"/>
        </w:rPr>
        <w:t>7.40</w:t>
      </w:r>
      <w:r>
        <w:rPr>
          <w:rFonts w:ascii="方正仿宋_GBK" w:eastAsia="方正仿宋_GBK" w:cs="方正仿宋_GBK" w:hint="eastAsia"/>
          <w:sz w:val="32"/>
          <w:szCs w:val="32"/>
        </w:rPr>
        <w:t>万元</w:t>
      </w:r>
      <w:r>
        <w:rPr>
          <w:rFonts w:ascii="方正仿宋_GBK" w:eastAsia="方正仿宋_GBK" w:cs="方正仿宋_GBK" w:hint="eastAsia"/>
          <w:sz w:val="32"/>
          <w:szCs w:val="32"/>
          <w:lang w:eastAsia="zh-CN"/>
        </w:rPr>
        <w:t>；</w:t>
      </w:r>
      <w:r>
        <w:rPr>
          <w:rFonts w:ascii="方正仿宋_GBK" w:eastAsia="方正仿宋_GBK" w:cs="方正仿宋_GBK" w:hint="eastAsia"/>
          <w:sz w:val="32"/>
          <w:szCs w:val="32"/>
        </w:rPr>
        <w:t>二是年度预算执行中，由于工作需要，财政追</w:t>
      </w:r>
      <w:r>
        <w:rPr>
          <w:rFonts w:ascii="方正仿宋_GBK" w:eastAsia="方正仿宋_GBK" w:cs="方正仿宋_GBK" w:hint="eastAsia"/>
          <w:sz w:val="32"/>
          <w:szCs w:val="32"/>
          <w:lang w:val="en-US" w:eastAsia="zh-CN"/>
        </w:rPr>
        <w:t>加</w:t>
      </w:r>
      <w:r>
        <w:rPr>
          <w:rFonts w:ascii="方正仿宋_GBK" w:eastAsia="方正仿宋_GBK" w:cs="方正仿宋_GBK" w:hint="eastAsia"/>
          <w:sz w:val="32"/>
          <w:szCs w:val="32"/>
        </w:rPr>
        <w:t>一般公用支出（行政）</w:t>
      </w:r>
      <w:r>
        <w:rPr>
          <w:rFonts w:ascii="方正仿宋_GBK" w:eastAsia="方正仿宋_GBK" w:cs="方正仿宋_GBK" w:hint="eastAsia"/>
          <w:sz w:val="32"/>
          <w:szCs w:val="32"/>
          <w:lang w:val="en-US" w:eastAsia="zh-CN"/>
        </w:rPr>
        <w:t>35.09</w:t>
      </w:r>
      <w:r>
        <w:rPr>
          <w:rFonts w:ascii="方正仿宋_GBK" w:eastAsia="方正仿宋_GBK" w:cs="方正仿宋_GBK" w:hint="eastAsia"/>
          <w:sz w:val="32"/>
          <w:szCs w:val="32"/>
        </w:rPr>
        <w:t>万元。公用经费用途主要包括办公费、印刷费、咨询费、手续费、差旅费、会议费等。</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（五）政府性基金预算收支决算情况说明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rPr>
      </w:pPr>
      <w:r>
        <w:rPr>
          <w:rFonts w:ascii="方正仿宋_GBK" w:eastAsia="方正仿宋_GBK" w:cs="方正仿宋_GBK"/>
          <w:sz w:val="32"/>
          <w:szCs w:val="32"/>
        </w:rPr>
        <w:t>本单位2024年度无政府性基金预算财政拨款收支。</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100" w:firstLine="320"/>
        <w:jc w:val="both"/>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（六）国有资本经营预算财政拨款支出决算情况说明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rPr>
      </w:pPr>
      <w:r>
        <w:rPr>
          <w:rFonts w:ascii="方正仿宋_GBK" w:eastAsia="方正仿宋_GBK" w:cs="方正仿宋_GBK"/>
          <w:sz w:val="32"/>
          <w:szCs w:val="32"/>
        </w:rPr>
        <w:t>本单位2024年度无国有资本经营预算财政拨款支出。</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Chars="200" w:firstLine="640"/>
        <w:textAlignment w:val="auto"/>
        <w:rPr>
          <w:rStyle w:val="20"/>
          <w:rFonts w:ascii="黑体" w:eastAsia="黑体" w:cs="黑体" w:hint="eastAsia"/>
          <w:sz w:val="32"/>
          <w:szCs w:val="32"/>
          <w:shd w:val="clear" w:color="auto" w:fill="FFFFFF"/>
          <w:lang w:eastAsia="zh-CN"/>
        </w:rPr>
      </w:pPr>
      <w:r>
        <w:rPr>
          <w:rStyle w:val="20"/>
          <w:rFonts w:ascii="黑体" w:eastAsia="黑体" w:cs="黑体"/>
          <w:sz w:val="32"/>
          <w:szCs w:val="32"/>
          <w:shd w:val="clear" w:color="auto" w:fill="FFFFFF"/>
        </w:rPr>
        <w:t>三、财政拨款“三公”经费情况说明</w:t>
      </w:r>
      <w:r>
        <w:rPr>
          <w:rStyle w:val="20"/>
          <w:rFonts w:ascii="黑体" w:eastAsia="黑体" w:cs="黑体" w:hint="eastAsia"/>
          <w:sz w:val="32"/>
          <w:szCs w:val="32"/>
          <w:shd w:val="clear" w:color="auto" w:fill="FFFFFF"/>
          <w:lang w:eastAsia="zh-CN"/>
        </w:rPr>
        <w:t>。</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（一）“三公”经费支出总体情况说明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color w:val="auto"/>
          <w:sz w:val="32"/>
          <w:szCs w:val="32"/>
        </w:rPr>
      </w:pPr>
      <w:r>
        <w:rPr>
          <w:rFonts w:ascii="方正仿宋_GBK" w:eastAsia="方正仿宋_GBK" w:cs="方正仿宋_GBK"/>
          <w:color w:val="auto"/>
          <w:sz w:val="32"/>
          <w:szCs w:val="32"/>
          <w:shd w:val="clear" w:color="auto" w:fill="FFFFFF"/>
        </w:rPr>
        <w:t>2024年度“三公”经费支出共计</w:t>
      </w:r>
      <w:r>
        <w:rPr>
          <w:rFonts w:ascii="方正仿宋_GBK" w:eastAsia="方正仿宋_GBK" w:cs="方正仿宋_GBK"/>
          <w:color w:val="auto"/>
          <w:sz w:val="32"/>
          <w:szCs w:val="32"/>
        </w:rPr>
        <w:t>8.63</w:t>
      </w:r>
      <w:r>
        <w:rPr>
          <w:rFonts w:ascii="方正仿宋_GBK" w:eastAsia="方正仿宋_GBK" w:cs="方正仿宋_GBK"/>
          <w:color w:val="auto"/>
          <w:sz w:val="32"/>
          <w:szCs w:val="32"/>
          <w:shd w:val="clear" w:color="auto" w:fill="FFFFFF"/>
        </w:rPr>
        <w:t>万元，较年初预算数减少1.57万元，下降15.4%，主要原因</w:t>
      </w:r>
      <w:r>
        <w:rPr>
          <w:rFonts w:ascii="方正仿宋_GBK" w:eastAsia="方正仿宋_GBK" w:cs="方正仿宋_GBK" w:hint="eastAsia"/>
          <w:color w:val="auto"/>
          <w:sz w:val="32"/>
          <w:szCs w:val="32"/>
          <w:shd w:val="clear" w:color="auto" w:fill="FFFFFF"/>
          <w:lang w:val="en-US" w:eastAsia="zh-CN"/>
        </w:rPr>
        <w:t>一是</w:t>
      </w:r>
      <w:r>
        <w:rPr>
          <w:rFonts w:ascii="方正仿宋_GBK" w:eastAsia="方正仿宋_GBK" w:cs="方正仿宋_GBK" w:hint="eastAsia"/>
          <w:color w:val="auto"/>
          <w:sz w:val="32"/>
          <w:szCs w:val="32"/>
          <w:shd w:val="clear" w:color="auto" w:fill="FFFFFF"/>
        </w:rPr>
        <w:t>政策原因追减</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hint="eastAsia"/>
          <w:color w:val="auto"/>
          <w:sz w:val="32"/>
          <w:szCs w:val="32"/>
          <w:shd w:val="clear" w:color="auto" w:fill="FFFFFF"/>
        </w:rPr>
        <w:t>台公务用车运行维护费合计</w:t>
      </w:r>
      <w:r>
        <w:rPr>
          <w:rFonts w:ascii="方正仿宋_GBK" w:eastAsia="方正仿宋_GBK" w:cs="方正仿宋_GBK" w:hint="eastAsia"/>
          <w:color w:val="auto"/>
          <w:sz w:val="32"/>
          <w:szCs w:val="32"/>
          <w:shd w:val="clear" w:color="auto" w:fill="FFFFFF"/>
          <w:lang w:val="en-US" w:eastAsia="zh-CN"/>
        </w:rPr>
        <w:t>0.6万</w:t>
      </w:r>
      <w:r>
        <w:rPr>
          <w:rFonts w:ascii="方正仿宋_GBK" w:eastAsia="方正仿宋_GBK" w:cs="方正仿宋_GBK" w:hint="eastAsia"/>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二</w:t>
      </w:r>
      <w:r>
        <w:rPr>
          <w:rFonts w:ascii="方正仿宋_GBK" w:eastAsia="方正仿宋_GBK" w:cs="方正仿宋_GBK"/>
          <w:color w:val="auto"/>
          <w:sz w:val="32"/>
          <w:szCs w:val="32"/>
          <w:shd w:val="clear" w:color="auto" w:fill="FFFFFF"/>
        </w:rPr>
        <w:t>是我单位继续认真贯彻落实中央八项规定精神和厉行节约要求，从严控制三公经费</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三是本年共2次公务接待，共计25人，0.23万元。</w:t>
      </w:r>
      <w:r>
        <w:rPr>
          <w:rFonts w:ascii="方正仿宋_GBK" w:eastAsia="方正仿宋_GBK" w:cs="方正仿宋_GBK"/>
          <w:color w:val="auto"/>
          <w:sz w:val="32"/>
          <w:szCs w:val="32"/>
          <w:shd w:val="clear" w:color="auto" w:fill="FFFFFF"/>
        </w:rPr>
        <w:t>较上年支出数减少0.97万元，下降10.1%，主要原因</w:t>
      </w:r>
      <w:r>
        <w:rPr>
          <w:rFonts w:ascii="方正仿宋_GBK" w:eastAsia="方正仿宋_GBK" w:cs="方正仿宋_GBK" w:hint="eastAsia"/>
          <w:color w:val="auto"/>
          <w:sz w:val="32"/>
          <w:szCs w:val="32"/>
          <w:shd w:val="clear" w:color="auto" w:fill="FFFFFF"/>
          <w:lang w:val="en-US" w:eastAsia="zh-CN"/>
        </w:rPr>
        <w:t>一是</w:t>
      </w:r>
      <w:r>
        <w:rPr>
          <w:rFonts w:ascii="方正仿宋_GBK" w:eastAsia="方正仿宋_GBK" w:cs="方正仿宋_GBK" w:hint="eastAsia"/>
          <w:color w:val="auto"/>
          <w:sz w:val="32"/>
          <w:szCs w:val="32"/>
          <w:shd w:val="clear" w:color="auto" w:fill="FFFFFF"/>
        </w:rPr>
        <w:t>政策原因追减</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hint="eastAsia"/>
          <w:color w:val="auto"/>
          <w:sz w:val="32"/>
          <w:szCs w:val="32"/>
          <w:shd w:val="clear" w:color="auto" w:fill="FFFFFF"/>
        </w:rPr>
        <w:t>台公务用车运行维护费合计</w:t>
      </w:r>
      <w:r>
        <w:rPr>
          <w:rFonts w:ascii="方正仿宋_GBK" w:eastAsia="方正仿宋_GBK" w:cs="方正仿宋_GBK" w:hint="eastAsia"/>
          <w:color w:val="auto"/>
          <w:sz w:val="32"/>
          <w:szCs w:val="32"/>
          <w:shd w:val="clear" w:color="auto" w:fill="FFFFFF"/>
          <w:lang w:val="en-US" w:eastAsia="zh-CN"/>
        </w:rPr>
        <w:t>0.6万</w:t>
      </w:r>
      <w:r>
        <w:rPr>
          <w:rFonts w:ascii="方正仿宋_GBK" w:eastAsia="方正仿宋_GBK" w:cs="方正仿宋_GBK" w:hint="eastAsia"/>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二</w:t>
      </w:r>
      <w:r>
        <w:rPr>
          <w:rFonts w:ascii="方正仿宋_GBK" w:eastAsia="方正仿宋_GBK" w:cs="方正仿宋_GBK"/>
          <w:color w:val="auto"/>
          <w:sz w:val="32"/>
          <w:szCs w:val="32"/>
          <w:shd w:val="clear" w:color="auto" w:fill="FFFFFF"/>
        </w:rPr>
        <w:t>是我单位继续认真贯彻落实中央八项规定精神和厉行节约要求，从严控制三公经费</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三是本年共2次公务接待，共计25人，0.23万元。</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（二）“三公”经费分项支出情况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年度本部门因公出国（境）费用0.00万元，本单位2023年度未发生因公出国（境）支出，费用支出较年初预算数无增减，较上年支出数无增减。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公务车购置费0.00万元，本单位202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年度未发生公务车购置费支出，费用支出较年初预算数无增减，较上年支出数无增减。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color w:val="auto"/>
          <w:sz w:val="32"/>
          <w:szCs w:val="32"/>
          <w:shd w:val="clear" w:color="auto" w:fill="FFFFFF"/>
          <w:lang w:eastAsia="zh-CN"/>
        </w:rPr>
      </w:pPr>
      <w:r>
        <w:rPr>
          <w:rFonts w:ascii="方正仿宋_GBK" w:eastAsia="方正仿宋_GBK" w:cs="方正仿宋_GBK"/>
          <w:color w:val="auto"/>
          <w:sz w:val="32"/>
          <w:szCs w:val="32"/>
          <w:shd w:val="clear" w:color="auto" w:fill="FFFFFF"/>
        </w:rPr>
        <w:t>公务车运行维护费</w:t>
      </w:r>
      <w:r>
        <w:rPr>
          <w:rFonts w:ascii="方正仿宋_GBK" w:eastAsia="方正仿宋_GBK" w:cs="方正仿宋_GBK"/>
          <w:color w:val="auto"/>
          <w:sz w:val="32"/>
          <w:szCs w:val="32"/>
        </w:rPr>
        <w:t>8.40</w:t>
      </w:r>
      <w:r>
        <w:rPr>
          <w:rFonts w:ascii="方正仿宋_GBK" w:eastAsia="方正仿宋_GBK" w:cs="方正仿宋_GBK"/>
          <w:color w:val="auto"/>
          <w:sz w:val="32"/>
          <w:szCs w:val="32"/>
          <w:shd w:val="clear" w:color="auto" w:fill="FFFFFF"/>
        </w:rPr>
        <w:t>万元，</w:t>
      </w:r>
      <w:r>
        <w:rPr>
          <w:rFonts w:ascii="方正仿宋_GBK" w:eastAsia="方正仿宋_GBK" w:cs="方正仿宋_GBK"/>
          <w:color w:val="auto"/>
          <w:sz w:val="32"/>
          <w:szCs w:val="32"/>
        </w:rPr>
        <w:t>主要用于机要文件交换、市内因公出行、工作检查等工作所需车辆的燃料费、维修费、过桥过路费、保险费等。</w:t>
      </w:r>
      <w:r>
        <w:rPr>
          <w:rFonts w:ascii="方正仿宋_GBK" w:eastAsia="方正仿宋_GBK" w:cs="方正仿宋_GBK"/>
          <w:color w:val="auto"/>
          <w:sz w:val="32"/>
          <w:szCs w:val="32"/>
          <w:shd w:val="clear" w:color="auto" w:fill="FFFFFF"/>
        </w:rPr>
        <w:t>费用支出较年初预算数减少0.60万元，下降6.7%，主要原因</w:t>
      </w:r>
      <w:r>
        <w:rPr>
          <w:rFonts w:ascii="方正仿宋_GBK" w:eastAsia="方正仿宋_GBK" w:cs="方正仿宋_GBK" w:hint="eastAsia"/>
          <w:color w:val="auto"/>
          <w:sz w:val="32"/>
          <w:szCs w:val="32"/>
          <w:shd w:val="clear" w:color="auto" w:fill="FFFFFF"/>
        </w:rPr>
        <w:t>政策原因追减</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hint="eastAsia"/>
          <w:color w:val="auto"/>
          <w:sz w:val="32"/>
          <w:szCs w:val="32"/>
          <w:shd w:val="clear" w:color="auto" w:fill="FFFFFF"/>
        </w:rPr>
        <w:t>台公务用车运行维护费合计</w:t>
      </w:r>
      <w:r>
        <w:rPr>
          <w:rFonts w:ascii="方正仿宋_GBK" w:eastAsia="方正仿宋_GBK" w:cs="方正仿宋_GBK" w:hint="eastAsia"/>
          <w:color w:val="auto"/>
          <w:sz w:val="32"/>
          <w:szCs w:val="32"/>
          <w:shd w:val="clear" w:color="auto" w:fill="FFFFFF"/>
          <w:lang w:val="en-US" w:eastAsia="zh-CN"/>
        </w:rPr>
        <w:t>0.6万</w:t>
      </w:r>
      <w:r>
        <w:rPr>
          <w:rFonts w:ascii="方正仿宋_GBK" w:eastAsia="方正仿宋_GBK" w:cs="方正仿宋_GBK" w:hint="eastAsia"/>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color w:val="auto"/>
          <w:sz w:val="32"/>
          <w:szCs w:val="32"/>
          <w:shd w:val="clear" w:color="auto" w:fill="FFFFFF"/>
        </w:rPr>
        <w:t>较上年支出数减少0.60万元，下降6.7%，主要原因是</w:t>
      </w:r>
      <w:r>
        <w:rPr>
          <w:rFonts w:ascii="方正仿宋_GBK" w:eastAsia="方正仿宋_GBK" w:cs="方正仿宋_GBK" w:hint="eastAsia"/>
          <w:color w:val="auto"/>
          <w:sz w:val="32"/>
          <w:szCs w:val="32"/>
          <w:shd w:val="clear" w:color="auto" w:fill="FFFFFF"/>
        </w:rPr>
        <w:t>政策原因追减</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hint="eastAsia"/>
          <w:color w:val="auto"/>
          <w:sz w:val="32"/>
          <w:szCs w:val="32"/>
          <w:shd w:val="clear" w:color="auto" w:fill="FFFFFF"/>
        </w:rPr>
        <w:t>台公务用车运行维护费合计</w:t>
      </w:r>
      <w:r>
        <w:rPr>
          <w:rFonts w:ascii="方正仿宋_GBK" w:eastAsia="方正仿宋_GBK" w:cs="方正仿宋_GBK" w:hint="eastAsia"/>
          <w:color w:val="auto"/>
          <w:sz w:val="32"/>
          <w:szCs w:val="32"/>
          <w:shd w:val="clear" w:color="auto" w:fill="FFFFFF"/>
          <w:lang w:val="en-US" w:eastAsia="zh-CN"/>
        </w:rPr>
        <w:t>0.6万</w:t>
      </w:r>
      <w:r>
        <w:rPr>
          <w:rFonts w:ascii="方正仿宋_GBK" w:eastAsia="方正仿宋_GBK" w:cs="方正仿宋_GBK" w:hint="eastAsia"/>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hint="eastAsia"/>
          <w:color w:val="auto"/>
          <w:sz w:val="32"/>
          <w:szCs w:val="32"/>
          <w:shd w:val="clear" w:color="auto" w:fill="FFFFFF"/>
          <w:lang w:val="en-US" w:eastAsia="zh-CN"/>
        </w:rPr>
      </w:pPr>
      <w:r>
        <w:rPr>
          <w:rFonts w:ascii="方正仿宋_GBK" w:eastAsia="方正仿宋_GBK" w:cs="方正仿宋_GBK"/>
          <w:color w:val="auto"/>
          <w:sz w:val="32"/>
          <w:szCs w:val="32"/>
          <w:shd w:val="clear" w:color="auto" w:fill="FFFFFF"/>
        </w:rPr>
        <w:t>公务接待费</w:t>
      </w:r>
      <w:r>
        <w:rPr>
          <w:rFonts w:ascii="方正仿宋_GBK" w:eastAsia="方正仿宋_GBK" w:cs="方正仿宋_GBK"/>
          <w:color w:val="auto"/>
          <w:sz w:val="32"/>
          <w:szCs w:val="32"/>
        </w:rPr>
        <w:t>0.23</w:t>
      </w:r>
      <w:r>
        <w:rPr>
          <w:rFonts w:ascii="方正仿宋_GBK" w:eastAsia="方正仿宋_GBK" w:cs="方正仿宋_GBK"/>
          <w:color w:val="auto"/>
          <w:sz w:val="32"/>
          <w:szCs w:val="32"/>
          <w:shd w:val="clear" w:color="auto" w:fill="FFFFFF"/>
        </w:rPr>
        <w:t>万元，主要用于接待</w:t>
      </w:r>
      <w:r>
        <w:rPr>
          <w:rFonts w:ascii="方正仿宋_GBK" w:eastAsia="方正仿宋_GBK" w:cs="方正仿宋_GBK" w:hint="eastAsia"/>
          <w:color w:val="auto"/>
          <w:sz w:val="32"/>
          <w:szCs w:val="32"/>
          <w:shd w:val="clear" w:color="auto" w:fill="FFFFFF"/>
        </w:rPr>
        <w:t>忠县卫生执法队交流学习11人，</w:t>
      </w:r>
      <w:r>
        <w:rPr>
          <w:rFonts w:ascii="方正仿宋_GBK" w:eastAsia="方正仿宋_GBK" w:cs="方正仿宋_GBK" w:hint="eastAsia"/>
          <w:color w:val="auto"/>
          <w:sz w:val="32"/>
          <w:szCs w:val="32"/>
          <w:shd w:val="clear" w:color="auto" w:fill="FFFFFF"/>
          <w:lang w:val="en-US" w:eastAsia="zh-CN"/>
        </w:rPr>
        <w:t>0.99万</w:t>
      </w:r>
      <w:r>
        <w:rPr>
          <w:rFonts w:ascii="方正仿宋_GBK" w:eastAsia="方正仿宋_GBK" w:cs="方正仿宋_GBK" w:hint="eastAsia"/>
          <w:color w:val="auto"/>
          <w:sz w:val="32"/>
          <w:szCs w:val="32"/>
          <w:shd w:val="clear" w:color="auto" w:fill="FFFFFF"/>
        </w:rPr>
        <w:t>元；北京市监督所调研组交流学习14人，</w:t>
      </w:r>
      <w:r>
        <w:rPr>
          <w:rFonts w:ascii="方正仿宋_GBK" w:eastAsia="方正仿宋_GBK" w:cs="方正仿宋_GBK" w:hint="eastAsia"/>
          <w:color w:val="auto"/>
          <w:sz w:val="32"/>
          <w:szCs w:val="32"/>
          <w:shd w:val="clear" w:color="auto" w:fill="FFFFFF"/>
          <w:lang w:val="en-US" w:eastAsia="zh-CN"/>
        </w:rPr>
        <w:t>0.13万</w:t>
      </w:r>
      <w:r>
        <w:rPr>
          <w:rFonts w:ascii="方正仿宋_GBK" w:eastAsia="方正仿宋_GBK" w:cs="方正仿宋_GBK" w:hint="eastAsia"/>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color w:val="auto"/>
          <w:sz w:val="32"/>
          <w:szCs w:val="32"/>
          <w:shd w:val="clear" w:color="auto" w:fill="FFFFFF"/>
        </w:rPr>
        <w:t>费用支出较年初预算数减少0.97万元，下降80.8%，主要原因是我单位继续认真贯彻落实中央八项规定精神和厉行节约要求，从严控制三公经费</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减少非必要的公务接待</w:t>
      </w:r>
      <w:r>
        <w:rPr>
          <w:rFonts w:ascii="方正仿宋_GBK" w:eastAsia="方正仿宋_GBK" w:cs="方正仿宋_GBK"/>
          <w:color w:val="auto"/>
          <w:sz w:val="32"/>
          <w:szCs w:val="32"/>
          <w:shd w:val="clear" w:color="auto" w:fill="FFFFFF"/>
        </w:rPr>
        <w:t>。较上年支出数减少0.37万元，下降61.7%，主要原因是2023年</w:t>
      </w:r>
      <w:r>
        <w:rPr>
          <w:rFonts w:ascii="方正仿宋_GBK" w:eastAsia="方正仿宋_GBK" w:cs="方正仿宋_GBK" w:hint="eastAsia"/>
          <w:color w:val="auto"/>
          <w:sz w:val="32"/>
          <w:szCs w:val="32"/>
          <w:shd w:val="clear" w:color="auto" w:fill="FFFFFF"/>
          <w:lang w:val="en-US" w:eastAsia="zh-CN"/>
        </w:rPr>
        <w:t>3</w:t>
      </w:r>
      <w:r>
        <w:rPr>
          <w:rFonts w:ascii="方正仿宋_GBK" w:eastAsia="方正仿宋_GBK" w:cs="方正仿宋_GBK"/>
          <w:color w:val="auto"/>
          <w:sz w:val="32"/>
          <w:szCs w:val="32"/>
          <w:shd w:val="clear" w:color="auto" w:fill="FFFFFF"/>
        </w:rPr>
        <w:t>次公务接待，共计62人次</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color w:val="auto"/>
          <w:sz w:val="32"/>
          <w:szCs w:val="32"/>
          <w:shd w:val="clear" w:color="auto" w:fill="FFFFFF"/>
        </w:rPr>
        <w:t>花费</w:t>
      </w:r>
      <w:r>
        <w:rPr>
          <w:rFonts w:ascii="方正仿宋_GBK" w:eastAsia="方正仿宋_GBK" w:cs="方正仿宋_GBK" w:hint="eastAsia"/>
          <w:color w:val="auto"/>
          <w:sz w:val="32"/>
          <w:szCs w:val="32"/>
          <w:shd w:val="clear" w:color="auto" w:fill="FFFFFF"/>
          <w:lang w:val="en-US" w:eastAsia="zh-CN"/>
        </w:rPr>
        <w:t>0.60万</w:t>
      </w:r>
      <w:r>
        <w:rPr>
          <w:rFonts w:ascii="方正仿宋_GBK" w:eastAsia="方正仿宋_GBK" w:cs="方正仿宋_GBK"/>
          <w:color w:val="auto"/>
          <w:sz w:val="32"/>
          <w:szCs w:val="32"/>
          <w:shd w:val="clear" w:color="auto" w:fill="FFFFFF"/>
        </w:rPr>
        <w:t>元</w:t>
      </w:r>
      <w:r>
        <w:rPr>
          <w:rFonts w:ascii="方正仿宋_GBK" w:eastAsia="方正仿宋_GBK" w:cs="方正仿宋_GBK" w:hint="eastAsia"/>
          <w:color w:val="auto"/>
          <w:sz w:val="32"/>
          <w:szCs w:val="32"/>
          <w:shd w:val="clear" w:color="auto" w:fill="FFFFFF"/>
          <w:lang w:eastAsia="zh-CN"/>
        </w:rPr>
        <w:t>，</w:t>
      </w:r>
      <w:r>
        <w:rPr>
          <w:rFonts w:ascii="方正仿宋_GBK" w:eastAsia="方正仿宋_GBK" w:cs="方正仿宋_GBK" w:hint="eastAsia"/>
          <w:color w:val="auto"/>
          <w:sz w:val="32"/>
          <w:szCs w:val="32"/>
          <w:shd w:val="clear" w:color="auto" w:fill="FFFFFF"/>
          <w:lang w:val="en-US" w:eastAsia="zh-CN"/>
        </w:rPr>
        <w:t>2024年共2次公务接待，共计25人，花费0.23万元。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100" w:firstLine="320"/>
        <w:jc w:val="both"/>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（三）“三公”经费实物量情况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100" w:firstLine="32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2024年度本单位因公出国（境）共计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3</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2</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25</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人。2024年本单位人均接待费</w:t>
      </w:r>
      <w:r>
        <w:rPr>
          <w:rFonts w:ascii="方正仿宋_GBK" w:eastAsia="方正仿宋_GBK" w:cs="方正仿宋_GBK"/>
          <w:sz w:val="32"/>
          <w:szCs w:val="32"/>
        </w:rPr>
        <w:t>91.52</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2.80</w:t>
      </w:r>
      <w:r>
        <w:rPr>
          <w:rFonts w:ascii="方正仿宋_GBK" w:eastAsia="方正仿宋_GBK" w:cs="方正仿宋_GBK"/>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Style w:val="20"/>
          <w:rFonts w:ascii="黑体" w:eastAsia="黑体" w:cs="黑体"/>
          <w:sz w:val="32"/>
          <w:szCs w:val="32"/>
          <w:shd w:val="clear" w:color="auto" w:fill="FFFFFF"/>
        </w:rPr>
      </w:pPr>
      <w:r>
        <w:rPr>
          <w:rStyle w:val="20"/>
          <w:rFonts w:ascii="黑体" w:eastAsia="黑体" w:cs="黑体"/>
          <w:sz w:val="32"/>
          <w:szCs w:val="32"/>
          <w:shd w:val="clear" w:color="auto" w:fill="FFFFFF"/>
        </w:rPr>
        <w:t>四、其他需要说明的事项</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（一）财政拨款会议费和培训费情况说明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color w:val="auto"/>
          <w:sz w:val="32"/>
          <w:szCs w:val="32"/>
        </w:rPr>
      </w:pPr>
      <w:r>
        <w:rPr>
          <w:rFonts w:ascii="方正仿宋_GBK" w:eastAsia="方正仿宋_GBK" w:cs="方正仿宋_GBK"/>
          <w:color w:val="auto"/>
          <w:sz w:val="32"/>
          <w:szCs w:val="32"/>
          <w:shd w:val="clear" w:color="auto" w:fill="FFFFFF"/>
        </w:rPr>
        <w:t>本年度会议费支出</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万元，与2023年度相比，减少3.00万元，下降100.0%，主要原因是</w:t>
      </w:r>
      <w:r>
        <w:rPr>
          <w:rFonts w:ascii="方正仿宋_GBK" w:eastAsia="方正仿宋_GBK" w:cs="方正仿宋_GBK" w:hint="eastAsia"/>
          <w:color w:val="auto"/>
          <w:sz w:val="32"/>
          <w:szCs w:val="32"/>
          <w:shd w:val="clear" w:color="auto" w:fill="FFFFFF"/>
          <w:lang w:val="en-US" w:eastAsia="zh-CN"/>
        </w:rPr>
        <w:t>厉行节约，减少不必要的会议支出</w:t>
      </w:r>
      <w:r>
        <w:rPr>
          <w:rFonts w:ascii="方正仿宋_GBK" w:eastAsia="方正仿宋_GBK" w:cs="方正仿宋_GBK"/>
          <w:color w:val="auto"/>
          <w:sz w:val="32"/>
          <w:szCs w:val="32"/>
          <w:shd w:val="clear" w:color="auto" w:fill="FFFFFF"/>
        </w:rPr>
        <w:t>。本年度培训费支出</w:t>
      </w:r>
      <w:r>
        <w:rPr>
          <w:rFonts w:ascii="方正仿宋_GBK" w:eastAsia="方正仿宋_GBK" w:cs="方正仿宋_GBK"/>
          <w:color w:val="auto"/>
          <w:sz w:val="32"/>
          <w:szCs w:val="32"/>
        </w:rPr>
        <w:t>8.48</w:t>
      </w:r>
      <w:r>
        <w:rPr>
          <w:rFonts w:ascii="方正仿宋_GBK" w:eastAsia="方正仿宋_GBK" w:cs="方正仿宋_GBK"/>
          <w:color w:val="auto"/>
          <w:sz w:val="32"/>
          <w:szCs w:val="32"/>
          <w:shd w:val="clear" w:color="auto" w:fill="FFFFFF"/>
        </w:rPr>
        <w:t>万元，与2023年度相比，减少3.31万元，下降28.1%，主要原因是</w:t>
      </w:r>
      <w:r>
        <w:rPr>
          <w:rFonts w:ascii="方正仿宋_GBK" w:eastAsia="方正仿宋_GBK" w:cs="方正仿宋_GBK" w:hint="eastAsia"/>
          <w:color w:val="auto"/>
          <w:sz w:val="32"/>
          <w:szCs w:val="32"/>
          <w:shd w:val="clear" w:color="auto" w:fill="FFFFFF"/>
          <w:lang w:val="en-US" w:eastAsia="zh-CN"/>
        </w:rPr>
        <w:t>只举办必要的</w:t>
      </w:r>
      <w:r>
        <w:rPr>
          <w:rFonts w:ascii="方正仿宋_GBK" w:eastAsia="方正仿宋_GBK" w:cs="方正仿宋_GBK" w:hint="eastAsia"/>
          <w:color w:val="auto"/>
          <w:sz w:val="32"/>
          <w:szCs w:val="32"/>
          <w:shd w:val="clear" w:color="auto" w:fill="FFFFFF"/>
        </w:rPr>
        <w:t>党员主题教育活动、远程教育和各种执法培训</w:t>
      </w:r>
      <w:r>
        <w:rPr>
          <w:rFonts w:ascii="方正仿宋_GBK" w:eastAsia="方正仿宋_GBK" w:cs="方正仿宋_GBK"/>
          <w:color w:val="auto"/>
          <w:sz w:val="32"/>
          <w:szCs w:val="32"/>
          <w:shd w:val="clear" w:color="auto" w:fill="FFFFFF"/>
        </w:rPr>
        <w:t>。</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（二）机关运行经费情况说明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00"/>
        <w:jc w:val="both"/>
        <w:textAlignment w:val="auto"/>
        <w:rPr>
          <w:rFonts w:ascii="方正仿宋_GBK" w:eastAsia="方正仿宋_GBK" w:cs="方正仿宋_GBK"/>
          <w:color w:val="auto"/>
          <w:sz w:val="30"/>
          <w:szCs w:val="30"/>
        </w:rPr>
      </w:pPr>
      <w:r>
        <w:rPr>
          <w:rFonts w:ascii="方正仿宋_GBK" w:eastAsia="方正仿宋_GBK" w:cs="方正仿宋_GBK"/>
          <w:color w:val="auto"/>
          <w:sz w:val="30"/>
          <w:szCs w:val="30"/>
          <w:shd w:val="clear" w:color="auto" w:fill="FFFFFF"/>
        </w:rPr>
        <w:t>2024年度本单位机关运行经费支出</w:t>
      </w:r>
      <w:r>
        <w:rPr>
          <w:rFonts w:ascii="方正仿宋_GBK" w:eastAsia="方正仿宋_GBK" w:cs="方正仿宋_GBK"/>
          <w:color w:val="auto"/>
          <w:sz w:val="30"/>
          <w:szCs w:val="30"/>
        </w:rPr>
        <w:t>257.58</w:t>
      </w:r>
      <w:r>
        <w:rPr>
          <w:rFonts w:ascii="方正仿宋_GBK" w:eastAsia="方正仿宋_GBK" w:cs="方正仿宋_GBK"/>
          <w:color w:val="auto"/>
          <w:sz w:val="30"/>
          <w:szCs w:val="30"/>
          <w:shd w:val="clear" w:color="auto" w:fill="FFFFFF"/>
        </w:rPr>
        <w:t>万元，机关运行经费主要用于开支</w:t>
      </w:r>
      <w:r>
        <w:rPr>
          <w:rFonts w:ascii="方正仿宋_GBK" w:eastAsia="方正仿宋_GBK" w:cs="方正仿宋_GBK"/>
          <w:sz w:val="30"/>
          <w:szCs w:val="30"/>
          <w:shd w:val="clear" w:color="auto" w:fill="FFFFFF"/>
        </w:rPr>
        <w:t>办公费、水电费、公务车运行维护费、差旅费、信息网络购置更新费、邮电费</w:t>
      </w:r>
      <w:r>
        <w:rPr>
          <w:rFonts w:ascii="方正仿宋_GBK" w:eastAsia="方正仿宋_GBK" w:cs="方正仿宋_GBK"/>
          <w:color w:val="auto"/>
          <w:sz w:val="30"/>
          <w:szCs w:val="30"/>
          <w:shd w:val="clear" w:color="auto" w:fill="FFFFFF"/>
        </w:rPr>
        <w:t>。机关运行经费较上年支出数增加53.21万元，增长26.0%，主要原因是</w:t>
      </w:r>
      <w:r>
        <w:rPr>
          <w:rFonts w:ascii="方正仿宋_GBK" w:eastAsia="方正仿宋_GBK" w:cs="方正仿宋_GBK" w:hint="eastAsia"/>
          <w:sz w:val="30"/>
          <w:szCs w:val="30"/>
          <w:shd w:val="clear" w:color="auto" w:fill="FFFFFF"/>
        </w:rPr>
        <w:t>一是</w:t>
      </w:r>
      <w:r>
        <w:rPr>
          <w:rFonts w:ascii="方正仿宋_GBK" w:eastAsia="方正仿宋_GBK" w:cs="方正仿宋_GBK" w:hint="eastAsia"/>
          <w:sz w:val="30"/>
          <w:szCs w:val="30"/>
        </w:rPr>
        <w:t>一般公用经费2023年预算为45人*37000元/人，合计166.50万元，202</w:t>
      </w:r>
      <w:r>
        <w:rPr>
          <w:rFonts w:ascii="方正仿宋_GBK" w:eastAsia="方正仿宋_GBK" w:cs="方正仿宋_GBK" w:hint="eastAsia"/>
          <w:sz w:val="30"/>
          <w:szCs w:val="30"/>
          <w:lang w:val="en-US" w:eastAsia="zh-CN"/>
        </w:rPr>
        <w:t>4</w:t>
      </w:r>
      <w:r>
        <w:rPr>
          <w:rFonts w:ascii="方正仿宋_GBK" w:eastAsia="方正仿宋_GBK" w:cs="方正仿宋_GBK" w:hint="eastAsia"/>
          <w:sz w:val="30"/>
          <w:szCs w:val="30"/>
        </w:rPr>
        <w:t>年为4</w:t>
      </w:r>
      <w:r>
        <w:rPr>
          <w:rFonts w:ascii="方正仿宋_GBK" w:eastAsia="方正仿宋_GBK" w:cs="方正仿宋_GBK" w:hint="eastAsia"/>
          <w:sz w:val="30"/>
          <w:szCs w:val="30"/>
          <w:lang w:val="en-US" w:eastAsia="zh-CN"/>
        </w:rPr>
        <w:t>7</w:t>
      </w:r>
      <w:r>
        <w:rPr>
          <w:rFonts w:ascii="方正仿宋_GBK" w:eastAsia="方正仿宋_GBK" w:cs="方正仿宋_GBK" w:hint="eastAsia"/>
          <w:sz w:val="30"/>
          <w:szCs w:val="30"/>
        </w:rPr>
        <w:t>人*</w:t>
      </w:r>
      <w:r>
        <w:rPr>
          <w:rFonts w:ascii="方正仿宋_GBK" w:eastAsia="方正仿宋_GBK" w:cs="方正仿宋_GBK" w:hint="eastAsia"/>
          <w:sz w:val="30"/>
          <w:szCs w:val="30"/>
          <w:lang w:val="en-US" w:eastAsia="zh-CN"/>
        </w:rPr>
        <w:t>37000元</w:t>
      </w:r>
      <w:r>
        <w:rPr>
          <w:rFonts w:ascii="方正仿宋_GBK" w:eastAsia="方正仿宋_GBK" w:cs="方正仿宋_GBK" w:hint="eastAsia"/>
          <w:sz w:val="30"/>
          <w:szCs w:val="30"/>
        </w:rPr>
        <w:t>/人，合计</w:t>
      </w:r>
      <w:r>
        <w:rPr>
          <w:rFonts w:ascii="方正仿宋_GBK" w:eastAsia="方正仿宋_GBK" w:cs="方正仿宋_GBK" w:hint="eastAsia"/>
          <w:sz w:val="30"/>
          <w:szCs w:val="30"/>
          <w:lang w:val="en-US" w:eastAsia="zh-CN"/>
        </w:rPr>
        <w:t>173.90</w:t>
      </w:r>
      <w:r>
        <w:rPr>
          <w:rFonts w:ascii="方正仿宋_GBK" w:eastAsia="方正仿宋_GBK" w:cs="方正仿宋_GBK" w:hint="eastAsia"/>
          <w:sz w:val="30"/>
          <w:szCs w:val="30"/>
        </w:rPr>
        <w:t>万元，</w:t>
      </w:r>
      <w:r>
        <w:rPr>
          <w:rFonts w:ascii="方正仿宋_GBK" w:eastAsia="方正仿宋_GBK" w:cs="方正仿宋_GBK" w:hint="eastAsia"/>
          <w:sz w:val="30"/>
          <w:szCs w:val="30"/>
          <w:lang w:val="en-US" w:eastAsia="zh-CN"/>
        </w:rPr>
        <w:t>增加</w:t>
      </w:r>
      <w:r>
        <w:rPr>
          <w:rFonts w:ascii="方正仿宋_GBK" w:eastAsia="方正仿宋_GBK" w:cs="方正仿宋_GBK" w:hint="eastAsia"/>
          <w:sz w:val="30"/>
          <w:szCs w:val="30"/>
        </w:rPr>
        <w:t>了</w:t>
      </w:r>
      <w:r>
        <w:rPr>
          <w:rFonts w:ascii="方正仿宋_GBK" w:eastAsia="方正仿宋_GBK" w:cs="方正仿宋_GBK" w:hint="eastAsia"/>
          <w:sz w:val="30"/>
          <w:szCs w:val="30"/>
          <w:lang w:val="en-US" w:eastAsia="zh-CN"/>
        </w:rPr>
        <w:t>7.40</w:t>
      </w:r>
      <w:r>
        <w:rPr>
          <w:rFonts w:ascii="方正仿宋_GBK" w:eastAsia="方正仿宋_GBK" w:cs="方正仿宋_GBK" w:hint="eastAsia"/>
          <w:sz w:val="30"/>
          <w:szCs w:val="30"/>
        </w:rPr>
        <w:t>万元</w:t>
      </w:r>
      <w:r>
        <w:rPr>
          <w:rFonts w:ascii="方正仿宋_GBK" w:eastAsia="方正仿宋_GBK" w:cs="方正仿宋_GBK" w:hint="eastAsia"/>
          <w:sz w:val="30"/>
          <w:szCs w:val="30"/>
          <w:lang w:eastAsia="zh-CN"/>
        </w:rPr>
        <w:t>；</w:t>
      </w:r>
      <w:r>
        <w:rPr>
          <w:rFonts w:ascii="方正仿宋_GBK" w:eastAsia="方正仿宋_GBK" w:cs="方正仿宋_GBK" w:hint="eastAsia"/>
          <w:sz w:val="30"/>
          <w:szCs w:val="30"/>
        </w:rPr>
        <w:t>二是年度预算执行中，由于工作需要，财政追</w:t>
      </w:r>
      <w:r>
        <w:rPr>
          <w:rFonts w:ascii="方正仿宋_GBK" w:eastAsia="方正仿宋_GBK" w:cs="方正仿宋_GBK" w:hint="eastAsia"/>
          <w:sz w:val="30"/>
          <w:szCs w:val="30"/>
          <w:lang w:val="en-US" w:eastAsia="zh-CN"/>
        </w:rPr>
        <w:t>加</w:t>
      </w:r>
      <w:r>
        <w:rPr>
          <w:rFonts w:ascii="方正仿宋_GBK" w:eastAsia="方正仿宋_GBK" w:cs="方正仿宋_GBK" w:hint="eastAsia"/>
          <w:sz w:val="30"/>
          <w:szCs w:val="30"/>
        </w:rPr>
        <w:t>一般公用支出（行政）</w:t>
      </w:r>
      <w:r>
        <w:rPr>
          <w:rFonts w:ascii="方正仿宋_GBK" w:eastAsia="方正仿宋_GBK" w:cs="方正仿宋_GBK" w:hint="eastAsia"/>
          <w:sz w:val="30"/>
          <w:szCs w:val="30"/>
          <w:lang w:val="en-US" w:eastAsia="zh-CN"/>
        </w:rPr>
        <w:t>35.09</w:t>
      </w:r>
      <w:r>
        <w:rPr>
          <w:rFonts w:ascii="方正仿宋_GBK" w:eastAsia="方正仿宋_GBK" w:cs="方正仿宋_GBK" w:hint="eastAsia"/>
          <w:sz w:val="30"/>
          <w:szCs w:val="30"/>
        </w:rPr>
        <w:t>万元。</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ind w:left="0" w:firstLineChars="200" w:firstLine="64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（三）国有资产占用情况说明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sz w:val="32"/>
          <w:szCs w:val="32"/>
        </w:rPr>
      </w:pPr>
      <w:r>
        <w:rPr>
          <w:rFonts w:ascii="方正仿宋_GBK" w:eastAsia="方正仿宋_GBK" w:cs="方正仿宋_GBK"/>
          <w:sz w:val="32"/>
          <w:szCs w:val="32"/>
          <w:shd w:val="clear" w:color="auto" w:fill="FFFFFF"/>
        </w:rPr>
        <w:t>截至2024年12月31日，本单位共有车辆</w:t>
      </w:r>
      <w:r>
        <w:rPr>
          <w:rFonts w:ascii="方正仿宋_GBK" w:eastAsia="方正仿宋_GBK" w:cs="方正仿宋_GBK"/>
          <w:sz w:val="32"/>
          <w:szCs w:val="32"/>
        </w:rPr>
        <w:t>3</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3</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21"/>
        <w:keepNext w:val="0"/>
        <w:keepLines w:val="0"/>
        <w:pageBreakBefore w:val="0"/>
        <w:widowControl/>
        <w:kinsoku/>
        <w:wordWrap/>
        <w:overflowPunct/>
        <w:topLinePunct w:val="0"/>
        <w:autoSpaceDE w:val="0"/>
        <w:autoSpaceDN/>
        <w:bidi w:val="0"/>
        <w:adjustRightInd/>
        <w:spacing w:beforeAutospacing="0" w:afterAutospacing="0" w:line="360" w:lineRule="auto"/>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（四）政府采购支出情况说明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Chars="200" w:firstLine="640"/>
        <w:jc w:val="both"/>
        <w:textAlignment w:val="auto"/>
        <w:rPr>
          <w:rFonts w:ascii="方正仿宋_GBK" w:eastAsia="方正仿宋_GBK" w:cs="方正仿宋_GBK"/>
          <w:color w:val="FF0000"/>
          <w:sz w:val="32"/>
          <w:szCs w:val="32"/>
          <w:shd w:val="clear" w:color="auto" w:fill="FFFFFF"/>
          <w:lang w:val="en-US" w:eastAsia="zh-CN"/>
        </w:rPr>
      </w:pPr>
      <w:r>
        <w:rPr>
          <w:rFonts w:ascii="方正仿宋_GBK" w:eastAsia="方正仿宋_GBK" w:cs="方正仿宋_GBK"/>
          <w:sz w:val="32"/>
          <w:szCs w:val="32"/>
          <w:shd w:val="clear" w:color="auto" w:fill="FFFFFF"/>
        </w:rPr>
        <w:t>2024年度本单位政府采购支出总额</w:t>
      </w:r>
      <w:r>
        <w:rPr>
          <w:rFonts w:ascii="方正仿宋_GBK" w:eastAsia="方正仿宋_GBK" w:cs="方正仿宋_GBK"/>
          <w:sz w:val="32"/>
          <w:szCs w:val="32"/>
        </w:rPr>
        <w:t>2.17</w:t>
      </w:r>
      <w:r>
        <w:rPr>
          <w:rFonts w:ascii="方正仿宋_GBK" w:eastAsia="方正仿宋_GBK" w:cs="方正仿宋_GBK"/>
          <w:sz w:val="32"/>
          <w:szCs w:val="32"/>
          <w:shd w:val="clear" w:color="auto" w:fill="FFFFFF"/>
        </w:rPr>
        <w:t>万元，其中：政府采购货物支出</w:t>
      </w:r>
      <w:r>
        <w:rPr>
          <w:rFonts w:ascii="方正仿宋_GBK" w:eastAsia="方正仿宋_GBK" w:cs="方正仿宋_GBK"/>
          <w:sz w:val="32"/>
          <w:szCs w:val="32"/>
        </w:rPr>
        <w:t>2.17</w:t>
      </w:r>
      <w:r>
        <w:rPr>
          <w:rFonts w:ascii="方正仿宋_GBK" w:eastAsia="方正仿宋_GBK" w:cs="方正仿宋_GBK"/>
          <w:sz w:val="32"/>
          <w:szCs w:val="32"/>
          <w:shd w:val="clear" w:color="auto" w:fill="FFFFFF"/>
        </w:rPr>
        <w:t>万元、政府采购工程支出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万元、政府采购服务支出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万元。授予中小企业合同金额</w:t>
      </w:r>
      <w:r>
        <w:rPr>
          <w:rFonts w:ascii="方正仿宋_GBK" w:eastAsia="方正仿宋_GBK" w:cs="方正仿宋_GBK"/>
          <w:sz w:val="32"/>
          <w:szCs w:val="32"/>
        </w:rPr>
        <w:t>2.17万</w:t>
      </w:r>
      <w:r>
        <w:rPr>
          <w:rFonts w:ascii="方正仿宋_GBK" w:eastAsia="方正仿宋_GBK" w:cs="方正仿宋_GBK"/>
          <w:sz w:val="32"/>
          <w:szCs w:val="32"/>
          <w:shd w:val="clear" w:color="auto" w:fill="FFFFFF"/>
        </w:rPr>
        <w:t>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%，其中：授予小微企业合同金额</w:t>
      </w:r>
      <w:r>
        <w:rPr>
          <w:rFonts w:ascii="方正仿宋_GBK" w:eastAsia="方正仿宋_GBK" w:cs="方正仿宋_GBK"/>
          <w:sz w:val="32"/>
          <w:szCs w:val="32"/>
        </w:rPr>
        <w:t>2.17</w:t>
      </w:r>
      <w:r>
        <w:rPr>
          <w:rFonts w:ascii="方正仿宋_GBK" w:eastAsia="方正仿宋_GBK" w:cs="方正仿宋_GBK"/>
          <w:sz w:val="32"/>
          <w:szCs w:val="32"/>
          <w:shd w:val="clear" w:color="auto" w:fill="FFFFFF"/>
        </w:rPr>
        <w:t>万元，占政府采购支出总额的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 xml:space="preserve"> %。主要用于采购</w:t>
      </w:r>
      <w:r>
        <w:rPr>
          <w:rFonts w:ascii="方正仿宋_GBK" w:eastAsia="方正仿宋_GBK" w:cs="方正仿宋_GBK" w:hint="eastAsia"/>
          <w:sz w:val="32"/>
          <w:szCs w:val="32"/>
          <w:shd w:val="clear" w:color="auto" w:fill="FFFFFF"/>
          <w:lang w:val="en-US" w:eastAsia="zh-CN"/>
        </w:rPr>
        <w:t>电脑、电视机、打印机、更衣柜等办公用品及家具。</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Style w:val="20"/>
          <w:rFonts w:ascii="黑体" w:eastAsia="黑体" w:cs="黑体"/>
          <w:sz w:val="32"/>
          <w:szCs w:val="32"/>
          <w:shd w:val="clear" w:color="auto" w:fill="FFFFFF"/>
        </w:rPr>
      </w:pPr>
      <w:r>
        <w:rPr>
          <w:rStyle w:val="20"/>
          <w:rFonts w:ascii="黑体" w:eastAsia="黑体" w:cs="黑体" w:hint="eastAsia"/>
          <w:sz w:val="32"/>
          <w:szCs w:val="32"/>
          <w:shd w:val="clear" w:color="auto" w:fill="FFFFFF"/>
        </w:rPr>
        <w:t>五、2024年度预算绩效管理情况说明</w:t>
      </w:r>
    </w:p>
    <w:p>
      <w:pPr>
        <w:pStyle w:val="22"/>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Chars="100" w:firstLine="32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（一）单位自评情况</w:t>
      </w:r>
    </w:p>
    <w:p>
      <w:pPr>
        <w:pStyle w:val="25"/>
        <w:keepNext w:val="0"/>
        <w:keepLines w:val="0"/>
        <w:pageBreakBefore w:val="0"/>
        <w:widowControl/>
        <w:tabs>
          <w:tab w:val="center" w:pos="4153"/>
          <w:tab w:val="left" w:pos="7275"/>
        </w:tabs>
        <w:kinsoku/>
        <w:wordWrap/>
        <w:overflowPunct/>
        <w:topLinePunct w:val="0"/>
        <w:autoSpaceDN/>
        <w:bidi w:val="0"/>
        <w:adjustRightInd/>
        <w:spacing w:beforeAutospacing="0" w:afterAutospacing="0" w:line="360" w:lineRule="auto"/>
        <w:textAlignment w:val="auto"/>
        <w:rPr>
          <w:rFonts w:ascii="方正仿宋_GBK" w:eastAsia="方正仿宋_GBK" w:cs="方正仿宋_GBK" w:hint="eastAsia"/>
          <w:sz w:val="32"/>
          <w:szCs w:val="32"/>
        </w:rPr>
      </w:pPr>
      <w:r>
        <w:rPr>
          <w:rFonts w:ascii="方正仿宋_GBK" w:eastAsia="方正仿宋_GBK" w:cs="方正仿宋_GBK" w:hint="eastAsia"/>
          <w:sz w:val="32"/>
          <w:szCs w:val="32"/>
        </w:rPr>
        <w:t>根据预算绩效管理要求，我单位对</w:t>
      </w:r>
      <w:r>
        <w:rPr>
          <w:rFonts w:ascii="方正仿宋_GBK" w:eastAsia="方正仿宋_GBK" w:cs="方正仿宋_GBK" w:hint="eastAsia"/>
          <w:sz w:val="32"/>
          <w:szCs w:val="32"/>
          <w:lang w:val="en-US" w:eastAsia="zh-CN"/>
        </w:rPr>
        <w:t>2</w:t>
      </w:r>
      <w:r>
        <w:rPr>
          <w:rFonts w:ascii="方正仿宋_GBK" w:eastAsia="方正仿宋_GBK" w:cs="方正仿宋_GBK" w:hint="eastAsia"/>
          <w:sz w:val="32"/>
          <w:szCs w:val="32"/>
        </w:rPr>
        <w:t>个项目开展了绩效自评，其中，以填报目标自评表形式开展自评</w:t>
      </w:r>
      <w:r>
        <w:rPr>
          <w:rFonts w:ascii="方正仿宋_GBK" w:eastAsia="方正仿宋_GBK" w:cs="方正仿宋_GBK" w:hint="eastAsia"/>
          <w:sz w:val="32"/>
          <w:szCs w:val="32"/>
          <w:lang w:val="en-US" w:eastAsia="zh-CN"/>
        </w:rPr>
        <w:t>2</w:t>
      </w:r>
      <w:r>
        <w:rPr>
          <w:rFonts w:ascii="方正仿宋_GBK" w:eastAsia="方正仿宋_GBK" w:cs="方正仿宋_GBK" w:hint="eastAsia"/>
          <w:sz w:val="32"/>
          <w:szCs w:val="32"/>
        </w:rPr>
        <w:t>项，涉及资金</w:t>
      </w:r>
      <w:r>
        <w:rPr>
          <w:rFonts w:ascii="方正仿宋_GBK" w:eastAsia="方正仿宋_GBK" w:cs="方正仿宋_GBK" w:hint="eastAsia"/>
          <w:sz w:val="32"/>
          <w:szCs w:val="32"/>
          <w:lang w:val="en-US" w:eastAsia="zh-CN"/>
        </w:rPr>
        <w:t>105.30</w:t>
      </w:r>
      <w:r>
        <w:rPr>
          <w:rFonts w:ascii="方正仿宋_GBK" w:eastAsia="方正仿宋_GBK" w:cs="方正仿宋_GBK" w:hint="eastAsia"/>
          <w:sz w:val="32"/>
          <w:szCs w:val="32"/>
        </w:rPr>
        <w:t>万元。</w:t>
      </w:r>
    </w:p>
    <w:p>
      <w:pPr>
        <w:pStyle w:val="22"/>
        <w:keepNext w:val="0"/>
        <w:keepLines w:val="0"/>
        <w:pageBreakBefore w:val="0"/>
        <w:widowControl/>
        <w:kinsoku/>
        <w:wordWrap/>
        <w:overflowPunct/>
        <w:topLinePunct w:val="0"/>
        <w:autoSpaceDE w:val="0"/>
        <w:autoSpaceDN/>
        <w:bidi w:val="0"/>
        <w:adjustRightInd/>
        <w:spacing w:before="0" w:beforeAutospacing="0" w:after="0" w:afterAutospacing="0" w:line="360" w:lineRule="auto"/>
        <w:textAlignment w:val="auto"/>
        <w:rPr>
          <w:rFonts w:ascii="方正仿宋_GBK" w:eastAsia="方正仿宋_GBK" w:cs="方正仿宋_GBK"/>
          <w:sz w:val="32"/>
          <w:szCs w:val="32"/>
        </w:rPr>
      </w:pPr>
      <w:r>
        <w:rPr>
          <w:rStyle w:val="23"/>
          <w:rFonts w:ascii="方正仿宋_GBK" w:eastAsia="方正仿宋_GBK" w:cs="方正仿宋_GBK" w:hint="eastAsia"/>
          <w:sz w:val="32"/>
          <w:szCs w:val="32"/>
          <w:shd w:val="clear" w:color="auto" w:fill="FFFFFF"/>
        </w:rPr>
        <w:t xml:space="preserve">   </w:t>
      </w:r>
      <w:r>
        <w:rPr>
          <w:rStyle w:val="20"/>
          <w:rFonts w:ascii="黑体" w:eastAsia="黑体" w:cs="黑体" w:hint="eastAsia"/>
          <w:sz w:val="32"/>
          <w:szCs w:val="32"/>
          <w:shd w:val="clear" w:color="auto" w:fill="FFFFFF"/>
        </w:rPr>
        <w:t xml:space="preserve"> 六、专业名词解释</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100" w:firstLine="32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（一）财政拨款收入：</w:t>
      </w:r>
      <w:r>
        <w:rPr>
          <w:rFonts w:ascii="方正仿宋_GBK" w:eastAsia="方正仿宋_GBK" w:cs="方正仿宋_GBK" w:hint="eastAsia"/>
          <w:sz w:val="32"/>
          <w:szCs w:val="32"/>
          <w:shd w:val="clear" w:color="auto" w:fill="FFFFFF"/>
        </w:rPr>
        <w:t>指本年度从本级财政部门取得的财政拨款，包括一般公共预算财政拨款和政府性基金预算财政拨款。</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100" w:firstLine="32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（二）事业收入：</w:t>
      </w:r>
      <w:r>
        <w:rPr>
          <w:rFonts w:ascii="方正仿宋_GBK" w:eastAsia="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100" w:firstLine="32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（三）经营收入：</w:t>
      </w:r>
      <w:r>
        <w:rPr>
          <w:rFonts w:ascii="方正仿宋_GBK" w:eastAsia="方正仿宋_GBK" w:cs="方正仿宋_GBK" w:hint="eastAsia"/>
          <w:sz w:val="32"/>
          <w:szCs w:val="32"/>
          <w:shd w:val="clear" w:color="auto" w:fill="FFFFFF"/>
        </w:rPr>
        <w:t>指事业单位在专业业务活动及其辅助活动之外开展非独立核算经营活动取得的现金流入。</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100" w:firstLine="32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（四）其他收入：</w:t>
      </w:r>
      <w:r>
        <w:rPr>
          <w:rFonts w:ascii="方正仿宋_GBK" w:eastAsia="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100" w:firstLine="32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（五）使用非财政拨款结余：</w:t>
      </w:r>
      <w:r>
        <w:rPr>
          <w:rFonts w:ascii="方正仿宋_GBK" w:eastAsia="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（六）年初结转和结余：</w:t>
      </w:r>
      <w:r>
        <w:rPr>
          <w:rFonts w:ascii="方正仿宋_GBK" w:eastAsia="方正仿宋_GBK" w:cs="方正仿宋_GBK" w:hint="eastAsia"/>
          <w:sz w:val="32"/>
          <w:szCs w:val="32"/>
          <w:shd w:val="clear" w:color="auto" w:fill="FFFFFF"/>
        </w:rPr>
        <w:t>指单位上年结转本年使用的基本支出结转、项目支出结转和结余、经营结余。</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（七）结余分配：</w:t>
      </w:r>
      <w:r>
        <w:rPr>
          <w:rFonts w:ascii="方正仿宋_GBK" w:eastAsia="方正仿宋_GBK" w:cs="方正仿宋_GBK" w:hint="eastAsia"/>
          <w:sz w:val="32"/>
          <w:szCs w:val="32"/>
          <w:shd w:val="clear" w:color="auto" w:fill="FFFFFF"/>
        </w:rPr>
        <w:t>指单位按照国家有关规定，缴纳所得税、提取专用基金、转入非财政拨款结余等当年结余的分配情况。</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（八）年末结转和结余：</w:t>
      </w:r>
      <w:r>
        <w:rPr>
          <w:rFonts w:ascii="方正仿宋_GBK" w:eastAsia="方正仿宋_GBK" w:cs="方正仿宋_GBK" w:hint="eastAsia"/>
          <w:sz w:val="32"/>
          <w:szCs w:val="32"/>
          <w:shd w:val="clear" w:color="auto" w:fill="FFFFFF"/>
        </w:rPr>
        <w:t>指单位结转下年的基本支出结转、项目支出结转和结余、经营结余。</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hint="eastAsia"/>
          <w:sz w:val="32"/>
          <w:szCs w:val="32"/>
          <w:shd w:val="clear" w:color="auto" w:fill="FFFFFF"/>
        </w:rPr>
      </w:pPr>
      <w:r>
        <w:rPr>
          <w:rStyle w:val="20"/>
          <w:rFonts w:ascii="楷体" w:eastAsia="楷体" w:cs="楷体" w:hint="eastAsia"/>
          <w:sz w:val="32"/>
          <w:szCs w:val="32"/>
          <w:shd w:val="clear" w:color="auto" w:fill="FFFFFF"/>
        </w:rPr>
        <w:t>（九）基本支出：</w:t>
      </w:r>
      <w:r>
        <w:rPr>
          <w:rFonts w:ascii="方正仿宋_GBK" w:eastAsia="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（十）项目支出：</w:t>
      </w:r>
      <w:r>
        <w:rPr>
          <w:rFonts w:ascii="方正仿宋_GBK" w:eastAsia="方正仿宋_GBK" w:cs="方正仿宋_GBK" w:hint="eastAsia"/>
          <w:sz w:val="32"/>
          <w:szCs w:val="32"/>
          <w:shd w:val="clear" w:color="auto" w:fill="FFFFFF"/>
        </w:rPr>
        <w:t>指在基本支出之外为完成特定行政任务和事业发展目标所发生的支出。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（十一）经营支出：</w:t>
      </w:r>
      <w:r>
        <w:rPr>
          <w:rFonts w:ascii="方正仿宋_GBK" w:eastAsia="方正仿宋_GBK" w:cs="方正仿宋_GBK" w:hint="eastAsia"/>
          <w:sz w:val="32"/>
          <w:szCs w:val="32"/>
          <w:shd w:val="clear" w:color="auto" w:fill="FFFFFF"/>
        </w:rPr>
        <w:t>指事业单位在专业业务活动及其辅助活动之外开展非独立核算经营活动发生的支出。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（十二）“三公”经费：</w:t>
      </w:r>
      <w:r>
        <w:rPr>
          <w:rFonts w:ascii="方正仿宋_GBK" w:eastAsia="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（十三）机关运行经费：</w:t>
      </w:r>
      <w:r>
        <w:rPr>
          <w:rFonts w:ascii="方正仿宋_GBK" w:eastAsia="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（十四）工资福利支出（支出经济分类科目类级）：</w:t>
      </w:r>
      <w:r>
        <w:rPr>
          <w:rFonts w:ascii="方正仿宋_GBK" w:eastAsia="方正仿宋_GBK" w:cs="方正仿宋_GBK" w:hint="eastAsia"/>
          <w:sz w:val="32"/>
          <w:szCs w:val="32"/>
          <w:shd w:val="clear" w:color="auto" w:fill="FFFFFF"/>
        </w:rPr>
        <w:t>反映单位开支的在职职工和编制外长期聘用人员的各类劳动报酬，以及为上述人员缴纳的各项社会保险费等。</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（十五）商品和服务支出（支出经济分类科目类级）：</w:t>
      </w:r>
      <w:r>
        <w:rPr>
          <w:rFonts w:ascii="方正仿宋_GBK" w:eastAsia="方正仿宋_GBK" w:cs="方正仿宋_GBK" w:hint="eastAsia"/>
          <w:sz w:val="32"/>
          <w:szCs w:val="32"/>
          <w:shd w:val="clear" w:color="auto" w:fill="FFFFFF"/>
        </w:rPr>
        <w:t>反映单位购买商品和服务的支出（不包括用于购置固定资产的支出、战略性和应急储备支出）。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（十六）对个人和家庭的补助（支出经济分类科目类级）：</w:t>
      </w:r>
      <w:r>
        <w:rPr>
          <w:rFonts w:ascii="方正仿宋_GBK" w:eastAsia="方正仿宋_GBK" w:cs="方正仿宋_GBK" w:hint="eastAsia"/>
          <w:sz w:val="32"/>
          <w:szCs w:val="32"/>
          <w:shd w:val="clear" w:color="auto" w:fill="FFFFFF"/>
        </w:rPr>
        <w:t>反映用于对个人和家庭的补助支出。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（十七）其他资本性支出（支出经济分类科目类级）：</w:t>
      </w:r>
      <w:r>
        <w:rPr>
          <w:rFonts w:ascii="方正仿宋_GBK" w:eastAsia="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Style w:val="20"/>
          <w:rFonts w:ascii="黑体" w:eastAsia="黑体" w:cs="黑体" w:hint="eastAsia"/>
          <w:sz w:val="32"/>
          <w:szCs w:val="32"/>
          <w:shd w:val="clear" w:color="auto" w:fill="FFFFFF"/>
        </w:rPr>
        <w:t>七、决算公开联系方式及信息反馈渠道</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Fonts w:ascii="方正仿宋_GBK" w:eastAsia="方正仿宋_GBK" w:cs="方正仿宋_GBK"/>
          <w:sz w:val="32"/>
          <w:szCs w:val="32"/>
        </w:rPr>
      </w:pPr>
      <w:r>
        <w:rPr>
          <w:rFonts w:ascii="方正仿宋_GBK" w:eastAsia="方正仿宋_GBK" w:cs="方正仿宋_GBK" w:hint="eastAsia"/>
          <w:sz w:val="32"/>
          <w:szCs w:val="32"/>
          <w:shd w:val="clear" w:color="auto" w:fill="FFFFFF"/>
        </w:rPr>
        <w:t>本单位决算公开信息反馈和联系方式：</w:t>
      </w:r>
    </w:p>
    <w:p>
      <w:pPr>
        <w:pStyle w:val="22"/>
        <w:keepNext w:val="0"/>
        <w:keepLines w:val="0"/>
        <w:pageBreakBefore w:val="0"/>
        <w:widowControl/>
        <w:kinsoku/>
        <w:wordWrap/>
        <w:overflowPunct/>
        <w:topLinePunct w:val="0"/>
        <w:autoSpaceDN/>
        <w:bidi w:val="0"/>
        <w:adjustRightInd/>
        <w:spacing w:before="0" w:beforeAutospacing="0" w:after="0" w:afterAutospacing="0" w:line="360" w:lineRule="auto"/>
        <w:ind w:firstLineChars="200" w:firstLine="640"/>
        <w:textAlignment w:val="auto"/>
        <w:rPr>
          <w:rStyle w:val="20"/>
          <w:rFonts w:ascii="方正仿宋_GBK" w:eastAsia="方正仿宋_GBK" w:cs="方正仿宋_GBK"/>
          <w:color w:val="auto"/>
          <w:sz w:val="32"/>
          <w:szCs w:val="32"/>
          <w:shd w:val="clear" w:color="auto" w:fill="FFFF00"/>
        </w:rPr>
        <w:sectPr>
          <w:footerReference w:type="default" r:id="rId2"/>
          <w:pgSz w:w="11915" w:h="16840"/>
          <w:pgMar w:top="1440" w:right="1800" w:bottom="1440" w:left="1800" w:header="851" w:footer="992" w:gutter="0"/>
          <w:pgNumType w:fmt="numberInDash"/>
          <w:docGrid w:type="lines" w:linePitch="312" w:charSpace="0"/>
        </w:sectPr>
      </w:pPr>
      <w:r>
        <w:rPr>
          <w:rFonts w:ascii="方正仿宋_GBK" w:eastAsia="方正仿宋_GBK" w:cs="方正仿宋_GBK" w:hint="eastAsia"/>
          <w:color w:val="auto"/>
          <w:sz w:val="32"/>
          <w:szCs w:val="32"/>
          <w:shd w:val="clear" w:color="auto" w:fill="FFFFFF"/>
          <w:lang w:val="en-US" w:eastAsia="zh-CN"/>
        </w:rPr>
        <w:t>张双燕</w:t>
      </w:r>
      <w:r>
        <w:rPr>
          <w:rFonts w:ascii="方正仿宋_GBK" w:eastAsia="方正仿宋_GBK" w:cs="方正仿宋_GBK" w:hint="eastAsia"/>
          <w:color w:val="auto"/>
          <w:sz w:val="32"/>
          <w:szCs w:val="32"/>
          <w:shd w:val="clear" w:color="auto" w:fill="FFFFFF"/>
        </w:rPr>
        <w:t xml:space="preserve">  023-</w:t>
      </w:r>
      <w:r>
        <w:rPr>
          <w:rFonts w:ascii="方正仿宋_GBK" w:eastAsia="方正仿宋_GBK" w:cs="方正仿宋_GBK" w:hint="eastAsia"/>
          <w:color w:val="auto"/>
          <w:sz w:val="32"/>
          <w:szCs w:val="32"/>
          <w:shd w:val="clear" w:color="auto" w:fill="FFFFFF"/>
          <w:lang w:val="en-US" w:eastAsia="zh-CN"/>
        </w:rPr>
        <w:t>633106662</w:t>
      </w:r>
    </w:p>
    <w:p>
      <w:pPr>
        <w:rPr>
          <w:sz w:val="18"/>
          <w:szCs w:val="18"/>
        </w:rPr>
      </w:pPr>
    </w:p>
    <w:sectPr>
      <w:headerReference w:type="default" r:id="rId3"/>
      <w:footerReference w:type="default" r:id="rId4"/>
      <w:pgSz w:w="16783" w:h="11850" w:orient="landscape"/>
      <w:pgMar w:top="567" w:right="454" w:bottom="567" w:left="1037" w:header="0" w:footer="283"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altName w:val="永中宋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1" name="文本框"/>
              <wp:cNvGraphicFramePr>
                <a:graphicFrameLocks noChangeAspect="0"/>
              </wp:cNvGraphicFramePr>
              <a:graphic>
                <a:graphicData uri="http://schemas.microsoft.com/office/word/2010/wordprocessingShape">
                  <wps:wsp>
                    <wps:cNvSpPr/>
                    <wps:spPr>
                      <a:xfrm rot="0">
                        <a:off x="0" y="0"/>
                        <a:ext cx="285750" cy="148018"/>
                      </a:xfrm>
                      <a:prstGeom prst="rect"/>
                      <a:noFill/>
                      <a:ln w="9525" cmpd="sng" cap="flat">
                        <a:noFill/>
                        <a:prstDash val="solid"/>
                        <a:miter/>
                      </a:ln>
                    </wps:spPr>
                    <wps:txbx id="2">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margin-left:0.0pt;margin-top:0.0pt;width:22.5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4" behindDoc="0" locked="0" layoutInCell="1" hidden="0" allowOverlap="0">
              <wp:simplePos x="0" y="0"/>
              <wp:positionH relativeFrom="margin">
                <wp:align>center</wp:align>
              </wp:positionH>
              <wp:positionV relativeFrom="paragraph">
                <wp:posOffset>0</wp:posOffset>
              </wp:positionV>
              <wp:extent cx="400050" cy="148018"/>
              <wp:effectExtent l="0" t="0" r="0" b="0"/>
              <wp:wrapNone/>
              <wp:docPr id="4" name="文本框"/>
              <wp:cNvGraphicFramePr>
                <a:graphicFrameLocks noChangeAspect="0"/>
              </wp:cNvGraphicFramePr>
              <a:graphic>
                <a:graphicData uri="http://schemas.microsoft.com/office/word/2010/wordprocessingShape">
                  <wps:wsp>
                    <wps:cNvSpPr/>
                    <wps:spPr>
                      <a:xfrm rot="0">
                        <a:off x="0" y="0"/>
                        <a:ext cx="400050" cy="148018"/>
                      </a:xfrm>
                      <a:prstGeom prst="rect"/>
                      <a:noFill/>
                      <a:ln w="9525" cmpd="sng" cap="flat">
                        <a:noFill/>
                        <a:prstDash val="solid"/>
                        <a:miter/>
                      </a:ln>
                    </wps:spPr>
                    <wps:txbx id="5">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wps:txbx>
                    <wps:bodyPr vert="horz" wrap="none" lIns="0" tIns="0" rIns="0" bIns="0" anchor="t" anchorCtr="0" upright="1">
                      <a:spAutoFit/>
                    </wps:bodyPr>
                  </wps:wsp>
                </a:graphicData>
              </a:graphic>
            </wp:anchor>
          </w:drawing>
        </mc:Choice>
        <mc:Fallback>
          <w:pict>
            <v:shape type="#_x0000_t202" id="文本框 6" o:spid="_x0000_s6" filled="f" stroked="f" o:allowoverlap="f" style="position:absolute;margin-left:0.0pt;margin-top:0.0pt;width:31.500023pt;height:11.654989pt;z-index:14;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v:textbox>
            </v:shape>
          </w:pict>
        </mc:Fallback>
      </mc:AlternateContent>
    </w:r>
    <w:r>
      <mc:AlternateContent>
        <mc:Choice Requires="wps">
          <w:drawing>
            <wp:anchor distT="0" distB="0" distL="114298" distR="114298" simplePos="0" relativeHeight="13"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7" name="文本框"/>
              <wp:cNvGraphicFramePr>
                <a:graphicFrameLocks noChangeAspect="0"/>
              </wp:cNvGraphicFramePr>
              <a:graphic>
                <a:graphicData uri="http://schemas.microsoft.com/office/word/2010/wordprocessingShape">
                  <wps:wsp>
                    <wps:cNvSpPr/>
                    <wps:spPr>
                      <a:xfrm rot="0">
                        <a:off x="0" y="0"/>
                        <a:ext cx="581024" cy="220979"/>
                      </a:xfrm>
                      <a:prstGeom prst="rect"/>
                      <a:noFill/>
                      <a:ln w="9525" cmpd="sng" cap="flat">
                        <a:noFill/>
                        <a:prstDash val="solid"/>
                        <a:miter/>
                      </a:ln>
                    </wps:spPr>
                    <wps:txbx id="8">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1">
                      <a:noAutofit/>
                    </wps:bodyPr>
                  </wps:wsp>
                </a:graphicData>
              </a:graphic>
            </wp:anchor>
          </w:drawing>
        </mc:Choice>
        <mc:Fallback>
          <w:pict>
            <v:shape type="#_x0000_t202" id="文本框 9" o:spid="_x0000_s9" filled="f" stroked="f" o:allowoverlap="f" style="position:absolute;margin-left:0.0pt;margin-top:1160.4pt;width:45.74999pt;height:17.399973pt;z-index:13;mso-position-horizontal:center;mso-position-horizontal-relative:margin;mso-position-vertical:absolute;mso-position-vertical-relative:page;mso-wrap-distance-left:8.999863pt;mso-wrap-distance-right:8.999863pt;mso-wrap-style:none;">
              <v:stroke color="#000000"/>
              <v:textbox id="850"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686550B"/>
    <w:multiLevelType w:val="singleLevel"/>
    <w:tmpl w:val="3686550B"/>
    <w:lvl w:ilvl="0">
      <w:start w:val="1"/>
      <w:numFmt w:val="chineseCounting"/>
      <w:lvlRestart w:val="0"/>
      <w:suff w:val="nothing"/>
      <w:lvlText w:val="%1、"/>
      <w:lvlJc w:val="left"/>
      <w:pPr>
        <w:tabs>
          <w:tab w:val="num" w:pos="0"/>
        </w:tabs>
        <w:ind w:left="0" w:hanging="0"/>
      </w:pPr>
      <w:rPr>
        <w:rFonts w:hint="eastAsia"/>
      </w:rPr>
    </w:lvl>
  </w:abstractNum>
  <w:abstractNum w:abstractNumId="1">
    <w:nsid w:val="ABEFA876"/>
    <w:multiLevelType w:val="singleLevel"/>
    <w:tmpl w:val="ABEFA876"/>
    <w:lvl w:ilvl="0">
      <w:start w:val="1"/>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compatSetting w:name="compatibilityMode" w:uri="http://schemas.microsoft.com/office/word" w:val="14"/>
  </w:compat>
  <w:docVars>
    <w:docVar w:name="commondata" w:val="eyJoZGlkIjoiOGQwYWQ1YTE0ZDA0NjgxYzlhMjZlMDExNTFmMWI3M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basedOn w:val="10"/>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列出段落3"/>
    <w:basedOn w:val="0"/>
    <w:pPr>
      <w:ind w:firstLineChars="200" w:firstLine="200"/>
    </w:pPr>
  </w:style>
  <w:style w:type="paragraph" w:customStyle="1" w:styleId="26">
    <w:name w:val="msonormal"/>
    <w:basedOn w:val="0"/>
    <w:autoRedefine/>
    <w:pPr>
      <w:spacing w:beforeAutospacing="1" w:afterAutospacing="1"/>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41</TotalTime>
  <Application>Yozo_Office</Application>
  <Pages>13</Pages>
  <Words>5281</Words>
  <Characters>6074</Characters>
  <Lines>252</Lines>
  <Paragraphs>75</Paragraphs>
  <CharactersWithSpaces>6083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21</cp:revision>
  <dcterms:created xsi:type="dcterms:W3CDTF">2024-07-11T02:00:00Z</dcterms:created>
  <dcterms:modified xsi:type="dcterms:W3CDTF">2025-10-17T06:39:19Z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