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EADB">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重庆牙科医院</w:t>
      </w:r>
    </w:p>
    <w:p w14:paraId="019E5AF8">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34CFAAB">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一、单位基本情况</w:t>
      </w:r>
    </w:p>
    <w:p w14:paraId="23A9617D">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（一）职能职责</w:t>
      </w:r>
    </w:p>
    <w:p w14:paraId="1C79193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sz w:val="32"/>
          <w:szCs w:val="32"/>
          <w:shd w:val="clear" w:fill="FFFFFF"/>
          <w:lang w:eastAsia="zh-CN"/>
        </w:rPr>
      </w:pPr>
      <w:r>
        <w:rPr>
          <w:rFonts w:hint="default" w:ascii="Times New Roman" w:hAnsi="Times New Roman" w:eastAsia="方正仿宋_GBK" w:cs="Times New Roman"/>
          <w:b w:val="0"/>
          <w:bCs/>
          <w:sz w:val="32"/>
          <w:szCs w:val="32"/>
          <w:shd w:val="clear" w:fill="FFFFFF"/>
          <w:lang w:eastAsia="zh-CN"/>
        </w:rPr>
        <w:t>重庆牙科医院是公益二类差额拨款单位</w:t>
      </w:r>
      <w:r>
        <w:rPr>
          <w:rFonts w:hint="default" w:ascii="Times New Roman" w:hAnsi="Times New Roman" w:eastAsia="方正仿宋_GBK" w:cs="Times New Roman"/>
          <w:b w:val="0"/>
          <w:bCs/>
          <w:sz w:val="32"/>
          <w:szCs w:val="32"/>
          <w:shd w:val="clear" w:fill="FFFFFF"/>
          <w:lang w:val="en-US"/>
        </w:rPr>
        <w:t>,</w:t>
      </w:r>
      <w:r>
        <w:rPr>
          <w:rFonts w:hint="default" w:ascii="Times New Roman" w:hAnsi="Times New Roman" w:eastAsia="方正仿宋_GBK" w:cs="Times New Roman"/>
          <w:b w:val="0"/>
          <w:bCs/>
          <w:sz w:val="32"/>
          <w:szCs w:val="32"/>
          <w:shd w:val="clear" w:fill="FFFFFF"/>
          <w:lang w:eastAsia="zh-CN"/>
        </w:rPr>
        <w:t>主要承担居民牙病预防和牙病治疗工作；区内适龄儿童龋病综合干预项目、辖区中小学生龋病筛查工作；重点人群口腔健康监测</w:t>
      </w:r>
      <w:r>
        <w:rPr>
          <w:rFonts w:hint="default" w:ascii="Times New Roman" w:hAnsi="Times New Roman" w:eastAsia="方正仿宋_GBK" w:cs="Times New Roman"/>
          <w:b w:val="0"/>
          <w:bCs/>
          <w:sz w:val="32"/>
          <w:szCs w:val="32"/>
          <w:shd w:val="clear" w:fill="FFFFFF"/>
          <w:lang w:val="en-US"/>
        </w:rPr>
        <w:t>;</w:t>
      </w:r>
      <w:r>
        <w:rPr>
          <w:rFonts w:hint="default" w:ascii="Times New Roman" w:hAnsi="Times New Roman" w:eastAsia="方正仿宋_GBK" w:cs="Times New Roman"/>
          <w:b w:val="0"/>
          <w:bCs/>
          <w:sz w:val="32"/>
          <w:szCs w:val="32"/>
          <w:shd w:val="clear" w:fill="FFFFFF"/>
          <w:lang w:eastAsia="zh-CN"/>
        </w:rPr>
        <w:t>进行口腔健康教育与促进；三峡医药高等专科学校、重庆医药高等专科学校等实习教学；落实爱国卫生运动相关工作；完成区卫健委交办的各项任务。</w:t>
      </w:r>
    </w:p>
    <w:p w14:paraId="529C94C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楷体" w:cs="Times New Roman"/>
          <w:b w:val="0"/>
          <w:bCs/>
          <w:sz w:val="32"/>
          <w:szCs w:val="32"/>
        </w:rPr>
      </w:pPr>
      <w:r>
        <w:rPr>
          <w:rStyle w:val="10"/>
          <w:rFonts w:hint="default" w:ascii="Times New Roman" w:hAnsi="Times New Roman" w:eastAsia="楷体" w:cs="Times New Roman"/>
          <w:b w:val="0"/>
          <w:bCs/>
          <w:sz w:val="32"/>
          <w:szCs w:val="32"/>
          <w:shd w:val="clear" w:color="auto" w:fill="FFFFFF"/>
        </w:rPr>
        <w:t>（二）机构设置</w:t>
      </w:r>
    </w:p>
    <w:p w14:paraId="311683FB">
      <w:pPr>
        <w:pStyle w:val="6"/>
        <w:keepNext w:val="0"/>
        <w:keepLines w:val="0"/>
        <w:pageBreakBefore w:val="0"/>
        <w:widowControl/>
        <w:shd w:val="clear" w:fill="FFFFFF"/>
        <w:kinsoku/>
        <w:overflowPunct/>
        <w:topLinePunct w:val="0"/>
        <w:autoSpaceDN/>
        <w:bidi w:val="0"/>
        <w:adjustRightInd/>
        <w:spacing w:beforeAutospacing="0" w:afterAutospacing="0" w:line="594" w:lineRule="exact"/>
        <w:ind w:left="0" w:firstLine="640" w:firstLineChars="200"/>
        <w:rPr>
          <w:rFonts w:hint="default" w:ascii="Times New Roman" w:hAnsi="Times New Roman" w:eastAsia="方正仿宋_GBK" w:cs="Times New Roman"/>
          <w:b w:val="0"/>
          <w:bCs/>
          <w:color w:val="000000"/>
          <w:sz w:val="32"/>
          <w:szCs w:val="32"/>
          <w:shd w:val="clear" w:fill="FFFFFF"/>
          <w:lang w:eastAsia="zh-CN"/>
        </w:rPr>
      </w:pPr>
      <w:r>
        <w:rPr>
          <w:rFonts w:hint="default" w:ascii="Times New Roman" w:hAnsi="Times New Roman" w:eastAsia="方正仿宋_GBK" w:cs="Times New Roman"/>
          <w:b w:val="0"/>
          <w:bCs/>
          <w:color w:val="000000"/>
          <w:sz w:val="32"/>
          <w:szCs w:val="32"/>
          <w:shd w:val="clear" w:fill="FFFFFF"/>
          <w:lang w:eastAsia="zh-CN"/>
        </w:rPr>
        <w:t>临床医技辅助科室</w:t>
      </w:r>
      <w:r>
        <w:rPr>
          <w:rFonts w:hint="default" w:ascii="Times New Roman" w:hAnsi="Times New Roman" w:eastAsia="方正仿宋_GBK" w:cs="Times New Roman"/>
          <w:b w:val="0"/>
          <w:bCs/>
          <w:color w:val="000000"/>
          <w:sz w:val="32"/>
          <w:szCs w:val="32"/>
          <w:shd w:val="clear" w:fill="FFFFFF"/>
          <w:lang w:val="en-US"/>
        </w:rPr>
        <w:t>1</w:t>
      </w:r>
      <w:r>
        <w:rPr>
          <w:rFonts w:hint="default" w:ascii="Times New Roman" w:hAnsi="Times New Roman" w:eastAsia="方正仿宋_GBK" w:cs="Times New Roman"/>
          <w:b w:val="0"/>
          <w:bCs/>
          <w:color w:val="000000"/>
          <w:sz w:val="32"/>
          <w:szCs w:val="32"/>
          <w:shd w:val="clear" w:fill="FFFFFF"/>
          <w:lang w:val="en-US" w:eastAsia="zh-CN"/>
        </w:rPr>
        <w:t>7</w:t>
      </w:r>
      <w:r>
        <w:rPr>
          <w:rFonts w:hint="default" w:ascii="Times New Roman" w:hAnsi="Times New Roman" w:eastAsia="方正仿宋_GBK" w:cs="Times New Roman"/>
          <w:b w:val="0"/>
          <w:bCs/>
          <w:color w:val="000000"/>
          <w:sz w:val="32"/>
          <w:szCs w:val="32"/>
          <w:shd w:val="clear" w:fill="FFFFFF"/>
          <w:lang w:eastAsia="zh-CN"/>
        </w:rPr>
        <w:t>个：内科、外科、修复科、正畸科、综合科、专家诊室、</w:t>
      </w:r>
      <w:r>
        <w:rPr>
          <w:rFonts w:hint="default" w:ascii="Times New Roman" w:hAnsi="Times New Roman" w:eastAsia="方正仿宋_GBK" w:cs="Times New Roman"/>
          <w:b w:val="0"/>
          <w:bCs/>
          <w:color w:val="000000"/>
          <w:sz w:val="32"/>
          <w:szCs w:val="32"/>
          <w:shd w:val="clear" w:fill="FFFFFF"/>
          <w:lang w:val="en-US"/>
        </w:rPr>
        <w:t>VIP</w:t>
      </w:r>
      <w:r>
        <w:rPr>
          <w:rFonts w:hint="default" w:ascii="Times New Roman" w:hAnsi="Times New Roman" w:eastAsia="方正仿宋_GBK" w:cs="Times New Roman"/>
          <w:b w:val="0"/>
          <w:bCs/>
          <w:color w:val="000000"/>
          <w:sz w:val="32"/>
          <w:szCs w:val="32"/>
          <w:shd w:val="clear" w:fill="FFFFFF"/>
          <w:lang w:eastAsia="zh-CN"/>
        </w:rPr>
        <w:t>诊室、院长诊室、解放碑门诊部、种植室、急诊科、便民门诊、预防保健科、放射科、检验科、消毒供应室、收费室。</w:t>
      </w:r>
    </w:p>
    <w:p w14:paraId="48E54EFC">
      <w:pPr>
        <w:pStyle w:val="6"/>
        <w:keepNext w:val="0"/>
        <w:keepLines w:val="0"/>
        <w:pageBreakBefore w:val="0"/>
        <w:widowControl/>
        <w:shd w:val="clear" w:fill="FFFFFF"/>
        <w:kinsoku/>
        <w:overflowPunct/>
        <w:topLinePunct w:val="0"/>
        <w:autoSpaceDN/>
        <w:bidi w:val="0"/>
        <w:adjustRightInd/>
        <w:spacing w:beforeAutospacing="0" w:afterAutospacing="0" w:line="594" w:lineRule="exact"/>
        <w:ind w:left="0" w:firstLine="640" w:firstLineChars="200"/>
        <w:rPr>
          <w:rFonts w:hint="default" w:ascii="Times New Roman" w:hAnsi="Times New Roman" w:eastAsia="方正仿宋_GBK" w:cs="Times New Roman"/>
          <w:b w:val="0"/>
          <w:bCs/>
          <w:color w:val="000000"/>
          <w:sz w:val="32"/>
          <w:szCs w:val="32"/>
          <w:shd w:val="clear" w:fill="FFFFFF"/>
          <w:lang w:eastAsia="zh-CN"/>
        </w:rPr>
      </w:pPr>
      <w:r>
        <w:rPr>
          <w:rFonts w:hint="default" w:ascii="Times New Roman" w:hAnsi="Times New Roman" w:eastAsia="方正仿宋_GBK" w:cs="Times New Roman"/>
          <w:b w:val="0"/>
          <w:bCs/>
          <w:color w:val="000000"/>
          <w:sz w:val="32"/>
          <w:szCs w:val="32"/>
          <w:shd w:val="clear" w:fill="FFFFFF"/>
          <w:lang w:eastAsia="zh-CN"/>
        </w:rPr>
        <w:t>行政后勤科室</w:t>
      </w:r>
      <w:r>
        <w:rPr>
          <w:rFonts w:hint="default" w:ascii="Times New Roman" w:hAnsi="Times New Roman" w:eastAsia="方正仿宋_GBK" w:cs="Times New Roman"/>
          <w:b w:val="0"/>
          <w:bCs/>
          <w:color w:val="000000"/>
          <w:sz w:val="32"/>
          <w:szCs w:val="32"/>
          <w:shd w:val="clear" w:fill="FFFFFF"/>
          <w:lang w:val="en-US"/>
        </w:rPr>
        <w:t>9</w:t>
      </w:r>
      <w:r>
        <w:rPr>
          <w:rFonts w:hint="default" w:ascii="Times New Roman" w:hAnsi="Times New Roman" w:eastAsia="方正仿宋_GBK" w:cs="Times New Roman"/>
          <w:b w:val="0"/>
          <w:bCs/>
          <w:color w:val="000000"/>
          <w:sz w:val="32"/>
          <w:szCs w:val="32"/>
          <w:shd w:val="clear" w:fill="FFFFFF"/>
          <w:lang w:eastAsia="zh-CN"/>
        </w:rPr>
        <w:t>个：院长办公室、党政办、医务科、财务科、总务科、院感科、护理部、人事科、信息科。</w:t>
      </w:r>
    </w:p>
    <w:p w14:paraId="33435D5D">
      <w:pPr>
        <w:pStyle w:val="6"/>
        <w:keepNext w:val="0"/>
        <w:keepLines w:val="0"/>
        <w:pageBreakBefore w:val="0"/>
        <w:widowControl/>
        <w:shd w:val="clear" w:fill="FFFFFF"/>
        <w:kinsoku/>
        <w:overflowPunct/>
        <w:topLinePunct w:val="0"/>
        <w:autoSpaceDN/>
        <w:bidi w:val="0"/>
        <w:adjustRightInd/>
        <w:spacing w:beforeAutospacing="0" w:afterAutospacing="0" w:line="594" w:lineRule="exact"/>
        <w:ind w:left="0"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黑体" w:cs="Times New Roman"/>
          <w:b w:val="0"/>
          <w:bCs/>
          <w:sz w:val="32"/>
          <w:szCs w:val="32"/>
          <w:shd w:val="clear" w:color="auto" w:fill="FFFFFF"/>
        </w:rPr>
        <w:t>二、单位决算收支情况说明</w:t>
      </w:r>
    </w:p>
    <w:p w14:paraId="1BC3F40B">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6AD035B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bCs w:val="0"/>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rPr>
        <w:t>2024年度收入总计2962.45万元，支出总计</w:t>
      </w:r>
      <w:r>
        <w:rPr>
          <w:rFonts w:hint="default" w:ascii="Times New Roman" w:hAnsi="Times New Roman" w:eastAsia="方正仿宋_GBK" w:cs="Times New Roman"/>
          <w:b w:val="0"/>
          <w:bCs/>
          <w:sz w:val="32"/>
          <w:szCs w:val="32"/>
        </w:rPr>
        <w:t>2962.45</w:t>
      </w:r>
      <w:r>
        <w:rPr>
          <w:rFonts w:hint="default" w:ascii="Times New Roman" w:hAnsi="Times New Roman" w:eastAsia="方正仿宋_GBK" w:cs="Times New Roman"/>
          <w:b w:val="0"/>
          <w:bCs/>
          <w:sz w:val="32"/>
          <w:szCs w:val="32"/>
          <w:shd w:val="clear" w:color="auto" w:fill="FFFFFF"/>
        </w:rPr>
        <w:t>万元。收、支与2023年度相比，减少1977.26万元，下降40.0%，主要原因是2023年收到重庆牙科医院建设发展资金财政拨款2000万元，2024年无此项拨款。</w:t>
      </w:r>
    </w:p>
    <w:p w14:paraId="374F78D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rPr>
        <w:t>2024年度收入合计2813.65万元，与2023年度相比，减少2056.61万元，下降42.2%，主要原因是2023年收到重庆牙科医院建设发展资金财政拨款2000万元，2024年无此项拨款。其中：财政拨款收入</w:t>
      </w:r>
      <w:r>
        <w:rPr>
          <w:rFonts w:hint="default" w:ascii="Times New Roman" w:hAnsi="Times New Roman" w:eastAsia="方正仿宋_GBK" w:cs="Times New Roman"/>
          <w:b w:val="0"/>
          <w:bCs/>
          <w:sz w:val="32"/>
          <w:szCs w:val="32"/>
        </w:rPr>
        <w:t>439.10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15.61</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1893.87</w:t>
      </w:r>
      <w:r>
        <w:rPr>
          <w:rFonts w:hint="default" w:ascii="Times New Roman" w:hAnsi="Times New Roman" w:eastAsia="方正仿宋_GBK" w:cs="Times New Roman"/>
          <w:b w:val="0"/>
          <w:bCs/>
          <w:sz w:val="32"/>
          <w:szCs w:val="32"/>
          <w:shd w:val="clear" w:color="auto" w:fill="FFFFFF"/>
        </w:rPr>
        <w:t>万元，占67.31%；经营收入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480.68</w:t>
      </w:r>
      <w:r>
        <w:rPr>
          <w:rFonts w:hint="default" w:ascii="Times New Roman" w:hAnsi="Times New Roman" w:eastAsia="方正仿宋_GBK" w:cs="Times New Roman"/>
          <w:b w:val="0"/>
          <w:bCs/>
          <w:sz w:val="32"/>
          <w:szCs w:val="32"/>
          <w:shd w:val="clear" w:color="auto" w:fill="FFFFFF"/>
        </w:rPr>
        <w:t>万元，占17.08%。此外，使用非财政拨款结余和专用结余</w:t>
      </w:r>
      <w:r>
        <w:rPr>
          <w:rFonts w:hint="default" w:ascii="Times New Roman" w:hAnsi="Times New Roman" w:eastAsia="方正仿宋_GBK" w:cs="Times New Roman"/>
          <w:b w:val="0"/>
          <w:bCs/>
          <w:sz w:val="32"/>
          <w:szCs w:val="32"/>
        </w:rPr>
        <w:t>146.14</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2.65</w:t>
      </w:r>
      <w:r>
        <w:rPr>
          <w:rFonts w:hint="default" w:ascii="Times New Roman" w:hAnsi="Times New Roman" w:eastAsia="方正仿宋_GBK" w:cs="Times New Roman"/>
          <w:b w:val="0"/>
          <w:bCs/>
          <w:sz w:val="32"/>
          <w:szCs w:val="32"/>
          <w:shd w:val="clear" w:color="auto" w:fill="FFFFFF"/>
        </w:rPr>
        <w:t>万元。</w:t>
      </w:r>
    </w:p>
    <w:p w14:paraId="46203CA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rPr>
        <w:t>2024年度支出合计</w:t>
      </w:r>
      <w:r>
        <w:rPr>
          <w:rFonts w:hint="default" w:ascii="Times New Roman" w:hAnsi="Times New Roman" w:eastAsia="方正仿宋_GBK" w:cs="Times New Roman"/>
          <w:b w:val="0"/>
          <w:bCs/>
          <w:sz w:val="32"/>
          <w:szCs w:val="32"/>
        </w:rPr>
        <w:t>2959.79</w:t>
      </w:r>
      <w:r>
        <w:rPr>
          <w:rFonts w:hint="default" w:ascii="Times New Roman" w:hAnsi="Times New Roman" w:eastAsia="方正仿宋_GBK" w:cs="Times New Roman"/>
          <w:b w:val="0"/>
          <w:bCs/>
          <w:sz w:val="32"/>
          <w:szCs w:val="32"/>
          <w:shd w:val="clear" w:color="auto" w:fill="FFFFFF"/>
        </w:rPr>
        <w:t>万元，与2023年度相比，减少1977.26万元，下降40.1%，主要原因是</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2023年收到建设发展资金财政拨款-邹容支路2号房屋征收款2000万元，用于归还购买星河城房屋借款1500万元及设备购置500万元</w:t>
      </w:r>
      <w:r>
        <w:rPr>
          <w:rFonts w:hint="eastAsia"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，2024年无此项支出。</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2342.38</w:t>
      </w:r>
      <w:r>
        <w:rPr>
          <w:rFonts w:hint="default" w:ascii="Times New Roman" w:hAnsi="Times New Roman" w:eastAsia="方正仿宋_GBK" w:cs="Times New Roman"/>
          <w:b w:val="0"/>
          <w:bCs/>
          <w:sz w:val="32"/>
          <w:szCs w:val="32"/>
          <w:shd w:val="clear" w:color="auto" w:fill="FFFFFF"/>
        </w:rPr>
        <w:t>万元，占79.14%；项目支出</w:t>
      </w:r>
      <w:r>
        <w:rPr>
          <w:rFonts w:hint="default" w:ascii="Times New Roman" w:hAnsi="Times New Roman" w:eastAsia="方正仿宋_GBK" w:cs="Times New Roman"/>
          <w:b w:val="0"/>
          <w:bCs/>
          <w:sz w:val="32"/>
          <w:szCs w:val="32"/>
        </w:rPr>
        <w:t>617.41</w:t>
      </w:r>
      <w:r>
        <w:rPr>
          <w:rFonts w:hint="default" w:ascii="Times New Roman" w:hAnsi="Times New Roman" w:eastAsia="方正仿宋_GBK" w:cs="Times New Roman"/>
          <w:b w:val="0"/>
          <w:bCs/>
          <w:sz w:val="32"/>
          <w:szCs w:val="32"/>
          <w:shd w:val="clear" w:color="auto" w:fill="FFFFFF"/>
        </w:rPr>
        <w:t>万元，占20.86%；经营支出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4DEE258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bCs w:val="0"/>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rPr>
        <w:t>2024年度年末结转和结余</w:t>
      </w:r>
      <w:r>
        <w:rPr>
          <w:rFonts w:hint="default" w:ascii="Times New Roman" w:hAnsi="Times New Roman" w:eastAsia="方正仿宋_GBK" w:cs="Times New Roman"/>
          <w:b w:val="0"/>
          <w:bCs/>
          <w:sz w:val="32"/>
          <w:szCs w:val="32"/>
        </w:rPr>
        <w:t>2.65</w:t>
      </w:r>
      <w:r>
        <w:rPr>
          <w:rFonts w:hint="default" w:ascii="Times New Roman" w:hAnsi="Times New Roman" w:eastAsia="方正仿宋_GBK" w:cs="Times New Roman"/>
          <w:b w:val="0"/>
          <w:bCs/>
          <w:sz w:val="32"/>
          <w:szCs w:val="32"/>
          <w:shd w:val="clear" w:color="auto" w:fill="FFFFFF"/>
        </w:rPr>
        <w:t>万元，与2023年度相比，无增减</w:t>
      </w:r>
      <w:r>
        <w:rPr>
          <w:rFonts w:hint="eastAsia" w:ascii="Times New Roman" w:hAnsi="Times New Roman" w:eastAsia="方正仿宋_GBK" w:cs="Times New Roman"/>
          <w:b w:val="0"/>
          <w:bCs/>
          <w:sz w:val="32"/>
          <w:szCs w:val="32"/>
          <w:shd w:val="clear" w:color="auto" w:fill="FFFFFF"/>
          <w:lang w:val="en-US" w:eastAsia="zh-CN"/>
        </w:rPr>
        <w:t>。</w:t>
      </w:r>
    </w:p>
    <w:p w14:paraId="7CFDB153">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6179C3E1">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2024年度财政拨款收、支总计439.10万元。与2023年相比，财政拨款收、支总计各减少1973.03万元，下降81.8%。主要原因是2023年收到重庆牙科医院建设发展资金财政拨款2000万元，2024年无此项拨款。</w:t>
      </w:r>
    </w:p>
    <w:p w14:paraId="34F974D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118FB523">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bCs w:val="0"/>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rPr>
        <w:t>2024年度一般公共预算财政拨款收入</w:t>
      </w:r>
      <w:r>
        <w:rPr>
          <w:rFonts w:hint="default" w:ascii="Times New Roman" w:hAnsi="Times New Roman" w:eastAsia="方正仿宋_GBK" w:cs="Times New Roman"/>
          <w:b w:val="0"/>
          <w:bCs/>
          <w:sz w:val="32"/>
          <w:szCs w:val="32"/>
        </w:rPr>
        <w:t>439.10</w:t>
      </w:r>
      <w:r>
        <w:rPr>
          <w:rFonts w:hint="default" w:ascii="Times New Roman" w:hAnsi="Times New Roman" w:eastAsia="方正仿宋_GBK" w:cs="Times New Roman"/>
          <w:b w:val="0"/>
          <w:bCs/>
          <w:sz w:val="32"/>
          <w:szCs w:val="32"/>
          <w:shd w:val="clear" w:color="auto" w:fill="FFFFFF"/>
        </w:rPr>
        <w:t>万元，与2023年度相比，减少1973.03万元，下降81.8%。主要原因是2023年收到重庆牙科医院建设发展资金财政拨款2000万元，2024年无此项拨款。较年初预算数增加72.63万元，增长19.8%。主要原因是</w:t>
      </w:r>
      <w:r>
        <w:rPr>
          <w:rFonts w:hint="eastAsia" w:ascii="Times New Roman" w:hAnsi="Times New Roman" w:eastAsia="方正仿宋_GBK" w:cs="Times New Roman"/>
          <w:b w:val="0"/>
          <w:bCs/>
          <w:sz w:val="32"/>
          <w:szCs w:val="32"/>
          <w:shd w:val="clear" w:color="auto" w:fill="FFFFFF"/>
          <w:lang w:val="en-US" w:eastAsia="zh-CN"/>
        </w:rPr>
        <w:t>追加退休职工健康疗养费、独生子女退休补贴、增人增资、购房补贴、党建经费、公立医院综合改革补助。</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0FAF2F7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imes New Roman"/>
          <w:b w:val="0"/>
          <w:bCs/>
          <w:sz w:val="32"/>
          <w:szCs w:val="32"/>
          <w:shd w:val="clear" w:color="auto" w:fill="FFFFFF"/>
          <w:lang w:val="en-US" w:eastAsia="zh-CN"/>
        </w:rPr>
      </w:pPr>
      <w:r>
        <w:rPr>
          <w:rStyle w:val="10"/>
          <w:rFonts w:hint="default" w:ascii="Times New Roman" w:hAnsi="Times New Roman" w:eastAsia="方正仿宋_GBK" w:cs="Times New Roman"/>
          <w:b/>
          <w:bCs w:val="0"/>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rPr>
        <w:t>2024年度一般公共预算财政拨款支出</w:t>
      </w:r>
      <w:r>
        <w:rPr>
          <w:rFonts w:hint="default" w:ascii="Times New Roman" w:hAnsi="Times New Roman" w:eastAsia="方正仿宋_GBK" w:cs="Times New Roman"/>
          <w:b w:val="0"/>
          <w:bCs/>
          <w:sz w:val="32"/>
          <w:szCs w:val="32"/>
        </w:rPr>
        <w:t>439.10</w:t>
      </w:r>
      <w:r>
        <w:rPr>
          <w:rFonts w:hint="default" w:ascii="Times New Roman" w:hAnsi="Times New Roman" w:eastAsia="方正仿宋_GBK" w:cs="Times New Roman"/>
          <w:b w:val="0"/>
          <w:bCs/>
          <w:sz w:val="32"/>
          <w:szCs w:val="32"/>
          <w:shd w:val="clear" w:color="auto" w:fill="FFFFFF"/>
        </w:rPr>
        <w:t>万元，与2023年度相比，减少1973.03万元，下降81.8%。主要原因是</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2023年收到建设发展资金财政拨款-邹容支路2号房屋征收款2000万元，用于归还购买星河城房屋借款1500万元及设备购置500万元</w:t>
      </w:r>
      <w:r>
        <w:rPr>
          <w:rFonts w:hint="eastAsia"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，2024年无此项支出。</w:t>
      </w:r>
      <w:r>
        <w:rPr>
          <w:rFonts w:hint="default" w:ascii="Times New Roman" w:hAnsi="Times New Roman" w:eastAsia="方正仿宋_GBK" w:cs="Times New Roman"/>
          <w:b w:val="0"/>
          <w:bCs/>
          <w:sz w:val="32"/>
          <w:szCs w:val="32"/>
          <w:shd w:val="clear" w:color="auto" w:fill="FFFFFF"/>
        </w:rPr>
        <w:t>较年初预算数增加72.63万元，增长19.8%。主要原因是</w:t>
      </w:r>
      <w:r>
        <w:rPr>
          <w:rFonts w:hint="eastAsia" w:ascii="Times New Roman" w:hAnsi="Times New Roman" w:eastAsia="方正仿宋_GBK" w:cs="Times New Roman"/>
          <w:b w:val="0"/>
          <w:bCs/>
          <w:sz w:val="32"/>
          <w:szCs w:val="32"/>
          <w:shd w:val="clear" w:color="auto" w:fill="FFFFFF"/>
          <w:lang w:val="en-US" w:eastAsia="zh-CN"/>
        </w:rPr>
        <w:t>增加退休职工健康疗养费、独生子女退休补贴、增人增资、购房补贴、党建经费、公立医院综合改革补助。</w:t>
      </w:r>
    </w:p>
    <w:p w14:paraId="4B7C532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imes New Roman"/>
          <w:b w:val="0"/>
          <w:bCs/>
          <w:sz w:val="32"/>
          <w:szCs w:val="32"/>
          <w:shd w:val="clear" w:color="auto" w:fill="FFFFFF"/>
          <w:lang w:eastAsia="zh-CN"/>
        </w:rPr>
      </w:pPr>
      <w:r>
        <w:rPr>
          <w:rStyle w:val="10"/>
          <w:rFonts w:hint="default" w:ascii="Times New Roman" w:hAnsi="Times New Roman" w:eastAsia="方正仿宋_GBK" w:cs="Times New Roman"/>
          <w:b/>
          <w:bCs w:val="0"/>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rPr>
        <w:t>2024年度年末一般公共预算财政拨款结转和结余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w:t>
      </w:r>
      <w:r>
        <w:rPr>
          <w:rFonts w:hint="eastAsia" w:ascii="Times New Roman" w:hAnsi="Times New Roman" w:eastAsia="方正仿宋_GBK" w:cs="Times New Roman"/>
          <w:b w:val="0"/>
          <w:bCs/>
          <w:sz w:val="32"/>
          <w:szCs w:val="32"/>
          <w:shd w:val="clear" w:color="auto" w:fill="FFFFFF"/>
          <w:lang w:eastAsia="zh-CN"/>
        </w:rPr>
        <w:t>。</w:t>
      </w:r>
    </w:p>
    <w:p w14:paraId="63DB4C3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b w:val="0"/>
          <w:bCs/>
          <w:sz w:val="32"/>
          <w:szCs w:val="32"/>
        </w:rPr>
      </w:pPr>
      <w:r>
        <w:rPr>
          <w:rStyle w:val="10"/>
          <w:rFonts w:hint="eastAsia" w:ascii="Times New Roman" w:hAnsi="Times New Roman" w:eastAsia="方正仿宋_GBK" w:cs="Times New Roman"/>
          <w:b/>
          <w:bCs w:val="0"/>
          <w:sz w:val="32"/>
          <w:szCs w:val="32"/>
          <w:shd w:val="clear" w:color="auto" w:fill="FFFFFF"/>
          <w:lang w:val="en-US" w:eastAsia="zh-CN"/>
        </w:rPr>
        <w:t>4.</w:t>
      </w:r>
      <w:r>
        <w:rPr>
          <w:rStyle w:val="10"/>
          <w:rFonts w:hint="default" w:ascii="Times New Roman" w:hAnsi="Times New Roman" w:eastAsia="方正仿宋_GBK" w:cs="Times New Roman"/>
          <w:b/>
          <w:bCs w:val="0"/>
          <w:sz w:val="32"/>
          <w:szCs w:val="32"/>
          <w:shd w:val="clear" w:color="auto" w:fill="FFFFFF"/>
        </w:rPr>
        <w:t>比较情况。</w:t>
      </w:r>
      <w:r>
        <w:rPr>
          <w:rFonts w:hint="default" w:ascii="Times New Roman" w:hAnsi="Times New Roman" w:eastAsia="方正仿宋_GBK" w:cs="Times New Roman"/>
          <w:b w:val="0"/>
          <w:bCs/>
          <w:sz w:val="32"/>
          <w:szCs w:val="32"/>
          <w:shd w:val="clear" w:color="auto" w:fill="FFFFFF"/>
        </w:rPr>
        <w:t>本单位2024年度一般公共预算财政拨款支出主要用于以下几个方面：</w:t>
      </w:r>
    </w:p>
    <w:p w14:paraId="61398FD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159.11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36.24</w:t>
      </w:r>
      <w:r>
        <w:rPr>
          <w:rFonts w:hint="default" w:ascii="Times New Roman" w:hAnsi="Times New Roman" w:eastAsia="方正仿宋_GBK" w:cs="Times New Roman"/>
          <w:b w:val="0"/>
          <w:bCs/>
          <w:sz w:val="32"/>
          <w:szCs w:val="32"/>
          <w:shd w:val="clear" w:color="auto" w:fill="FFFFFF"/>
        </w:rPr>
        <w:t>%，较年初预算数增加10.73万元，增长7.2%，主要原因</w:t>
      </w:r>
      <w:r>
        <w:rPr>
          <w:rFonts w:hint="eastAsia" w:ascii="Times New Roman" w:hAnsi="Times New Roman" w:eastAsia="方正仿宋_GBK" w:cs="Times New Roman"/>
          <w:b w:val="0"/>
          <w:bCs/>
          <w:sz w:val="32"/>
          <w:szCs w:val="32"/>
          <w:shd w:val="clear" w:color="auto" w:fill="FFFFFF"/>
          <w:lang w:eastAsia="zh-CN"/>
        </w:rPr>
        <w:t>是</w:t>
      </w:r>
      <w:r>
        <w:rPr>
          <w:rFonts w:hint="eastAsia" w:ascii="Times New Roman" w:hAnsi="Times New Roman" w:eastAsia="方正仿宋_GBK" w:cs="Times New Roman"/>
          <w:b w:val="0"/>
          <w:bCs/>
          <w:sz w:val="32"/>
          <w:szCs w:val="32"/>
          <w:shd w:val="clear" w:color="auto" w:fill="FFFFFF"/>
          <w:lang w:val="en-US" w:eastAsia="zh-CN"/>
        </w:rPr>
        <w:t xml:space="preserve">增加退休职工健康疗养费、独生子女退休补贴；2024年增人增资养老保险、职业年金。      </w:t>
      </w:r>
    </w:p>
    <w:p w14:paraId="5F8DCE3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274.53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62.52</w:t>
      </w:r>
      <w:r>
        <w:rPr>
          <w:rFonts w:hint="default" w:ascii="Times New Roman" w:hAnsi="Times New Roman" w:eastAsia="方正仿宋_GBK" w:cs="Times New Roman"/>
          <w:b w:val="0"/>
          <w:bCs/>
          <w:sz w:val="32"/>
          <w:szCs w:val="32"/>
          <w:shd w:val="clear" w:color="auto" w:fill="FFFFFF"/>
        </w:rPr>
        <w:t>%，较年初预算数增加60.98万元，增长28.6%，主要原因是</w:t>
      </w:r>
      <w:r>
        <w:rPr>
          <w:rFonts w:hint="eastAsia" w:ascii="Times New Roman" w:hAnsi="Times New Roman" w:eastAsia="方正仿宋_GBK" w:cs="Times New Roman"/>
          <w:b w:val="0"/>
          <w:bCs/>
          <w:sz w:val="32"/>
          <w:szCs w:val="32"/>
          <w:shd w:val="clear" w:color="auto" w:fill="FFFFFF"/>
          <w:lang w:val="en-US" w:eastAsia="zh-CN"/>
        </w:rPr>
        <w:t>增加2024年增人增资基本工资、党建经费、公立医院改革补助。</w:t>
      </w:r>
    </w:p>
    <w:p w14:paraId="09D766BE">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住房保障支出5.46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1.24</w:t>
      </w:r>
      <w:r>
        <w:rPr>
          <w:rFonts w:hint="default" w:ascii="Times New Roman" w:hAnsi="Times New Roman" w:eastAsia="方正仿宋_GBK" w:cs="Times New Roman"/>
          <w:b w:val="0"/>
          <w:bCs/>
          <w:sz w:val="32"/>
          <w:szCs w:val="32"/>
          <w:shd w:val="clear" w:color="auto" w:fill="FFFFFF"/>
        </w:rPr>
        <w:t>%，较年初预算数增加0.91万元，增长20.0%，主要原因是</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职工工资变动基数调整。</w:t>
      </w:r>
    </w:p>
    <w:p w14:paraId="6DD1C9B3">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14:paraId="40154AE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2024年度一般公共财政拨款基本支出</w:t>
      </w:r>
      <w:r>
        <w:rPr>
          <w:rFonts w:hint="default" w:ascii="Times New Roman" w:hAnsi="Times New Roman" w:eastAsia="方正仿宋_GBK" w:cs="Times New Roman"/>
          <w:b w:val="0"/>
          <w:bCs/>
          <w:sz w:val="32"/>
          <w:szCs w:val="32"/>
        </w:rPr>
        <w:t>399.04</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399.04</w:t>
      </w:r>
      <w:r>
        <w:rPr>
          <w:rFonts w:hint="default" w:ascii="Times New Roman" w:hAnsi="Times New Roman" w:eastAsia="方正仿宋_GBK" w:cs="Times New Roman"/>
          <w:b w:val="0"/>
          <w:bCs/>
          <w:sz w:val="32"/>
          <w:szCs w:val="32"/>
          <w:shd w:val="clear" w:color="auto" w:fill="FFFFFF"/>
        </w:rPr>
        <w:t>万元，与2023年度相比，增加6.92万元，增长1.8%，主要原因是</w:t>
      </w:r>
      <w:r>
        <w:rPr>
          <w:rFonts w:hint="eastAsia" w:ascii="Times New Roman" w:hAnsi="Times New Roman" w:eastAsia="方正仿宋_GBK" w:cs="Times New Roman"/>
          <w:b w:val="0"/>
          <w:bCs/>
          <w:sz w:val="32"/>
          <w:szCs w:val="32"/>
          <w:shd w:val="clear" w:color="auto" w:fill="FFFFFF"/>
          <w:lang w:val="en-US" w:eastAsia="zh-CN"/>
        </w:rPr>
        <w:t>职工人数增加</w:t>
      </w:r>
      <w:r>
        <w:rPr>
          <w:rFonts w:hint="default" w:ascii="Times New Roman" w:hAnsi="Times New Roman" w:eastAsia="方正仿宋_GBK" w:cs="Times New Roman"/>
          <w:b w:val="0"/>
          <w:bCs/>
          <w:color w:val="FF0000"/>
          <w:sz w:val="32"/>
          <w:szCs w:val="32"/>
          <w:shd w:val="clear" w:color="auto" w:fill="FFFFFF"/>
        </w:rPr>
        <w:t>。</w:t>
      </w:r>
      <w:r>
        <w:rPr>
          <w:rFonts w:hint="default" w:ascii="Times New Roman" w:hAnsi="Times New Roman" w:eastAsia="方正仿宋_GBK" w:cs="Times New Roman"/>
          <w:b w:val="0"/>
          <w:bCs/>
          <w:sz w:val="32"/>
          <w:szCs w:val="32"/>
          <w:shd w:val="clear" w:color="auto" w:fill="FFFFFF"/>
        </w:rPr>
        <w:t>人员经费用途主要包括</w:t>
      </w:r>
      <w:r>
        <w:rPr>
          <w:rFonts w:hint="default" w:ascii="Times New Roman" w:hAnsi="Times New Roman" w:eastAsia="方正仿宋_GBK" w:cs="Times New Roman"/>
          <w:b w:val="0"/>
          <w:bCs/>
          <w:sz w:val="32"/>
          <w:szCs w:val="32"/>
          <w:shd w:val="clear" w:color="auto" w:fill="FFFFFF"/>
          <w:lang w:eastAsia="zh-CN"/>
        </w:rPr>
        <w:t>在职职工基本工资、社会保障缴费、退休职工健康</w:t>
      </w:r>
      <w:r>
        <w:rPr>
          <w:rFonts w:hint="eastAsia" w:ascii="Times New Roman" w:hAnsi="Times New Roman" w:eastAsia="方正仿宋_GBK" w:cs="Times New Roman"/>
          <w:b w:val="0"/>
          <w:bCs/>
          <w:sz w:val="32"/>
          <w:szCs w:val="32"/>
          <w:shd w:val="clear" w:color="auto" w:fill="FFFFFF"/>
          <w:lang w:val="en-US" w:eastAsia="zh-CN"/>
        </w:rPr>
        <w:t>疗</w:t>
      </w:r>
      <w:r>
        <w:rPr>
          <w:rFonts w:hint="default" w:ascii="Times New Roman" w:hAnsi="Times New Roman" w:eastAsia="方正仿宋_GBK" w:cs="Times New Roman"/>
          <w:b w:val="0"/>
          <w:bCs/>
          <w:sz w:val="32"/>
          <w:szCs w:val="32"/>
          <w:shd w:val="clear" w:color="auto" w:fill="FFFFFF"/>
          <w:lang w:eastAsia="zh-CN"/>
        </w:rPr>
        <w:t>养费。</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公用经费用途主要包括</w:t>
      </w:r>
      <w:r>
        <w:rPr>
          <w:rFonts w:hint="default" w:ascii="Times New Roman" w:hAnsi="Times New Roman" w:eastAsia="方正仿宋_GBK" w:cs="Times New Roman"/>
          <w:b w:val="0"/>
          <w:bCs/>
          <w:sz w:val="32"/>
          <w:szCs w:val="32"/>
          <w:shd w:val="clear" w:color="auto" w:fill="FFFFFF"/>
          <w:lang w:eastAsia="zh-CN"/>
        </w:rPr>
        <w:t>办公费、印刷费、咨询费、手续费、差旅费、会议费、租赁费等。</w:t>
      </w:r>
    </w:p>
    <w:p w14:paraId="4EEF7CB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14:paraId="14B4A25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shd w:val="clear" w:color="auto" w:fill="FFFFFF"/>
          <w:lang w:val="en-US" w:eastAsia="zh-CN"/>
        </w:rPr>
        <w:t>本单位2024年度无政府性基金预算财政拨款收支。</w:t>
      </w:r>
    </w:p>
    <w:p w14:paraId="4CB721CE">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14:paraId="64BB35C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shd w:val="clear" w:color="auto" w:fill="FFFFFF"/>
          <w:lang w:val="en-US" w:eastAsia="zh-CN"/>
        </w:rPr>
        <w:t>本单位2024年度无国有资本经营预算财政拨款支出。</w:t>
      </w:r>
    </w:p>
    <w:p w14:paraId="73087808">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三、财政拨款“三公”经费情况说明</w:t>
      </w:r>
    </w:p>
    <w:p w14:paraId="3F9642A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楷体" w:cs="Times New Roman"/>
          <w:b w:val="0"/>
          <w:bCs/>
          <w:sz w:val="32"/>
          <w:szCs w:val="32"/>
          <w:shd w:val="clear" w:color="auto" w:fill="FFFFFF"/>
        </w:rPr>
        <w:t xml:space="preserve"> </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我单位属于</w:t>
      </w:r>
      <w:r>
        <w:rPr>
          <w:rFonts w:hint="eastAsia"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公益二类事业单位，财政经费差额保障</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，财政未保障我单位“三公”经费。</w:t>
      </w:r>
    </w:p>
    <w:p w14:paraId="79E5BE0A">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14:paraId="44E6F14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（一）财政拨款会议费和培训费情况说明</w:t>
      </w:r>
    </w:p>
    <w:p w14:paraId="3EB74F4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万元，与2023年度相比，无增减，主要原因是我单位是差额拨款单位，财政未保障我</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会议费。本年度培训费支出</w:t>
      </w:r>
      <w:r>
        <w:rPr>
          <w:rFonts w:hint="default" w:ascii="Times New Roman" w:hAnsi="Times New Roman" w:eastAsia="方正仿宋_GBK" w:cs="Times New Roman"/>
          <w:b w:val="0"/>
          <w:bCs/>
          <w:sz w:val="32"/>
          <w:szCs w:val="32"/>
        </w:rPr>
        <w:t>0.91</w:t>
      </w:r>
      <w:r>
        <w:rPr>
          <w:rFonts w:hint="default" w:ascii="Times New Roman" w:hAnsi="Times New Roman" w:eastAsia="方正仿宋_GBK" w:cs="Times New Roman"/>
          <w:b w:val="0"/>
          <w:bCs/>
          <w:sz w:val="32"/>
          <w:szCs w:val="32"/>
          <w:shd w:val="clear" w:color="auto" w:fill="FFFFFF"/>
        </w:rPr>
        <w:t>万元，与2023年度相比，增加0.91万元，增长100.0%，主要原因是</w:t>
      </w:r>
      <w:r>
        <w:rPr>
          <w:rFonts w:hint="eastAsia" w:ascii="Times New Roman" w:hAnsi="Times New Roman" w:eastAsia="方正仿宋_GBK" w:cs="Times New Roman"/>
          <w:b w:val="0"/>
          <w:bCs/>
          <w:sz w:val="32"/>
          <w:szCs w:val="32"/>
          <w:shd w:val="clear" w:color="auto" w:fill="FFFFFF"/>
          <w:lang w:val="en-US" w:eastAsia="zh-CN"/>
        </w:rPr>
        <w:t>公立医院综合改革补助资金用于重点外科建设，外科医生为提升专业技能，参加业务培训发生的支出0.91万元</w:t>
      </w:r>
      <w:r>
        <w:rPr>
          <w:rFonts w:hint="default" w:ascii="Times New Roman" w:hAnsi="Times New Roman" w:eastAsia="方正仿宋_GBK" w:cs="Times New Roman"/>
          <w:b w:val="0"/>
          <w:bCs/>
          <w:sz w:val="32"/>
          <w:szCs w:val="32"/>
          <w:shd w:val="clear" w:color="auto" w:fill="FFFFFF"/>
        </w:rPr>
        <w:t>。</w:t>
      </w:r>
    </w:p>
    <w:p w14:paraId="342CDBC9">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13E7B3F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FF0000"/>
          <w:sz w:val="32"/>
          <w:szCs w:val="32"/>
        </w:rPr>
      </w:pPr>
      <w:r>
        <w:rPr>
          <w:rFonts w:hint="eastAsia" w:ascii="Times New Roman" w:hAnsi="Times New Roman" w:eastAsia="方正仿宋_GBK" w:cs="Times New Roman"/>
          <w:b w:val="0"/>
          <w:bCs/>
          <w:sz w:val="32"/>
          <w:szCs w:val="32"/>
          <w:shd w:val="clear" w:color="auto" w:fill="FFFFFF"/>
          <w:lang w:val="en-US" w:eastAsia="zh-CN"/>
        </w:rPr>
        <w:t>按照部门决算列报口径，我单位不在机关运行经费统计范围之内。</w:t>
      </w:r>
    </w:p>
    <w:p w14:paraId="60576225">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651D0EC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FF0000"/>
          <w:sz w:val="32"/>
          <w:szCs w:val="32"/>
        </w:rPr>
      </w:pPr>
      <w:r>
        <w:rPr>
          <w:rFonts w:hint="default" w:ascii="Times New Roman" w:hAnsi="Times New Roman" w:eastAsia="方正仿宋_GBK" w:cs="Times New Roman"/>
          <w:b w:val="0"/>
          <w:bCs/>
          <w:sz w:val="32"/>
          <w:szCs w:val="32"/>
          <w:shd w:val="clear" w:color="auto" w:fill="FFFFFF"/>
        </w:rPr>
        <w:t>截至2024年12月31日，本单位共有车辆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台（套）。</w:t>
      </w:r>
    </w:p>
    <w:p w14:paraId="3506594B">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6DE515E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FF0000"/>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2024年度本单位政府采购支出总额</w:t>
      </w:r>
      <w:r>
        <w:rPr>
          <w:rFonts w:hint="default" w:ascii="Times New Roman" w:hAnsi="Times New Roman" w:eastAsia="方正仿宋_GBK" w:cs="Times New Roman"/>
          <w:b w:val="0"/>
          <w:bCs/>
          <w:sz w:val="32"/>
          <w:szCs w:val="32"/>
        </w:rPr>
        <w:t>383.60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2.12</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381.48</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383.43万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99.96</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383.43</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99.96</w:t>
      </w:r>
      <w:r>
        <w:rPr>
          <w:rFonts w:hint="default" w:ascii="Times New Roman" w:hAnsi="Times New Roman" w:eastAsia="方正仿宋_GBK" w:cs="Times New Roman"/>
          <w:b w:val="0"/>
          <w:bCs/>
          <w:sz w:val="32"/>
          <w:szCs w:val="32"/>
          <w:shd w:val="clear" w:color="auto" w:fill="FFFFFF"/>
        </w:rPr>
        <w:t xml:space="preserve"> %。主要用于采购</w:t>
      </w:r>
      <w:r>
        <w:rPr>
          <w:rFonts w:hint="eastAsia" w:ascii="Times New Roman" w:hAnsi="Times New Roman" w:eastAsia="方正仿宋_GBK" w:cs="Times New Roman"/>
          <w:b w:val="0"/>
          <w:bCs/>
          <w:sz w:val="32"/>
          <w:szCs w:val="32"/>
          <w:shd w:val="clear" w:color="auto" w:fill="FFFFFF"/>
          <w:lang w:val="en-US" w:eastAsia="zh-CN"/>
        </w:rPr>
        <w:t>货物和工程。</w:t>
      </w:r>
    </w:p>
    <w:p w14:paraId="3038E53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五、2024年度预算绩效管理情况说明</w:t>
      </w:r>
    </w:p>
    <w:p w14:paraId="3BFBA18E">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（一）单位自评情况</w:t>
      </w:r>
    </w:p>
    <w:p w14:paraId="38943FD3">
      <w:pPr>
        <w:pStyle w:val="16"/>
        <w:keepNext w:val="0"/>
        <w:keepLines w:val="0"/>
        <w:pageBreakBefore w:val="0"/>
        <w:widowControl/>
        <w:tabs>
          <w:tab w:val="center" w:pos="4153"/>
          <w:tab w:val="left" w:pos="7275"/>
        </w:tabs>
        <w:kinsoku/>
        <w:overflowPunct/>
        <w:topLinePunct w:val="0"/>
        <w:autoSpaceDN/>
        <w:bidi w:val="0"/>
        <w:adjustRightInd/>
        <w:spacing w:beforeAutospacing="0" w:afterAutospacing="0" w:line="594" w:lineRule="exact"/>
        <w:ind w:firstLine="64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根据预算绩效管理要求，我单位对</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个项目开展了绩效自评，其中，以填报目标自评表形式开展自评</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项，涉及资金</w:t>
      </w:r>
      <w:r>
        <w:rPr>
          <w:rFonts w:hint="eastAsia" w:ascii="Times New Roman" w:hAnsi="Times New Roman" w:eastAsia="方正仿宋_GBK" w:cs="Times New Roman"/>
          <w:b w:val="0"/>
          <w:bCs/>
          <w:sz w:val="32"/>
          <w:szCs w:val="32"/>
          <w:lang w:val="en-US" w:eastAsia="zh-CN"/>
        </w:rPr>
        <w:t>40.06</w:t>
      </w:r>
      <w:r>
        <w:rPr>
          <w:rFonts w:hint="default" w:ascii="Times New Roman" w:hAnsi="Times New Roman" w:eastAsia="方正仿宋_GBK" w:cs="Times New Roman"/>
          <w:b w:val="0"/>
          <w:bCs/>
          <w:sz w:val="32"/>
          <w:szCs w:val="32"/>
        </w:rPr>
        <w:t>万元。</w:t>
      </w:r>
    </w:p>
    <w:p w14:paraId="67CCCA3F">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 xml:space="preserve">   </w:t>
      </w:r>
      <w:r>
        <w:rPr>
          <w:rStyle w:val="10"/>
          <w:rFonts w:hint="default" w:ascii="Times New Roman" w:hAnsi="Times New Roman" w:eastAsia="黑体" w:cs="Times New Roman"/>
          <w:b w:val="0"/>
          <w:bCs/>
          <w:sz w:val="32"/>
          <w:szCs w:val="32"/>
          <w:shd w:val="clear" w:color="auto" w:fill="FFFFFF"/>
        </w:rPr>
        <w:t xml:space="preserve"> 六、专业名词解释</w:t>
      </w:r>
    </w:p>
    <w:p w14:paraId="2513D3D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指本年度从本级财政部门取得的财政拨款，包括一般公共预算财政拨款和政府性基金预算财政拨款。</w:t>
      </w:r>
    </w:p>
    <w:p w14:paraId="1A59303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（二）事业收入：</w:t>
      </w:r>
      <w:r>
        <w:rPr>
          <w:rFonts w:hint="default" w:ascii="Times New Roman" w:hAnsi="Times New Roman" w:eastAsia="方正仿宋_GBK" w:cs="Times New Roman"/>
          <w:b w:val="0"/>
          <w:bCs/>
          <w:sz w:val="32"/>
          <w:szCs w:val="32"/>
          <w:shd w:val="clear" w:color="auto" w:fill="FFFFFF"/>
        </w:rPr>
        <w:t>指事业单位开展专业业务活动及其辅助活动取得的现金流入；事业单位收到的财政专户实际核拨的教育收费等资金在此反映。</w:t>
      </w:r>
    </w:p>
    <w:p w14:paraId="34415B5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（三）经营收入：</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指事业单位在专业业务活动及其辅助活动之外开展非独立核算经营活动取得的现金流入。</w:t>
      </w:r>
    </w:p>
    <w:p w14:paraId="2F98970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（四）其他收入：</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DA4103">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（五）使用非财政拨款结余：</w:t>
      </w:r>
      <w:r>
        <w:rPr>
          <w:rFonts w:hint="default" w:ascii="Times New Roman" w:hAnsi="Times New Roman" w:eastAsia="方正仿宋_GBK" w:cs="Times New Roman"/>
          <w:b w:val="0"/>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38852F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（六）年初结转和结余：</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14:paraId="7E77E1F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（七）结余分配：</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14:paraId="6893082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（八）年末结转和结余：</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14:paraId="570E1B5A">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（九）基本支出：</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F418D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（十）项目支出：</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14:paraId="616A41A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（十一）经营支出：</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14:paraId="68789412">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（十二）“三公”经费：</w:t>
      </w:r>
      <w:r>
        <w:rPr>
          <w:rFonts w:hint="default" w:ascii="Times New Roman" w:hAnsi="Times New Roman" w:eastAsia="方正仿宋_GBK" w:cs="Times New Roman"/>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5570B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（十三）机关运行经费：</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4BA0E4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14:paraId="7BD2FBD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14:paraId="745D074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b w:val="0"/>
          <w:bCs/>
          <w:sz w:val="32"/>
          <w:szCs w:val="32"/>
          <w:shd w:val="clear" w:color="auto" w:fill="FFFFFF"/>
        </w:rPr>
        <w:t>反映用于对个人和家庭的补助支出。</w:t>
      </w:r>
    </w:p>
    <w:p w14:paraId="2FAB6D2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6E7A9F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b w:val="0"/>
          <w:bCs/>
          <w:sz w:val="32"/>
          <w:szCs w:val="32"/>
        </w:rPr>
      </w:pPr>
      <w:r>
        <w:rPr>
          <w:rStyle w:val="10"/>
          <w:rFonts w:hint="default" w:ascii="Times New Roman" w:hAnsi="Times New Roman" w:eastAsia="黑体" w:cs="Times New Roman"/>
          <w:b w:val="0"/>
          <w:bCs/>
          <w:sz w:val="32"/>
          <w:szCs w:val="32"/>
          <w:shd w:val="clear" w:color="auto" w:fill="FFFFFF"/>
        </w:rPr>
        <w:t>七、决算公开联系方式及信息反馈渠道</w:t>
      </w:r>
    </w:p>
    <w:p w14:paraId="3CE73436">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本单位决算公开信息反馈和联系方式：</w:t>
      </w:r>
    </w:p>
    <w:p w14:paraId="0D944CD3">
      <w:pPr>
        <w:pStyle w:val="12"/>
        <w:keepNext w:val="0"/>
        <w:keepLines w:val="0"/>
        <w:pageBreakBefore w:val="0"/>
        <w:widowControl/>
        <w:kinsoku/>
        <w:overflowPunct/>
        <w:topLinePunct w:val="0"/>
        <w:autoSpaceDN/>
        <w:bidi w:val="0"/>
        <w:adjustRightInd/>
        <w:spacing w:before="0" w:beforeAutospacing="0" w:after="0" w:afterAutospacing="0" w:line="594" w:lineRule="exact"/>
        <w:rPr>
          <w:rStyle w:val="10"/>
          <w:rFonts w:hint="default" w:ascii="Times New Roman" w:hAnsi="Times New Roman" w:eastAsia="方正仿宋_GBK" w:cs="Times New Roman"/>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b w:val="0"/>
          <w:bCs/>
          <w:color w:val="auto"/>
          <w:sz w:val="32"/>
          <w:szCs w:val="32"/>
          <w:shd w:val="clear" w:color="auto" w:fill="FFFFFF"/>
          <w:lang w:val="en-US" w:eastAsia="zh-CN"/>
        </w:rPr>
        <w:t>熊山杉</w:t>
      </w:r>
      <w:r>
        <w:rPr>
          <w:rFonts w:hint="default" w:ascii="Times New Roman" w:hAnsi="Times New Roman" w:eastAsia="方正仿宋_GBK" w:cs="Times New Roman"/>
          <w:b w:val="0"/>
          <w:bCs/>
          <w:color w:val="auto"/>
          <w:sz w:val="32"/>
          <w:szCs w:val="32"/>
          <w:shd w:val="clear" w:color="auto" w:fill="FFFFFF"/>
        </w:rPr>
        <w:t xml:space="preserve">   023-</w:t>
      </w:r>
      <w:r>
        <w:rPr>
          <w:rFonts w:hint="eastAsia" w:ascii="Times New Roman" w:hAnsi="Times New Roman" w:eastAsia="方正仿宋_GBK" w:cs="Times New Roman"/>
          <w:b w:val="0"/>
          <w:bCs/>
          <w:color w:val="auto"/>
          <w:sz w:val="32"/>
          <w:szCs w:val="32"/>
          <w:shd w:val="clear" w:color="auto" w:fill="FFFFFF"/>
          <w:lang w:val="en-US" w:eastAsia="zh-CN"/>
        </w:rPr>
        <w:t>63714107</w:t>
      </w:r>
      <w:bookmarkStart w:id="0" w:name="_GoBack"/>
      <w:bookmarkEnd w:id="0"/>
    </w:p>
    <w:p w14:paraId="25B5FBE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8B5A4">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80196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80196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36D7">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0DE16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0DE16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C6D6D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C6D6D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B974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105C4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7E69A0"/>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DD01E7"/>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5F6FBF"/>
    <w:rsid w:val="33E31118"/>
    <w:rsid w:val="33EF7674"/>
    <w:rsid w:val="342D7BC6"/>
    <w:rsid w:val="352930DB"/>
    <w:rsid w:val="35573069"/>
    <w:rsid w:val="355F6038"/>
    <w:rsid w:val="358C217E"/>
    <w:rsid w:val="36C9128A"/>
    <w:rsid w:val="37805537"/>
    <w:rsid w:val="37841E99"/>
    <w:rsid w:val="37BF1123"/>
    <w:rsid w:val="383C3F15"/>
    <w:rsid w:val="38BE4696"/>
    <w:rsid w:val="39281BF8"/>
    <w:rsid w:val="3939115E"/>
    <w:rsid w:val="39B82A39"/>
    <w:rsid w:val="39C42CA8"/>
    <w:rsid w:val="39DC4FD6"/>
    <w:rsid w:val="39F03D7A"/>
    <w:rsid w:val="39F33306"/>
    <w:rsid w:val="3A2C1C67"/>
    <w:rsid w:val="3A6A77C9"/>
    <w:rsid w:val="3ADD7F09"/>
    <w:rsid w:val="3B1705E5"/>
    <w:rsid w:val="3B18334B"/>
    <w:rsid w:val="3B36794F"/>
    <w:rsid w:val="3B6F6EE0"/>
    <w:rsid w:val="3BA905DE"/>
    <w:rsid w:val="3C566AD6"/>
    <w:rsid w:val="3C594871"/>
    <w:rsid w:val="3C6A5B02"/>
    <w:rsid w:val="3D083B3A"/>
    <w:rsid w:val="3D2757A1"/>
    <w:rsid w:val="3D3D4FC4"/>
    <w:rsid w:val="3DDB3812"/>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500E1"/>
    <w:rsid w:val="48EB6572"/>
    <w:rsid w:val="495C4A24"/>
    <w:rsid w:val="497135DF"/>
    <w:rsid w:val="4A263DF2"/>
    <w:rsid w:val="4A2F278B"/>
    <w:rsid w:val="4A6F6675"/>
    <w:rsid w:val="4B135857"/>
    <w:rsid w:val="4B7951CB"/>
    <w:rsid w:val="4B7C315C"/>
    <w:rsid w:val="4BD061D0"/>
    <w:rsid w:val="4D1F53CA"/>
    <w:rsid w:val="4DAC4ACA"/>
    <w:rsid w:val="4DBE01D2"/>
    <w:rsid w:val="4EFD467F"/>
    <w:rsid w:val="4F0C6BA3"/>
    <w:rsid w:val="4F186D58"/>
    <w:rsid w:val="504B6EAA"/>
    <w:rsid w:val="50F06B6E"/>
    <w:rsid w:val="51C07398"/>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660ACF"/>
    <w:rsid w:val="5A3B59D6"/>
    <w:rsid w:val="5AD134D8"/>
    <w:rsid w:val="5BF41F67"/>
    <w:rsid w:val="5C263CE4"/>
    <w:rsid w:val="5C5D2777"/>
    <w:rsid w:val="5C81210A"/>
    <w:rsid w:val="5CF66BF3"/>
    <w:rsid w:val="5D0D707E"/>
    <w:rsid w:val="5D290C69"/>
    <w:rsid w:val="5DA80C2C"/>
    <w:rsid w:val="5DCB137D"/>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4293E"/>
    <w:rsid w:val="66267C04"/>
    <w:rsid w:val="663F505A"/>
    <w:rsid w:val="666C2D2F"/>
    <w:rsid w:val="66AF5D7C"/>
    <w:rsid w:val="66EE5541"/>
    <w:rsid w:val="67924660"/>
    <w:rsid w:val="68407834"/>
    <w:rsid w:val="6883293E"/>
    <w:rsid w:val="688412AD"/>
    <w:rsid w:val="68EB1B71"/>
    <w:rsid w:val="68F4037D"/>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115B0"/>
    <w:rsid w:val="6FD926BF"/>
    <w:rsid w:val="6FE55E12"/>
    <w:rsid w:val="6FFB2E76"/>
    <w:rsid w:val="708F6F7F"/>
    <w:rsid w:val="70D94BD3"/>
    <w:rsid w:val="71574775"/>
    <w:rsid w:val="71C34D91"/>
    <w:rsid w:val="72DB435C"/>
    <w:rsid w:val="72E2613A"/>
    <w:rsid w:val="72F771F4"/>
    <w:rsid w:val="73934AD2"/>
    <w:rsid w:val="750837F0"/>
    <w:rsid w:val="754758CF"/>
    <w:rsid w:val="75595ECD"/>
    <w:rsid w:val="758923EE"/>
    <w:rsid w:val="764F62AB"/>
    <w:rsid w:val="765C45EC"/>
    <w:rsid w:val="768A7619"/>
    <w:rsid w:val="76A553AD"/>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4341</Words>
  <Characters>4921</Characters>
  <Lines>186</Lines>
  <Paragraphs>52</Paragraphs>
  <TotalTime>45</TotalTime>
  <ScaleCrop>false</ScaleCrop>
  <LinksUpToDate>false</LinksUpToDate>
  <CharactersWithSpaces>4986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2025-10-14T02:49:50Z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AFD6C06D61B4437F981A0E3A865BB37F_13</vt:lpwstr>
  </property>
  <property fmtid="{D5CDD505-2E9C-101B-9397-08002B2CF9AE}" pid="4" name="KSOTemplateDocerSaveRecord">
    <vt:lpwstr>eyJoZGlkIjoiYzQ4ZDg5ZTM4OWUzOTIxZjJmOWY1YzRhZjQ5ZTU0MTkiLCJ1c2VySWQiOiIxNjIwNzQyNzI3In0=</vt:lpwstr>
  </property>
</Properties>
</file>