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5A45">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重庆市渝中区精神卫生中心</w:t>
      </w:r>
    </w:p>
    <w:p w14:paraId="0A060117">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A1904F1">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14:paraId="4DE083D9">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3BCFC02F">
      <w:pPr>
        <w:pStyle w:val="13"/>
        <w:keepNext w:val="0"/>
        <w:keepLines w:val="0"/>
        <w:widowControl/>
        <w:suppressLineNumbers w:val="0"/>
        <w:spacing w:before="0" w:beforeAutospacing="0"/>
        <w:ind w:left="0" w:leftChars="0" w:firstLine="640" w:firstLineChars="200"/>
        <w:jc w:val="lef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市渝中区精神卫生中心：是重庆市二级医疗专业机构，重庆市医疗保险定点医院，主要承担着各类精神疾病的治疗、预防、康复等职能，防治各类精神疾病的患病率和发病率，有效减少和预防各类不良心理及行为问题的发生，降低精神病患者肇事肇祸事件的发生，维护社会和谐稳定。</w:t>
      </w:r>
    </w:p>
    <w:p w14:paraId="57949943">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37D5DD03">
      <w:pPr>
        <w:pStyle w:val="13"/>
        <w:keepNext w:val="0"/>
        <w:keepLines w:val="0"/>
        <w:widowControl/>
        <w:suppressLineNumbers w:val="0"/>
        <w:spacing w:before="0" w:beforeAutospacing="0"/>
        <w:ind w:left="0" w:leftChars="0" w:firstLine="640" w:firstLineChars="200"/>
        <w:jc w:val="lef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本单位设有精神</w:t>
      </w:r>
      <w:r>
        <w:rPr>
          <w:rFonts w:hint="eastAsia" w:ascii="方正仿宋_GBK" w:hAnsi="方正仿宋_GBK" w:eastAsia="方正仿宋_GBK" w:cs="方正仿宋_GBK"/>
          <w:sz w:val="32"/>
          <w:szCs w:val="32"/>
          <w:shd w:val="clear" w:color="auto" w:fill="FFFFFF"/>
          <w:lang w:eastAsia="zh-CN"/>
        </w:rPr>
        <w:t>康复医学</w:t>
      </w:r>
      <w:r>
        <w:rPr>
          <w:rFonts w:hint="eastAsia" w:ascii="方正仿宋_GBK" w:hAnsi="方正仿宋_GBK" w:eastAsia="方正仿宋_GBK" w:cs="方正仿宋_GBK"/>
          <w:sz w:val="32"/>
          <w:szCs w:val="32"/>
          <w:shd w:val="clear" w:color="auto" w:fill="FFFFFF"/>
        </w:rPr>
        <w:t>科、</w:t>
      </w:r>
      <w:r>
        <w:rPr>
          <w:rFonts w:hint="eastAsia" w:ascii="方正仿宋_GBK" w:hAnsi="方正仿宋_GBK" w:eastAsia="方正仿宋_GBK" w:cs="方正仿宋_GBK"/>
          <w:sz w:val="32"/>
          <w:szCs w:val="32"/>
          <w:shd w:val="clear" w:color="auto" w:fill="FFFFFF"/>
          <w:lang w:eastAsia="zh-CN"/>
        </w:rPr>
        <w:t>临床心理科（心身医学）、重症与急诊精神科、儿童青少年医学</w:t>
      </w:r>
      <w:r>
        <w:rPr>
          <w:rFonts w:hint="eastAsia" w:ascii="方正仿宋_GBK" w:hAnsi="方正仿宋_GBK" w:eastAsia="方正仿宋_GBK" w:cs="方正仿宋_GBK"/>
          <w:sz w:val="32"/>
          <w:szCs w:val="32"/>
          <w:shd w:val="clear" w:color="auto" w:fill="FFFFFF"/>
        </w:rPr>
        <w:t>科、</w:t>
      </w:r>
      <w:r>
        <w:rPr>
          <w:rFonts w:hint="eastAsia" w:ascii="方正仿宋_GBK" w:hAnsi="方正仿宋_GBK" w:eastAsia="方正仿宋_GBK" w:cs="方正仿宋_GBK"/>
          <w:sz w:val="32"/>
          <w:szCs w:val="32"/>
          <w:shd w:val="clear" w:color="auto" w:fill="FFFFFF"/>
          <w:lang w:eastAsia="zh-CN"/>
        </w:rPr>
        <w:t>老年医学</w:t>
      </w:r>
      <w:r>
        <w:rPr>
          <w:rFonts w:hint="eastAsia" w:ascii="方正仿宋_GBK" w:hAnsi="方正仿宋_GBK" w:eastAsia="方正仿宋_GBK" w:cs="方正仿宋_GBK"/>
          <w:sz w:val="32"/>
          <w:szCs w:val="32"/>
          <w:shd w:val="clear" w:color="auto" w:fill="FFFFFF"/>
        </w:rPr>
        <w:t>科、中医科</w:t>
      </w:r>
      <w:r>
        <w:rPr>
          <w:rFonts w:hint="eastAsia" w:ascii="方正仿宋_GBK" w:hAnsi="方正仿宋_GBK" w:eastAsia="方正仿宋_GBK" w:cs="方正仿宋_GBK"/>
          <w:sz w:val="32"/>
          <w:szCs w:val="32"/>
          <w:shd w:val="clear" w:color="auto" w:fill="FFFFFF"/>
          <w:lang w:eastAsia="zh-CN"/>
        </w:rPr>
        <w:t>（康复医学）</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成瘾医学科</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爱心门诊</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、睡眠医学科八</w:t>
      </w:r>
      <w:r>
        <w:rPr>
          <w:rFonts w:hint="eastAsia" w:ascii="方正仿宋_GBK" w:hAnsi="方正仿宋_GBK" w:eastAsia="方正仿宋_GBK" w:cs="方正仿宋_GBK"/>
          <w:sz w:val="32"/>
          <w:szCs w:val="32"/>
          <w:shd w:val="clear" w:color="auto" w:fill="FFFFFF"/>
        </w:rPr>
        <w:t>个临床科室，药</w:t>
      </w:r>
      <w:r>
        <w:rPr>
          <w:rFonts w:hint="eastAsia" w:ascii="方正仿宋_GBK" w:hAnsi="方正仿宋_GBK" w:eastAsia="方正仿宋_GBK" w:cs="方正仿宋_GBK"/>
          <w:sz w:val="32"/>
          <w:szCs w:val="32"/>
          <w:shd w:val="clear" w:color="auto" w:fill="FFFFFF"/>
          <w:lang w:eastAsia="zh-CN"/>
        </w:rPr>
        <w:t>学部</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医学</w:t>
      </w:r>
      <w:r>
        <w:rPr>
          <w:rFonts w:hint="eastAsia" w:ascii="方正仿宋_GBK" w:hAnsi="方正仿宋_GBK" w:eastAsia="方正仿宋_GBK" w:cs="方正仿宋_GBK"/>
          <w:sz w:val="32"/>
          <w:szCs w:val="32"/>
          <w:shd w:val="clear" w:color="auto" w:fill="FFFFFF"/>
        </w:rPr>
        <w:t>检验科两个医技科室，收费室一个医辅科室，中心办公室、</w:t>
      </w:r>
      <w:r>
        <w:rPr>
          <w:rFonts w:hint="eastAsia" w:ascii="方正仿宋_GBK" w:hAnsi="方正仿宋_GBK" w:eastAsia="方正仿宋_GBK" w:cs="方正仿宋_GBK"/>
          <w:sz w:val="32"/>
          <w:szCs w:val="32"/>
          <w:shd w:val="clear" w:color="auto" w:fill="FFFFFF"/>
          <w:lang w:eastAsia="zh-CN"/>
        </w:rPr>
        <w:t>医保办、</w:t>
      </w:r>
      <w:r>
        <w:rPr>
          <w:rFonts w:hint="eastAsia" w:ascii="方正仿宋_GBK" w:hAnsi="方正仿宋_GBK" w:eastAsia="方正仿宋_GBK" w:cs="方正仿宋_GBK"/>
          <w:sz w:val="32"/>
          <w:szCs w:val="32"/>
          <w:shd w:val="clear" w:color="auto" w:fill="FFFFFF"/>
        </w:rPr>
        <w:t>医务科、</w:t>
      </w:r>
      <w:r>
        <w:rPr>
          <w:rFonts w:hint="eastAsia" w:ascii="方正仿宋_GBK" w:hAnsi="方正仿宋_GBK" w:eastAsia="方正仿宋_GBK" w:cs="方正仿宋_GBK"/>
          <w:sz w:val="32"/>
          <w:szCs w:val="32"/>
          <w:shd w:val="clear" w:color="auto" w:fill="FFFFFF"/>
          <w:lang w:eastAsia="zh-CN"/>
        </w:rPr>
        <w:t>医学装备信息科</w:t>
      </w:r>
      <w:r>
        <w:rPr>
          <w:rFonts w:hint="eastAsia" w:ascii="方正仿宋_GBK" w:hAnsi="方正仿宋_GBK" w:eastAsia="方正仿宋_GBK" w:cs="方正仿宋_GBK"/>
          <w:sz w:val="32"/>
          <w:szCs w:val="32"/>
          <w:shd w:val="clear" w:color="auto" w:fill="FFFFFF"/>
        </w:rPr>
        <w:t>、财务科、质管办、</w:t>
      </w:r>
      <w:r>
        <w:rPr>
          <w:rFonts w:hint="eastAsia" w:ascii="方正仿宋_GBK" w:hAnsi="方正仿宋_GBK" w:eastAsia="方正仿宋_GBK" w:cs="方正仿宋_GBK"/>
          <w:sz w:val="32"/>
          <w:szCs w:val="32"/>
          <w:shd w:val="clear" w:color="auto" w:fill="FFFFFF"/>
          <w:lang w:eastAsia="zh-CN"/>
        </w:rPr>
        <w:t>护理部、院感后勤保障科、科教科、</w:t>
      </w:r>
      <w:r>
        <w:rPr>
          <w:rFonts w:hint="eastAsia" w:ascii="方正仿宋_GBK" w:hAnsi="方正仿宋_GBK" w:eastAsia="方正仿宋_GBK" w:cs="方正仿宋_GBK"/>
          <w:sz w:val="32"/>
          <w:szCs w:val="32"/>
          <w:shd w:val="clear" w:color="auto" w:fill="FFFFFF"/>
        </w:rPr>
        <w:t>公卫科</w:t>
      </w:r>
      <w:r>
        <w:rPr>
          <w:rFonts w:hint="eastAsia" w:ascii="方正仿宋_GBK" w:hAnsi="方正仿宋_GBK" w:eastAsia="方正仿宋_GBK" w:cs="方正仿宋_GBK"/>
          <w:sz w:val="32"/>
          <w:szCs w:val="32"/>
          <w:shd w:val="clear" w:color="auto" w:fill="FFFFFF"/>
          <w:lang w:eastAsia="zh-CN"/>
        </w:rPr>
        <w:t>十</w:t>
      </w:r>
      <w:r>
        <w:rPr>
          <w:rFonts w:hint="eastAsia" w:ascii="方正仿宋_GBK" w:hAnsi="方正仿宋_GBK" w:eastAsia="方正仿宋_GBK" w:cs="方正仿宋_GBK"/>
          <w:sz w:val="32"/>
          <w:szCs w:val="32"/>
          <w:shd w:val="clear" w:color="auto" w:fill="FFFFFF"/>
        </w:rPr>
        <w:t>个行政后勤科室。</w:t>
      </w:r>
    </w:p>
    <w:p w14:paraId="40F58CD2">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14:paraId="19054C02">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353EB38">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2024年度收入总计5979.84万元</w:t>
      </w:r>
      <w:r>
        <w:rPr>
          <w:rFonts w:hint="eastAsia" w:ascii="方正仿宋_GBK" w:hAnsi="方正仿宋_GBK" w:eastAsia="方正仿宋_GBK" w:cs="方正仿宋_GBK"/>
          <w:sz w:val="32"/>
          <w:szCs w:val="32"/>
          <w:shd w:val="clear" w:color="auto" w:fill="FFFFFF"/>
          <w:lang w:eastAsia="zh-CN"/>
        </w:rPr>
        <w:t>：其中</w:t>
      </w:r>
      <w:r>
        <w:rPr>
          <w:rFonts w:hint="eastAsia" w:ascii="方正仿宋_GBK" w:hAnsi="方正仿宋_GBK" w:eastAsia="方正仿宋_GBK" w:cs="方正仿宋_GBK"/>
          <w:sz w:val="32"/>
          <w:szCs w:val="32"/>
          <w:shd w:val="clear" w:color="auto" w:fill="FFFFFF"/>
          <w:lang w:val="en-US" w:eastAsia="zh-CN"/>
        </w:rPr>
        <w:t>2024年度收入</w:t>
      </w:r>
      <w:r>
        <w:rPr>
          <w:rFonts w:ascii="方正仿宋_GBK" w:hAnsi="方正仿宋_GBK" w:eastAsia="方正仿宋_GBK" w:cs="方正仿宋_GBK"/>
          <w:sz w:val="32"/>
          <w:szCs w:val="32"/>
          <w:shd w:val="clear" w:color="auto" w:fill="FFFFFF"/>
        </w:rPr>
        <w:t>4903.10万元</w:t>
      </w:r>
      <w:r>
        <w:rPr>
          <w:rFonts w:hint="eastAsia" w:ascii="方正仿宋_GBK" w:hAnsi="方正仿宋_GBK" w:eastAsia="方正仿宋_GBK" w:cs="方正仿宋_GBK"/>
          <w:sz w:val="32"/>
          <w:szCs w:val="32"/>
          <w:shd w:val="clear" w:color="auto" w:fill="FFFFFF"/>
          <w:lang w:eastAsia="zh-CN"/>
        </w:rPr>
        <w:t>，使用非财政拨款结余和专用结余1072.04万元，年初结转和结余4.70万元，</w:t>
      </w:r>
      <w:r>
        <w:rPr>
          <w:rFonts w:ascii="方正仿宋_GBK" w:hAnsi="方正仿宋_GBK" w:eastAsia="方正仿宋_GBK" w:cs="方正仿宋_GBK"/>
          <w:sz w:val="32"/>
          <w:szCs w:val="32"/>
          <w:shd w:val="clear" w:color="auto" w:fill="FFFFFF"/>
        </w:rPr>
        <w:t>支出总计</w:t>
      </w:r>
      <w:r>
        <w:rPr>
          <w:rFonts w:ascii="方正仿宋_GBK" w:hAnsi="方正仿宋_GBK" w:eastAsia="方正仿宋_GBK" w:cs="方正仿宋_GBK"/>
          <w:sz w:val="32"/>
          <w:szCs w:val="32"/>
        </w:rPr>
        <w:t>5979.84</w:t>
      </w:r>
      <w:r>
        <w:rPr>
          <w:rFonts w:ascii="方正仿宋_GBK" w:hAnsi="方正仿宋_GBK" w:eastAsia="方正仿宋_GBK" w:cs="方正仿宋_GBK"/>
          <w:sz w:val="32"/>
          <w:szCs w:val="32"/>
          <w:shd w:val="clear" w:color="auto" w:fill="FFFFFF"/>
        </w:rPr>
        <w:t>万元。收、支与2023年度相比，增加747.25万元，增长14.3%，主要原因是</w:t>
      </w:r>
      <w:r>
        <w:rPr>
          <w:rFonts w:hint="eastAsia" w:ascii="方正仿宋_GBK" w:hAnsi="方正仿宋_GBK" w:eastAsia="方正仿宋_GBK" w:cs="方正仿宋_GBK"/>
          <w:sz w:val="32"/>
          <w:szCs w:val="32"/>
          <w:shd w:val="clear" w:color="auto" w:fill="FFFFFF"/>
          <w:lang w:eastAsia="zh-CN"/>
        </w:rPr>
        <w:t>使用非财政拨款结余和专用结余增加，主要用于医院设备购置、大型修缮、基础设施建设</w:t>
      </w:r>
      <w:r>
        <w:rPr>
          <w:rFonts w:hint="eastAsia" w:ascii="方正仿宋_GBK" w:hAnsi="方正仿宋_GBK" w:eastAsia="方正仿宋_GBK" w:cs="方正仿宋_GBK"/>
          <w:sz w:val="32"/>
          <w:szCs w:val="32"/>
          <w:shd w:val="clear" w:color="auto" w:fill="FFFFFF"/>
        </w:rPr>
        <w:t>。</w:t>
      </w:r>
    </w:p>
    <w:p w14:paraId="76CB219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2024年度收入合计4903.10万元，与2023年度相比，减少329.49万元，下降6.3%，主要原因是</w:t>
      </w:r>
      <w:r>
        <w:rPr>
          <w:rFonts w:hint="eastAsia" w:ascii="方正仿宋_GBK" w:hAnsi="方正仿宋_GBK" w:eastAsia="方正仿宋_GBK" w:cs="方正仿宋_GBK"/>
          <w:sz w:val="32"/>
          <w:szCs w:val="32"/>
          <w:shd w:val="clear" w:color="auto" w:fill="FFFFFF"/>
          <w:lang w:eastAsia="zh-CN"/>
        </w:rPr>
        <w:t>无</w:t>
      </w:r>
      <w:r>
        <w:rPr>
          <w:rFonts w:hint="eastAsia" w:ascii="方正仿宋_GBK" w:hAnsi="方正仿宋_GBK" w:eastAsia="方正仿宋_GBK" w:cs="方正仿宋_GBK"/>
          <w:sz w:val="32"/>
          <w:szCs w:val="32"/>
          <w:shd w:val="clear" w:color="auto" w:fill="FFFFFF"/>
        </w:rPr>
        <w:t>突发公卫事件应急处理</w:t>
      </w:r>
      <w:r>
        <w:rPr>
          <w:rFonts w:hint="eastAsia" w:ascii="方正仿宋_GBK" w:hAnsi="方正仿宋_GBK" w:eastAsia="方正仿宋_GBK" w:cs="方正仿宋_GBK"/>
          <w:sz w:val="32"/>
          <w:szCs w:val="32"/>
          <w:shd w:val="clear" w:color="auto" w:fill="FFFFFF"/>
          <w:lang w:eastAsia="zh-CN"/>
        </w:rPr>
        <w:t>项目</w:t>
      </w:r>
      <w:r>
        <w:rPr>
          <w:rFonts w:hint="eastAsia" w:ascii="方正仿宋_GBK" w:hAnsi="方正仿宋_GBK" w:eastAsia="方正仿宋_GBK" w:cs="方正仿宋_GBK"/>
          <w:sz w:val="32"/>
          <w:szCs w:val="32"/>
          <w:shd w:val="clear" w:color="auto" w:fill="FFFFFF"/>
        </w:rPr>
        <w:t>中新冠疫情防控经费</w:t>
      </w:r>
      <w:r>
        <w:rPr>
          <w:rFonts w:hint="eastAsia" w:ascii="方正仿宋_GBK" w:hAnsi="方正仿宋_GBK" w:eastAsia="方正仿宋_GBK" w:cs="方正仿宋_GBK"/>
          <w:sz w:val="32"/>
          <w:szCs w:val="32"/>
          <w:shd w:val="clear" w:color="auto" w:fill="FFFFFF"/>
          <w:lang w:eastAsia="zh-CN"/>
        </w:rPr>
        <w:t>拨款。</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865.00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3832.27</w:t>
      </w:r>
      <w:r>
        <w:rPr>
          <w:rFonts w:ascii="方正仿宋_GBK" w:hAnsi="方正仿宋_GBK" w:eastAsia="方正仿宋_GBK" w:cs="方正仿宋_GBK"/>
          <w:sz w:val="32"/>
          <w:szCs w:val="32"/>
          <w:shd w:val="clear" w:color="auto" w:fill="FFFFFF"/>
        </w:rPr>
        <w:t>万元，占78.16%；经营收入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205.83</w:t>
      </w:r>
      <w:r>
        <w:rPr>
          <w:rFonts w:ascii="方正仿宋_GBK" w:hAnsi="方正仿宋_GBK" w:eastAsia="方正仿宋_GBK" w:cs="方正仿宋_GBK"/>
          <w:sz w:val="32"/>
          <w:szCs w:val="32"/>
          <w:shd w:val="clear" w:color="auto" w:fill="FFFFFF"/>
        </w:rPr>
        <w:t>万元，占4.20%。此外，使用非财政拨款结余和专用结余</w:t>
      </w:r>
      <w:r>
        <w:rPr>
          <w:rFonts w:ascii="方正仿宋_GBK" w:hAnsi="方正仿宋_GBK" w:eastAsia="方正仿宋_GBK" w:cs="方正仿宋_GBK"/>
          <w:sz w:val="32"/>
          <w:szCs w:val="32"/>
        </w:rPr>
        <w:t>1072.04</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万元。</w:t>
      </w:r>
    </w:p>
    <w:p w14:paraId="7AF8722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5979.84</w:t>
      </w:r>
      <w:r>
        <w:rPr>
          <w:rFonts w:ascii="方正仿宋_GBK" w:hAnsi="方正仿宋_GBK" w:eastAsia="方正仿宋_GBK" w:cs="方正仿宋_GBK"/>
          <w:sz w:val="32"/>
          <w:szCs w:val="32"/>
          <w:shd w:val="clear" w:color="auto" w:fill="FFFFFF"/>
        </w:rPr>
        <w:t>万元，与2023年度相比，增加751.95万元，增长14.4%，主要原因是</w:t>
      </w:r>
      <w:r>
        <w:rPr>
          <w:rFonts w:hint="eastAsia" w:ascii="方正仿宋_GBK" w:hAnsi="方正仿宋_GBK" w:eastAsia="方正仿宋_GBK" w:cs="方正仿宋_GBK"/>
          <w:sz w:val="32"/>
          <w:szCs w:val="32"/>
          <w:shd w:val="clear" w:color="auto" w:fill="FFFFFF"/>
          <w:lang w:eastAsia="zh-CN"/>
        </w:rPr>
        <w:t>项目支出增加，主要用于医院设备购置、大型修缮、基础设施建设，</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4713.05</w:t>
      </w:r>
      <w:r>
        <w:rPr>
          <w:rFonts w:ascii="方正仿宋_GBK" w:hAnsi="方正仿宋_GBK" w:eastAsia="方正仿宋_GBK" w:cs="方正仿宋_GBK"/>
          <w:sz w:val="32"/>
          <w:szCs w:val="32"/>
          <w:shd w:val="clear" w:color="auto" w:fill="FFFFFF"/>
        </w:rPr>
        <w:t>万元，占78.82%；项目支出</w:t>
      </w:r>
      <w:r>
        <w:rPr>
          <w:rFonts w:ascii="方正仿宋_GBK" w:hAnsi="方正仿宋_GBK" w:eastAsia="方正仿宋_GBK" w:cs="方正仿宋_GBK"/>
          <w:sz w:val="32"/>
          <w:szCs w:val="32"/>
        </w:rPr>
        <w:t>1266.79</w:t>
      </w:r>
      <w:r>
        <w:rPr>
          <w:rFonts w:ascii="方正仿宋_GBK" w:hAnsi="方正仿宋_GBK" w:eastAsia="方正仿宋_GBK" w:cs="方正仿宋_GBK"/>
          <w:sz w:val="32"/>
          <w:szCs w:val="32"/>
          <w:shd w:val="clear" w:color="auto" w:fill="FFFFFF"/>
        </w:rPr>
        <w:t>万元，占21.18%；经营支出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C6636F9">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万元，与2023年度相比，减少4.70万元，下降100.0%，主要原因是</w:t>
      </w:r>
      <w:r>
        <w:rPr>
          <w:rFonts w:hint="eastAsia" w:ascii="方正仿宋_GBK" w:hAnsi="方正仿宋_GBK" w:eastAsia="方正仿宋_GBK" w:cs="方正仿宋_GBK"/>
          <w:sz w:val="32"/>
          <w:szCs w:val="32"/>
          <w:shd w:val="clear" w:color="auto" w:fill="FFFFFF"/>
          <w:lang w:eastAsia="zh-CN"/>
        </w:rPr>
        <w:t>本年无结转结余。</w:t>
      </w:r>
    </w:p>
    <w:p w14:paraId="6F44F39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DE05A0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2024年度财政拨款收、支总计869.70万元。与2023年相比，财政拨款收、支总计各减少184.79万元，下降17.5%。主要原因是</w:t>
      </w:r>
      <w:r>
        <w:rPr>
          <w:rFonts w:hint="eastAsia" w:ascii="方正仿宋_GBK" w:hAnsi="方正仿宋_GBK" w:eastAsia="方正仿宋_GBK" w:cs="方正仿宋_GBK"/>
          <w:sz w:val="32"/>
          <w:szCs w:val="32"/>
          <w:shd w:val="clear" w:color="auto" w:fill="FFFFFF"/>
          <w:lang w:eastAsia="zh-CN"/>
        </w:rPr>
        <w:t>无</w:t>
      </w:r>
      <w:r>
        <w:rPr>
          <w:rFonts w:hint="eastAsia" w:ascii="方正仿宋_GBK" w:hAnsi="方正仿宋_GBK" w:eastAsia="方正仿宋_GBK" w:cs="方正仿宋_GBK"/>
          <w:sz w:val="32"/>
          <w:szCs w:val="32"/>
          <w:shd w:val="clear" w:color="auto" w:fill="FFFFFF"/>
        </w:rPr>
        <w:t>新冠疫情防控经费</w:t>
      </w:r>
      <w:r>
        <w:rPr>
          <w:rFonts w:hint="eastAsia" w:ascii="方正仿宋_GBK" w:hAnsi="方正仿宋_GBK" w:eastAsia="方正仿宋_GBK" w:cs="方正仿宋_GBK"/>
          <w:sz w:val="32"/>
          <w:szCs w:val="32"/>
          <w:shd w:val="clear" w:color="auto" w:fill="FFFFFF"/>
          <w:lang w:eastAsia="zh-CN"/>
        </w:rPr>
        <w:t>拨款。</w:t>
      </w:r>
    </w:p>
    <w:p w14:paraId="561936B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ED4B8F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865.00</w:t>
      </w:r>
      <w:r>
        <w:rPr>
          <w:rFonts w:ascii="方正仿宋_GBK" w:hAnsi="方正仿宋_GBK" w:eastAsia="方正仿宋_GBK" w:cs="方正仿宋_GBK"/>
          <w:sz w:val="32"/>
          <w:szCs w:val="32"/>
          <w:shd w:val="clear" w:color="auto" w:fill="FFFFFF"/>
        </w:rPr>
        <w:t>万元，与2023年度相比，减少189.49万元，下降18.0%。主要原因是</w:t>
      </w:r>
      <w:r>
        <w:rPr>
          <w:rFonts w:hint="eastAsia" w:ascii="方正仿宋_GBK" w:hAnsi="方正仿宋_GBK" w:eastAsia="方正仿宋_GBK" w:cs="方正仿宋_GBK"/>
          <w:sz w:val="32"/>
          <w:szCs w:val="32"/>
          <w:shd w:val="clear" w:color="auto" w:fill="FFFFFF"/>
          <w:lang w:eastAsia="zh-CN"/>
        </w:rPr>
        <w:t>无</w:t>
      </w:r>
      <w:r>
        <w:rPr>
          <w:rFonts w:hint="eastAsia" w:ascii="方正仿宋_GBK" w:hAnsi="方正仿宋_GBK" w:eastAsia="方正仿宋_GBK" w:cs="方正仿宋_GBK"/>
          <w:sz w:val="32"/>
          <w:szCs w:val="32"/>
          <w:shd w:val="clear" w:color="auto" w:fill="FFFFFF"/>
        </w:rPr>
        <w:t>新冠疫情防控经费</w:t>
      </w:r>
      <w:r>
        <w:rPr>
          <w:rFonts w:hint="eastAsia" w:ascii="方正仿宋_GBK" w:hAnsi="方正仿宋_GBK" w:eastAsia="方正仿宋_GBK" w:cs="方正仿宋_GBK"/>
          <w:sz w:val="32"/>
          <w:szCs w:val="32"/>
          <w:shd w:val="clear" w:color="auto" w:fill="FFFFFF"/>
          <w:lang w:eastAsia="zh-CN"/>
        </w:rPr>
        <w:t>拨款，</w:t>
      </w:r>
      <w:r>
        <w:rPr>
          <w:rFonts w:ascii="方正仿宋_GBK" w:hAnsi="方正仿宋_GBK" w:eastAsia="方正仿宋_GBK" w:cs="方正仿宋_GBK"/>
          <w:sz w:val="32"/>
          <w:szCs w:val="32"/>
          <w:shd w:val="clear" w:color="auto" w:fill="FFFFFF"/>
        </w:rPr>
        <w:t>较年初预算数增加254.81万元，增长41.8%。主要原因是</w:t>
      </w:r>
      <w:r>
        <w:rPr>
          <w:rFonts w:hint="eastAsia" w:ascii="方正仿宋_GBK" w:hAnsi="方正仿宋_GBK" w:eastAsia="方正仿宋_GBK" w:cs="方正仿宋_GBK"/>
          <w:sz w:val="32"/>
          <w:szCs w:val="32"/>
          <w:shd w:val="clear" w:color="auto" w:fill="FFFFFF"/>
        </w:rPr>
        <w:t>增加了</w:t>
      </w:r>
      <w:r>
        <w:rPr>
          <w:rFonts w:hint="eastAsia" w:ascii="方正仿宋_GBK" w:hAnsi="方正仿宋_GBK" w:eastAsia="方正仿宋_GBK" w:cs="方正仿宋_GBK"/>
          <w:sz w:val="32"/>
          <w:szCs w:val="32"/>
          <w:shd w:val="clear" w:color="auto" w:fill="FFFFFF"/>
          <w:lang w:eastAsia="zh-CN"/>
        </w:rPr>
        <w:t>重大疾病防控经费及追加新进在编人员工资、社保收入。</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万元。</w:t>
      </w:r>
    </w:p>
    <w:p w14:paraId="75158539">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869.70</w:t>
      </w:r>
      <w:r>
        <w:rPr>
          <w:rFonts w:ascii="方正仿宋_GBK" w:hAnsi="方正仿宋_GBK" w:eastAsia="方正仿宋_GBK" w:cs="方正仿宋_GBK"/>
          <w:sz w:val="32"/>
          <w:szCs w:val="32"/>
          <w:shd w:val="clear" w:color="auto" w:fill="FFFFFF"/>
        </w:rPr>
        <w:t>万元，与2023年度相比，减少180.09万元，下降17.2%。主要原因是</w:t>
      </w:r>
      <w:r>
        <w:rPr>
          <w:rFonts w:hint="eastAsia" w:ascii="方正仿宋_GBK" w:hAnsi="方正仿宋_GBK" w:eastAsia="方正仿宋_GBK" w:cs="方正仿宋_GBK"/>
          <w:sz w:val="32"/>
          <w:szCs w:val="32"/>
          <w:shd w:val="clear" w:color="auto" w:fill="FFFFFF"/>
          <w:lang w:eastAsia="zh-CN"/>
        </w:rPr>
        <w:t>无</w:t>
      </w:r>
      <w:r>
        <w:rPr>
          <w:rFonts w:hint="eastAsia" w:ascii="方正仿宋_GBK" w:hAnsi="方正仿宋_GBK" w:eastAsia="方正仿宋_GBK" w:cs="方正仿宋_GBK"/>
          <w:sz w:val="32"/>
          <w:szCs w:val="32"/>
          <w:shd w:val="clear" w:color="auto" w:fill="FFFFFF"/>
        </w:rPr>
        <w:t>新冠疫情防控经费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较年初预算数增加259.51万元，增长42.5%。主要原因是</w:t>
      </w:r>
      <w:r>
        <w:rPr>
          <w:rFonts w:hint="eastAsia" w:ascii="方正仿宋_GBK" w:hAnsi="方正仿宋_GBK" w:eastAsia="方正仿宋_GBK" w:cs="方正仿宋_GBK"/>
          <w:sz w:val="32"/>
          <w:szCs w:val="32"/>
          <w:shd w:val="clear" w:color="auto" w:fill="FFFFFF"/>
          <w:lang w:eastAsia="zh-CN"/>
        </w:rPr>
        <w:t>增加了重大疾病防控经费、精神卫生综合管理及社会心理服务体系建设项目经费、追加新进在编人员工资、社保及</w:t>
      </w:r>
      <w:r>
        <w:rPr>
          <w:rFonts w:ascii="方正仿宋_GBK" w:hAnsi="方正仿宋_GBK" w:eastAsia="方正仿宋_GBK" w:cs="方正仿宋_GBK"/>
          <w:sz w:val="32"/>
          <w:szCs w:val="32"/>
          <w:shd w:val="clear" w:color="auto" w:fill="FFFFFF"/>
        </w:rPr>
        <w:t>年初财政拨款结转和结余</w:t>
      </w:r>
      <w:r>
        <w:rPr>
          <w:rFonts w:hint="eastAsia" w:ascii="方正仿宋_GBK" w:hAnsi="方正仿宋_GBK" w:eastAsia="方正仿宋_GBK" w:cs="方正仿宋_GBK"/>
          <w:sz w:val="32"/>
          <w:szCs w:val="32"/>
          <w:shd w:val="clear" w:color="auto" w:fill="FFFFFF"/>
          <w:lang w:eastAsia="zh-CN"/>
        </w:rPr>
        <w:t>支出。</w:t>
      </w:r>
    </w:p>
    <w:p w14:paraId="49AFAAA4">
      <w:pPr>
        <w:pStyle w:val="7"/>
        <w:snapToGrid w:val="0"/>
        <w:spacing w:before="0" w:beforeAutospacing="0" w:after="0" w:afterAutospacing="0" w:line="600" w:lineRule="exact"/>
        <w:ind w:firstLine="643" w:firstLineChars="200"/>
        <w:jc w:val="both"/>
        <w:rPr>
          <w:rStyle w:val="11"/>
          <w:rFonts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万元，与2023年度相比，减少4.70万元，下降100.0%，主要原因是</w:t>
      </w:r>
      <w:r>
        <w:rPr>
          <w:rFonts w:hint="eastAsia" w:ascii="方正仿宋_GBK" w:hAnsi="方正仿宋_GBK" w:eastAsia="方正仿宋_GBK" w:cs="方正仿宋_GBK"/>
          <w:sz w:val="32"/>
          <w:szCs w:val="32"/>
          <w:shd w:val="clear" w:color="auto" w:fill="FFFFFF"/>
          <w:lang w:eastAsia="zh-CN"/>
        </w:rPr>
        <w:t>本年无</w:t>
      </w:r>
      <w:r>
        <w:rPr>
          <w:rFonts w:ascii="方正仿宋_GBK" w:hAnsi="方正仿宋_GBK" w:eastAsia="方正仿宋_GBK" w:cs="方正仿宋_GBK"/>
          <w:sz w:val="32"/>
          <w:szCs w:val="32"/>
          <w:shd w:val="clear" w:color="auto" w:fill="FFFFFF"/>
        </w:rPr>
        <w:t>财政拨款</w:t>
      </w:r>
      <w:r>
        <w:rPr>
          <w:rFonts w:hint="eastAsia" w:ascii="方正仿宋_GBK" w:hAnsi="方正仿宋_GBK" w:eastAsia="方正仿宋_GBK" w:cs="方正仿宋_GBK"/>
          <w:sz w:val="32"/>
          <w:szCs w:val="32"/>
          <w:shd w:val="clear" w:color="auto" w:fill="FFFFFF"/>
          <w:lang w:eastAsia="zh-CN"/>
        </w:rPr>
        <w:t>结转结余。</w:t>
      </w:r>
      <w:r>
        <w:rPr>
          <w:rStyle w:val="11"/>
          <w:rFonts w:ascii="方正仿宋_GBK" w:hAnsi="方正仿宋_GBK" w:eastAsia="方正仿宋_GBK" w:cs="方正仿宋_GBK"/>
          <w:sz w:val="32"/>
          <w:szCs w:val="32"/>
          <w:shd w:val="clear" w:color="auto" w:fill="FFFFFF"/>
        </w:rPr>
        <w:t xml:space="preserve"> </w:t>
      </w:r>
    </w:p>
    <w:p w14:paraId="0F93F7E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2F5E0C2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188.35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21.66</w:t>
      </w:r>
      <w:r>
        <w:rPr>
          <w:rFonts w:ascii="方正仿宋_GBK" w:hAnsi="方正仿宋_GBK" w:eastAsia="方正仿宋_GBK" w:cs="方正仿宋_GBK"/>
          <w:sz w:val="32"/>
          <w:szCs w:val="32"/>
          <w:shd w:val="clear" w:color="auto" w:fill="FFFFFF"/>
        </w:rPr>
        <w:t>%，较年初预算数增加21.15万元，增长12.7%，主要原因是</w:t>
      </w:r>
      <w:r>
        <w:rPr>
          <w:rFonts w:hint="eastAsia" w:ascii="方正仿宋_GBK" w:hAnsi="方正仿宋_GBK" w:eastAsia="方正仿宋_GBK" w:cs="方正仿宋_GBK"/>
          <w:sz w:val="32"/>
          <w:szCs w:val="32"/>
          <w:shd w:val="clear" w:color="auto" w:fill="FFFFFF"/>
          <w:lang w:eastAsia="zh-CN"/>
        </w:rPr>
        <w:t>年终增拨新进在编人员养老保险</w:t>
      </w:r>
      <w:r>
        <w:rPr>
          <w:rFonts w:hint="eastAsia" w:ascii="方正仿宋_GBK" w:hAnsi="方正仿宋_GBK" w:eastAsia="方正仿宋_GBK" w:cs="方正仿宋_GBK"/>
          <w:sz w:val="32"/>
          <w:szCs w:val="32"/>
          <w:shd w:val="clear" w:color="auto" w:fill="FFFFFF"/>
          <w:lang w:val="en-US" w:eastAsia="zh-CN"/>
        </w:rPr>
        <w:t>6.46万元，职业年金3.23万元，退休人员一次性退休补贴5.07万元，死亡抚恤6.39万元。</w:t>
      </w:r>
    </w:p>
    <w:p w14:paraId="2A8195FF">
      <w:pPr>
        <w:keepNext w:val="0"/>
        <w:keepLines w:val="0"/>
        <w:widowControl w:val="0"/>
        <w:suppressLineNumbers w:val="0"/>
        <w:spacing w:line="560" w:lineRule="exact"/>
        <w:ind w:left="0" w:leftChars="0" w:firstLine="566" w:firstLineChars="177"/>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670.05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77.04</w:t>
      </w:r>
      <w:r>
        <w:rPr>
          <w:rFonts w:ascii="方正仿宋_GBK" w:hAnsi="方正仿宋_GBK" w:eastAsia="方正仿宋_GBK" w:cs="方正仿宋_GBK"/>
          <w:sz w:val="32"/>
          <w:szCs w:val="32"/>
          <w:shd w:val="clear" w:color="auto" w:fill="FFFFFF"/>
        </w:rPr>
        <w:t>%，较年初预算数增加233.23万元，增长53.4%，主要原因是</w:t>
      </w:r>
      <w:r>
        <w:rPr>
          <w:rFonts w:hint="eastAsia" w:ascii="方正仿宋_GBK" w:hAnsi="方正仿宋_GBK" w:eastAsia="方正仿宋_GBK" w:cs="方正仿宋_GBK"/>
          <w:sz w:val="32"/>
          <w:szCs w:val="32"/>
          <w:shd w:val="clear" w:color="auto" w:fill="FFFFFF"/>
          <w:lang w:eastAsia="zh-CN"/>
        </w:rPr>
        <w:t>年终追加的</w:t>
      </w:r>
      <w:r>
        <w:rPr>
          <w:rFonts w:hint="eastAsia" w:ascii="方正仿宋_GBK" w:hAnsi="方正仿宋_GBK" w:eastAsia="方正仿宋_GBK" w:cs="方正仿宋_GBK"/>
          <w:color w:val="000000" w:themeColor="text1"/>
          <w:sz w:val="32"/>
          <w:szCs w:val="32"/>
          <w:shd w:val="clear" w:color="auto" w:fill="FFFFFF"/>
          <w:lang w:eastAsia="zh-CN"/>
        </w:rPr>
        <w:t>新进在编人员基本工资、津贴补贴、基本及大额医疗保险、工伤保险</w:t>
      </w:r>
      <w:r>
        <w:rPr>
          <w:rFonts w:hint="eastAsia" w:ascii="方正仿宋_GBK" w:hAnsi="方正仿宋_GBK" w:eastAsia="方正仿宋_GBK" w:cs="方正仿宋_GBK"/>
          <w:sz w:val="32"/>
          <w:szCs w:val="32"/>
          <w:shd w:val="clear" w:color="auto" w:fill="FFFFFF"/>
        </w:rPr>
        <w:t>、年中追加重大疾病防控经费</w:t>
      </w:r>
      <w:r>
        <w:rPr>
          <w:rFonts w:hint="eastAsia" w:ascii="方正仿宋_GBK" w:hAnsi="方正仿宋_GBK" w:eastAsia="方正仿宋_GBK" w:cs="方正仿宋_GBK"/>
          <w:sz w:val="32"/>
          <w:szCs w:val="32"/>
          <w:shd w:val="clear" w:color="auto" w:fill="FFFFFF"/>
          <w:lang w:eastAsia="zh-CN"/>
        </w:rPr>
        <w:t>、精神卫生综合管理及社会心理服务体系建设项目经费</w:t>
      </w:r>
      <w:r>
        <w:rPr>
          <w:rFonts w:hint="eastAsia" w:ascii="方正仿宋_GBK" w:hAnsi="方正仿宋_GBK" w:eastAsia="方正仿宋_GBK" w:cs="方正仿宋_GBK"/>
          <w:sz w:val="32"/>
          <w:szCs w:val="32"/>
          <w:shd w:val="clear" w:color="auto" w:fill="FFFFFF"/>
        </w:rPr>
        <w:t>。</w:t>
      </w:r>
    </w:p>
    <w:p w14:paraId="4DB19CCF">
      <w:pPr>
        <w:ind w:firstLine="640" w:firstLineChars="200"/>
        <w:rPr>
          <w:rFonts w:hint="default" w:ascii="方正仿宋_GBK" w:hAnsi="方正仿宋_GBK" w:eastAsia="方正仿宋_GBK" w:cs="方正仿宋_GBK"/>
          <w:color w:val="000000" w:themeColor="text1"/>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%，较年初预算数增加5.12万元，增长83.0%，主要原因是</w:t>
      </w:r>
      <w:r>
        <w:rPr>
          <w:rFonts w:hint="eastAsia" w:ascii="方正仿宋_GBK" w:hAnsi="方正仿宋_GBK" w:eastAsia="方正仿宋_GBK" w:cs="方正仿宋_GBK"/>
          <w:color w:val="000000" w:themeColor="text1"/>
          <w:sz w:val="32"/>
          <w:szCs w:val="32"/>
          <w:shd w:val="clear" w:color="auto" w:fill="FFFFFF"/>
          <w:lang w:eastAsia="zh-CN"/>
        </w:rPr>
        <w:t>补拨近</w:t>
      </w:r>
      <w:r>
        <w:rPr>
          <w:rFonts w:hint="eastAsia" w:ascii="方正仿宋_GBK" w:hAnsi="方正仿宋_GBK" w:eastAsia="方正仿宋_GBK" w:cs="方正仿宋_GBK"/>
          <w:color w:val="000000" w:themeColor="text1"/>
          <w:sz w:val="32"/>
          <w:szCs w:val="32"/>
          <w:shd w:val="clear" w:color="auto" w:fill="FFFFFF"/>
          <w:lang w:val="en-US" w:eastAsia="zh-CN"/>
        </w:rPr>
        <w:t>3年来</w:t>
      </w:r>
      <w:r>
        <w:rPr>
          <w:rFonts w:hint="eastAsia" w:ascii="方正仿宋_GBK" w:hAnsi="方正仿宋_GBK" w:eastAsia="方正仿宋_GBK" w:cs="方正仿宋_GBK"/>
          <w:color w:val="000000" w:themeColor="text1"/>
          <w:sz w:val="32"/>
          <w:szCs w:val="32"/>
          <w:shd w:val="clear" w:color="auto" w:fill="FFFFFF"/>
          <w:lang w:eastAsia="zh-CN"/>
        </w:rPr>
        <w:t>新进在编人员及职级调整人员住房补贴</w:t>
      </w:r>
      <w:r>
        <w:rPr>
          <w:rFonts w:hint="eastAsia" w:ascii="方正仿宋_GBK" w:hAnsi="方正仿宋_GBK" w:eastAsia="方正仿宋_GBK" w:cs="方正仿宋_GBK"/>
          <w:color w:val="000000" w:themeColor="text1"/>
          <w:sz w:val="32"/>
          <w:szCs w:val="32"/>
          <w:shd w:val="clear" w:color="auto" w:fill="FFFFFF"/>
          <w:lang w:val="en-US" w:eastAsia="zh-CN"/>
        </w:rPr>
        <w:t>5.12万元。</w:t>
      </w:r>
    </w:p>
    <w:p w14:paraId="6A3F0E7E">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4B43BB3">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547.96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547.96</w:t>
      </w:r>
      <w:r>
        <w:rPr>
          <w:rFonts w:ascii="方正仿宋_GBK" w:hAnsi="方正仿宋_GBK" w:eastAsia="方正仿宋_GBK" w:cs="方正仿宋_GBK"/>
          <w:sz w:val="32"/>
          <w:szCs w:val="32"/>
          <w:shd w:val="clear" w:color="auto" w:fill="FFFFFF"/>
        </w:rPr>
        <w:t>万元，与2023年度相比，增加41.13万元，增长8.1%，主要原因是</w:t>
      </w:r>
      <w:r>
        <w:rPr>
          <w:rFonts w:hint="eastAsia" w:ascii="方正仿宋_GBK" w:hAnsi="方正仿宋_GBK" w:eastAsia="方正仿宋_GBK" w:cs="方正仿宋_GBK"/>
          <w:sz w:val="32"/>
          <w:szCs w:val="32"/>
          <w:shd w:val="clear" w:color="auto" w:fill="FFFFFF"/>
          <w:lang w:eastAsia="zh-CN"/>
        </w:rPr>
        <w:t>增加的</w:t>
      </w:r>
      <w:r>
        <w:rPr>
          <w:rFonts w:hint="eastAsia" w:ascii="方正仿宋_GBK" w:hAnsi="方正仿宋_GBK" w:eastAsia="方正仿宋_GBK" w:cs="方正仿宋_GBK"/>
          <w:color w:val="000000" w:themeColor="text1"/>
          <w:sz w:val="32"/>
          <w:szCs w:val="32"/>
          <w:shd w:val="clear" w:color="auto" w:fill="FFFFFF"/>
          <w:lang w:eastAsia="zh-CN"/>
        </w:rPr>
        <w:t>新进在编人员基本工资、养老保险、职业年金、基本医疗保险和大额医疗保险。</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员工工资、绩效、五险一金等。</w:t>
      </w:r>
    </w:p>
    <w:p w14:paraId="41689FF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2024年无公用经费</w:t>
      </w:r>
      <w:r>
        <w:rPr>
          <w:rFonts w:ascii="方正仿宋_GBK" w:hAnsi="方正仿宋_GBK" w:eastAsia="方正仿宋_GBK" w:cs="方正仿宋_GBK"/>
          <w:sz w:val="32"/>
          <w:szCs w:val="32"/>
          <w:shd w:val="clear" w:color="auto" w:fill="FFFFFF"/>
        </w:rPr>
        <w:t>财政拨款收支</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公</w:t>
      </w:r>
      <w:r>
        <w:rPr>
          <w:rFonts w:ascii="方正仿宋_GBK" w:hAnsi="方正仿宋_GBK" w:eastAsia="方正仿宋_GBK" w:cs="方正仿宋_GBK"/>
          <w:sz w:val="32"/>
          <w:szCs w:val="32"/>
          <w:shd w:val="clear" w:color="auto" w:fill="FFFFFF"/>
        </w:rPr>
        <w:t>用经费用途主要包</w:t>
      </w:r>
      <w:r>
        <w:rPr>
          <w:rFonts w:ascii="方正仿宋_GBK" w:hAnsi="方正仿宋_GBK" w:eastAsia="方正仿宋_GBK" w:cs="方正仿宋_GBK"/>
          <w:color w:val="000000" w:themeColor="text1"/>
          <w:sz w:val="32"/>
          <w:szCs w:val="32"/>
          <w:shd w:val="clear" w:color="auto" w:fill="FFFFFF"/>
        </w:rPr>
        <w:t>括</w:t>
      </w:r>
      <w:r>
        <w:rPr>
          <w:rFonts w:hint="eastAsia" w:ascii="方正仿宋_GBK" w:hAnsi="方正仿宋_GBK" w:eastAsia="方正仿宋_GBK" w:cs="方正仿宋_GBK"/>
          <w:color w:val="000000" w:themeColor="text1"/>
          <w:sz w:val="32"/>
          <w:szCs w:val="32"/>
          <w:shd w:val="clear" w:color="auto" w:fill="FFFFFF"/>
        </w:rPr>
        <w:t>水电气</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日常费用等。</w:t>
      </w:r>
    </w:p>
    <w:p w14:paraId="0269C6B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2F29D4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14:paraId="661B43E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890426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本单位2024年度无国有资本经营预算财政拨款支出。</w:t>
      </w:r>
    </w:p>
    <w:p w14:paraId="5BB86C2B">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14:paraId="68FDDD2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我单位属于差额拨款</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，财政未保障我单位“三公”经费。</w:t>
      </w:r>
    </w:p>
    <w:p w14:paraId="66B368CA">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3F78FF7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40E340C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万元，与2023年度相比，减少6.32万元，下降100.0%，主要原因是</w:t>
      </w:r>
      <w:r>
        <w:rPr>
          <w:rFonts w:hint="eastAsia" w:ascii="方正仿宋_GBK" w:hAnsi="方正仿宋_GBK" w:eastAsia="方正仿宋_GBK" w:cs="方正仿宋_GBK"/>
          <w:sz w:val="32"/>
          <w:szCs w:val="32"/>
          <w:shd w:val="clear" w:color="auto" w:fill="FFFFFF"/>
          <w:lang w:eastAsia="zh-CN"/>
        </w:rPr>
        <w:t>本年度无会议费支出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22.00</w:t>
      </w:r>
      <w:r>
        <w:rPr>
          <w:rFonts w:ascii="方正仿宋_GBK" w:hAnsi="方正仿宋_GBK" w:eastAsia="方正仿宋_GBK" w:cs="方正仿宋_GBK"/>
          <w:sz w:val="32"/>
          <w:szCs w:val="32"/>
          <w:shd w:val="clear" w:color="auto" w:fill="FFFFFF"/>
        </w:rPr>
        <w:t>万元，与2023年度相比，增加18.39万元，增长509.4%，主要原因是</w:t>
      </w:r>
      <w:r>
        <w:rPr>
          <w:rFonts w:hint="eastAsia" w:ascii="方正仿宋_GBK" w:hAnsi="方正仿宋_GBK" w:eastAsia="方正仿宋_GBK" w:cs="方正仿宋_GBK"/>
          <w:sz w:val="32"/>
          <w:szCs w:val="32"/>
          <w:shd w:val="clear" w:color="auto" w:fill="FFFFFF"/>
          <w:lang w:eastAsia="zh-CN"/>
        </w:rPr>
        <w:t>增加的重大疾病项目及</w:t>
      </w:r>
      <w:r>
        <w:rPr>
          <w:rFonts w:hint="eastAsia" w:ascii="方正仿宋_GBK" w:hAnsi="方正仿宋_GBK" w:eastAsia="方正仿宋_GBK" w:cs="方正仿宋_GBK"/>
          <w:color w:val="000000" w:themeColor="text1"/>
          <w:sz w:val="32"/>
          <w:szCs w:val="32"/>
          <w:shd w:val="clear" w:color="auto" w:fill="FFFFFF"/>
          <w:lang w:val="en-US" w:eastAsia="zh-CN"/>
        </w:rPr>
        <w:t>精神卫生综合管理和社会心理服务体系建设项目</w:t>
      </w:r>
      <w:r>
        <w:rPr>
          <w:rFonts w:hint="eastAsia" w:ascii="方正仿宋_GBK" w:hAnsi="方正仿宋_GBK" w:eastAsia="方正仿宋_GBK" w:cs="方正仿宋_GBK"/>
          <w:sz w:val="32"/>
          <w:szCs w:val="32"/>
          <w:shd w:val="clear" w:color="auto" w:fill="FFFFFF"/>
          <w:lang w:eastAsia="zh-CN"/>
        </w:rPr>
        <w:t>中与严重精神病患者管理、治疗、护理、暴力行为应对能力等相关的培训费支出。</w:t>
      </w:r>
    </w:p>
    <w:p w14:paraId="7E76701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5ACBBA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14:paraId="2FA5CD0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188204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p>
    <w:p w14:paraId="2BD38BF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DF11C5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4.82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4.82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4.82万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4.82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000000" w:themeColor="text1"/>
          <w:sz w:val="32"/>
          <w:szCs w:val="32"/>
          <w:shd w:val="clear" w:color="auto" w:fill="FFFFFF"/>
          <w:lang w:eastAsia="zh-CN"/>
        </w:rPr>
        <w:t>办公设备。</w:t>
      </w:r>
    </w:p>
    <w:p w14:paraId="2D73EC4F">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14:paraId="1ED2144D">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9E09FC4">
      <w:pPr>
        <w:pStyle w:val="17"/>
        <w:tabs>
          <w:tab w:val="center" w:pos="4153"/>
          <w:tab w:val="left" w:pos="7275"/>
        </w:tabs>
        <w:spacing w:line="600" w:lineRule="exact"/>
        <w:ind w:firstLine="640"/>
        <w:rPr>
          <w:rFonts w:hint="default" w:ascii="Times New Roman" w:hAnsi="Times New Roman" w:eastAsia="方正仿宋_GBK"/>
          <w:sz w:val="32"/>
          <w:szCs w:val="32"/>
        </w:rPr>
      </w:pPr>
      <w:r>
        <w:rPr>
          <w:rFonts w:hint="default" w:ascii="Times New Roman" w:hAnsi="Times New Roman" w:eastAsia="方正仿宋_GBK"/>
          <w:sz w:val="32"/>
          <w:szCs w:val="32"/>
        </w:rPr>
        <w:t>应当参照如下格式说明：根据预算绩效管理要求，我</w:t>
      </w:r>
      <w:r>
        <w:rPr>
          <w:rFonts w:ascii="Times New Roman" w:hAnsi="Times New Roman" w:eastAsia="方正仿宋_GBK"/>
          <w:sz w:val="32"/>
          <w:szCs w:val="32"/>
        </w:rPr>
        <w:t>单位</w:t>
      </w:r>
      <w:r>
        <w:rPr>
          <w:rFonts w:hint="default" w:ascii="Times New Roman" w:hAnsi="Times New Roman" w:eastAsia="方正仿宋_GBK"/>
          <w:sz w:val="32"/>
          <w:szCs w:val="32"/>
        </w:rPr>
        <w:t>对</w:t>
      </w:r>
      <w:r>
        <w:rPr>
          <w:rFonts w:hint="eastAsia" w:ascii="Times New Roman" w:hAnsi="Times New Roman" w:eastAsia="方正仿宋_GBK"/>
          <w:sz w:val="32"/>
          <w:szCs w:val="32"/>
          <w:lang w:val="en-US" w:eastAsia="zh-CN"/>
        </w:rPr>
        <w:t>8</w:t>
      </w:r>
      <w:r>
        <w:rPr>
          <w:rFonts w:hint="default" w:ascii="Times New Roman" w:hAnsi="Times New Roman" w:eastAsia="方正仿宋_GBK"/>
          <w:sz w:val="32"/>
          <w:szCs w:val="32"/>
        </w:rPr>
        <w:t>个项目开展了绩效自评，其中，以填报目标自评表形式开展自评</w:t>
      </w:r>
      <w:r>
        <w:rPr>
          <w:rFonts w:hint="eastAsia" w:ascii="Times New Roman" w:hAnsi="Times New Roman" w:eastAsia="方正仿宋_GBK"/>
          <w:sz w:val="32"/>
          <w:szCs w:val="32"/>
          <w:lang w:val="en-US" w:eastAsia="zh-CN"/>
        </w:rPr>
        <w:t>8</w:t>
      </w:r>
      <w:r>
        <w:rPr>
          <w:rFonts w:hint="default" w:ascii="Times New Roman" w:hAnsi="Times New Roman" w:eastAsia="方正仿宋_GBK"/>
          <w:sz w:val="32"/>
          <w:szCs w:val="32"/>
        </w:rPr>
        <w:t>项，涉及资金</w:t>
      </w:r>
      <w:r>
        <w:rPr>
          <w:rFonts w:hint="eastAsia" w:ascii="Times New Roman" w:hAnsi="Times New Roman" w:eastAsia="方正仿宋_GBK"/>
          <w:sz w:val="32"/>
          <w:szCs w:val="32"/>
          <w:lang w:val="en-US" w:eastAsia="zh-CN"/>
        </w:rPr>
        <w:t>317.04</w:t>
      </w:r>
      <w:r>
        <w:rPr>
          <w:rFonts w:hint="default" w:ascii="Times New Roman" w:hAnsi="Times New Roman" w:eastAsia="方正仿宋_GBK"/>
          <w:sz w:val="32"/>
          <w:szCs w:val="32"/>
        </w:rPr>
        <w:t>万元</w:t>
      </w:r>
      <w:r>
        <w:rPr>
          <w:rFonts w:ascii="Times New Roman" w:hAnsi="Times New Roman" w:eastAsia="方正仿宋_GBK"/>
          <w:sz w:val="32"/>
          <w:szCs w:val="32"/>
        </w:rPr>
        <w:t>。</w:t>
      </w:r>
    </w:p>
    <w:p w14:paraId="321C40C2">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14:paraId="3586A186">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D2DA0A8">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33B4134">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2CC1C2D">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E66924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1CC84F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11F700A">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611BD2A">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1E8317F">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7C4FDD">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6EC3C54">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9A4CD07">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6B6ABEF">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AE84595">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CE1DDB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80B56ED">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1C69286">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2026D6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14:paraId="14099285">
      <w:pPr>
        <w:pStyle w:val="13"/>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14:paraId="459D4BE4">
      <w:pPr>
        <w:pStyle w:val="13"/>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lang w:val="en-US" w:eastAsia="zh-CN"/>
        </w:rPr>
      </w:pPr>
      <w:r>
        <w:rPr>
          <w:rFonts w:hint="eastAsia" w:ascii="方正仿宋_GBK" w:hAnsi="方正仿宋_GBK" w:eastAsia="方正仿宋_GBK" w:cs="方正仿宋_GBK"/>
          <w:color w:val="000000" w:themeColor="text1"/>
          <w:sz w:val="32"/>
          <w:szCs w:val="32"/>
          <w:shd w:val="clear" w:color="auto" w:fill="FFFFFF"/>
          <w:lang w:eastAsia="zh-CN"/>
        </w:rPr>
        <w:t>廖丽娜</w:t>
      </w:r>
      <w:r>
        <w:rPr>
          <w:rFonts w:hint="eastAsia" w:ascii="方正仿宋_GBK" w:hAnsi="方正仿宋_GBK" w:eastAsia="方正仿宋_GBK" w:cs="方正仿宋_GBK"/>
          <w:color w:val="000000" w:themeColor="text1"/>
          <w:sz w:val="32"/>
          <w:szCs w:val="32"/>
          <w:shd w:val="clear" w:color="auto" w:fill="FFFFFF"/>
        </w:rPr>
        <w:t xml:space="preserve">   023-</w:t>
      </w:r>
      <w:r>
        <w:rPr>
          <w:rFonts w:hint="eastAsia" w:ascii="方正仿宋_GBK" w:hAnsi="方正仿宋_GBK" w:eastAsia="方正仿宋_GBK" w:cs="方正仿宋_GBK"/>
          <w:color w:val="000000" w:themeColor="text1"/>
          <w:sz w:val="32"/>
          <w:szCs w:val="32"/>
          <w:shd w:val="clear" w:color="auto" w:fill="FFFFFF"/>
          <w:lang w:val="en-US" w:eastAsia="zh-CN"/>
        </w:rPr>
        <w:t>63003907</w:t>
      </w:r>
    </w:p>
    <w:p w14:paraId="1F6AE64F">
      <w:pPr>
        <w:pStyle w:val="12"/>
        <w:autoSpaceDE w:val="0"/>
        <w:spacing w:line="596" w:lineRule="exact"/>
        <w:ind w:firstLine="640"/>
        <w:jc w:val="both"/>
        <w:rPr>
          <w:rStyle w:val="11"/>
          <w:rFonts w:ascii="方正仿宋_GBK" w:hAnsi="方正仿宋_GBK" w:eastAsia="方正仿宋_GBK" w:cs="方正仿宋_GBK"/>
          <w:color w:val="000000" w:themeColor="text1"/>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1E123981">
      <w:pPr>
        <w:rPr>
          <w:rFonts w:hint="default" w:cs="宋体"/>
          <w:sz w:val="20"/>
          <w:szCs w:val="20"/>
        </w:rPr>
      </w:pPr>
      <w:r>
        <w:rPr>
          <w:rFonts w:cs="宋体"/>
          <w:sz w:val="20"/>
          <w:szCs w:val="20"/>
        </w:rPr>
        <w:br w:type="textWrapping"/>
      </w:r>
      <w:r>
        <w:rPr>
          <w:rFonts w:cs="宋体"/>
          <w:sz w:val="20"/>
          <w:szCs w:val="20"/>
        </w:rPr>
        <w:br w:type="textWrapping"/>
      </w:r>
    </w:p>
    <w:p w14:paraId="3007B7E8">
      <w:pPr>
        <w:rPr>
          <w:rFonts w:hint="default" w:cs="宋体"/>
          <w:sz w:val="21"/>
          <w:szCs w:val="21"/>
        </w:rPr>
      </w:pPr>
      <w:r>
        <w:rPr>
          <w:rFonts w:cs="宋体"/>
          <w:sz w:val="21"/>
          <w:szCs w:val="21"/>
        </w:rPr>
        <w:br w:type="page"/>
      </w:r>
    </w:p>
    <w:p w14:paraId="67F50BB9">
      <w:pPr>
        <w:rPr>
          <w:rFonts w:hint="default" w:cs="宋体"/>
          <w:sz w:val="21"/>
          <w:szCs w:val="21"/>
        </w:rPr>
      </w:pPr>
    </w:p>
    <w:p w14:paraId="7FF50E8B">
      <w:pPr>
        <w:ind w:firstLine="630" w:firstLineChars="300"/>
        <w:rPr>
          <w:rFonts w:hint="default" w:cs="宋体"/>
          <w:sz w:val="21"/>
          <w:szCs w:val="21"/>
        </w:rPr>
      </w:pPr>
    </w:p>
    <w:p w14:paraId="035ACAF4">
      <w:pPr>
        <w:rPr>
          <w:rFonts w:hint="default" w:cs="宋体"/>
          <w:sz w:val="21"/>
          <w:szCs w:val="21"/>
        </w:rPr>
      </w:pPr>
    </w:p>
    <w:p w14:paraId="3D4F1351">
      <w:pPr>
        <w:rPr>
          <w:rFonts w:hint="default"/>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4DD8">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EFC8EE6">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3D8D">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7620DA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73E1D4F">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2972">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2FE20CD"/>
    <w:rsid w:val="03004097"/>
    <w:rsid w:val="03B87EA0"/>
    <w:rsid w:val="03E3214F"/>
    <w:rsid w:val="044C50BA"/>
    <w:rsid w:val="04D01847"/>
    <w:rsid w:val="05A84572"/>
    <w:rsid w:val="05BC6D49"/>
    <w:rsid w:val="06194FF1"/>
    <w:rsid w:val="06377807"/>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674587"/>
    <w:rsid w:val="0B9335CE"/>
    <w:rsid w:val="0BF2311A"/>
    <w:rsid w:val="0C7927C4"/>
    <w:rsid w:val="0C9B098C"/>
    <w:rsid w:val="0C9E047D"/>
    <w:rsid w:val="0CDB6FDB"/>
    <w:rsid w:val="0D2A3ABE"/>
    <w:rsid w:val="0D673E11"/>
    <w:rsid w:val="0DDA54E4"/>
    <w:rsid w:val="0E3A5F83"/>
    <w:rsid w:val="0E71409B"/>
    <w:rsid w:val="0F836721"/>
    <w:rsid w:val="0F931DEF"/>
    <w:rsid w:val="0FA25D96"/>
    <w:rsid w:val="0FE175CB"/>
    <w:rsid w:val="107B59E5"/>
    <w:rsid w:val="10EC0126"/>
    <w:rsid w:val="10F70B9A"/>
    <w:rsid w:val="111445C7"/>
    <w:rsid w:val="114278C6"/>
    <w:rsid w:val="1158083A"/>
    <w:rsid w:val="11643A4B"/>
    <w:rsid w:val="11ED0F98"/>
    <w:rsid w:val="11F03528"/>
    <w:rsid w:val="1230601B"/>
    <w:rsid w:val="12635BF0"/>
    <w:rsid w:val="12C921C4"/>
    <w:rsid w:val="13871C70"/>
    <w:rsid w:val="13A71CB4"/>
    <w:rsid w:val="13AF1D43"/>
    <w:rsid w:val="13CE1647"/>
    <w:rsid w:val="13FD55AB"/>
    <w:rsid w:val="14200702"/>
    <w:rsid w:val="14370EA1"/>
    <w:rsid w:val="14733F9D"/>
    <w:rsid w:val="15A20FDE"/>
    <w:rsid w:val="15C251DC"/>
    <w:rsid w:val="163A6CEE"/>
    <w:rsid w:val="16C531D6"/>
    <w:rsid w:val="173708E3"/>
    <w:rsid w:val="17C374FC"/>
    <w:rsid w:val="182E4AB6"/>
    <w:rsid w:val="189015C1"/>
    <w:rsid w:val="189079DC"/>
    <w:rsid w:val="189B0D0B"/>
    <w:rsid w:val="18B43F7C"/>
    <w:rsid w:val="191C433B"/>
    <w:rsid w:val="194A1770"/>
    <w:rsid w:val="19940C3D"/>
    <w:rsid w:val="19B906A4"/>
    <w:rsid w:val="1AAE21D3"/>
    <w:rsid w:val="1B6F15B6"/>
    <w:rsid w:val="1BAA2EDC"/>
    <w:rsid w:val="1BDE1B13"/>
    <w:rsid w:val="1C1E3330"/>
    <w:rsid w:val="1C890801"/>
    <w:rsid w:val="1CA55E64"/>
    <w:rsid w:val="1D014A01"/>
    <w:rsid w:val="1D022362"/>
    <w:rsid w:val="1D1B04B0"/>
    <w:rsid w:val="1D9A07EC"/>
    <w:rsid w:val="1DA52501"/>
    <w:rsid w:val="1DBD6767"/>
    <w:rsid w:val="1DC52125"/>
    <w:rsid w:val="1DD26311"/>
    <w:rsid w:val="1E374ACB"/>
    <w:rsid w:val="1ECF0A66"/>
    <w:rsid w:val="1EF67CA4"/>
    <w:rsid w:val="1F020D3A"/>
    <w:rsid w:val="1F2C5189"/>
    <w:rsid w:val="1F4B0B02"/>
    <w:rsid w:val="1FBB35CD"/>
    <w:rsid w:val="1FCD26AF"/>
    <w:rsid w:val="20642787"/>
    <w:rsid w:val="207D5345"/>
    <w:rsid w:val="21354AB4"/>
    <w:rsid w:val="21556F04"/>
    <w:rsid w:val="21821CC3"/>
    <w:rsid w:val="22403BD3"/>
    <w:rsid w:val="22AD3177"/>
    <w:rsid w:val="235417B6"/>
    <w:rsid w:val="239E2206"/>
    <w:rsid w:val="24B92327"/>
    <w:rsid w:val="24C14514"/>
    <w:rsid w:val="252D4D73"/>
    <w:rsid w:val="2533755C"/>
    <w:rsid w:val="25791755"/>
    <w:rsid w:val="26084E8D"/>
    <w:rsid w:val="26396DF4"/>
    <w:rsid w:val="27167136"/>
    <w:rsid w:val="271B442C"/>
    <w:rsid w:val="27961EC1"/>
    <w:rsid w:val="27AC35F6"/>
    <w:rsid w:val="27B23302"/>
    <w:rsid w:val="29310A5F"/>
    <w:rsid w:val="29C37A35"/>
    <w:rsid w:val="2A076083"/>
    <w:rsid w:val="2A73162E"/>
    <w:rsid w:val="2AF61758"/>
    <w:rsid w:val="2B167953"/>
    <w:rsid w:val="2B1E480B"/>
    <w:rsid w:val="2B200583"/>
    <w:rsid w:val="2B2729C0"/>
    <w:rsid w:val="2B8209DE"/>
    <w:rsid w:val="2B821C91"/>
    <w:rsid w:val="2BF81A22"/>
    <w:rsid w:val="2C636760"/>
    <w:rsid w:val="2C6762A3"/>
    <w:rsid w:val="2FCA4B37"/>
    <w:rsid w:val="2FE029D7"/>
    <w:rsid w:val="2FE9188B"/>
    <w:rsid w:val="2FF06E00"/>
    <w:rsid w:val="30466CDD"/>
    <w:rsid w:val="30586FEC"/>
    <w:rsid w:val="30BE67FD"/>
    <w:rsid w:val="315F0B22"/>
    <w:rsid w:val="31A15828"/>
    <w:rsid w:val="31D84415"/>
    <w:rsid w:val="32285F6F"/>
    <w:rsid w:val="32770556"/>
    <w:rsid w:val="329C0913"/>
    <w:rsid w:val="32AA0460"/>
    <w:rsid w:val="332901F1"/>
    <w:rsid w:val="3337290D"/>
    <w:rsid w:val="33E31118"/>
    <w:rsid w:val="33EF7674"/>
    <w:rsid w:val="342D7BC6"/>
    <w:rsid w:val="352930DB"/>
    <w:rsid w:val="35573069"/>
    <w:rsid w:val="355F6038"/>
    <w:rsid w:val="358C217E"/>
    <w:rsid w:val="35E32C2F"/>
    <w:rsid w:val="36681BF0"/>
    <w:rsid w:val="36C9128A"/>
    <w:rsid w:val="37841E99"/>
    <w:rsid w:val="37BF1123"/>
    <w:rsid w:val="383C3F15"/>
    <w:rsid w:val="38526E65"/>
    <w:rsid w:val="38BE4696"/>
    <w:rsid w:val="38DE55D9"/>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03B8"/>
    <w:rsid w:val="3E42660A"/>
    <w:rsid w:val="3E7555B1"/>
    <w:rsid w:val="3E787ED9"/>
    <w:rsid w:val="3F032E93"/>
    <w:rsid w:val="3F0527E5"/>
    <w:rsid w:val="3F4C52C6"/>
    <w:rsid w:val="3F694D83"/>
    <w:rsid w:val="3F885DCC"/>
    <w:rsid w:val="3FC4377B"/>
    <w:rsid w:val="3FCD675E"/>
    <w:rsid w:val="4004000C"/>
    <w:rsid w:val="40760DD1"/>
    <w:rsid w:val="40BD5482"/>
    <w:rsid w:val="41171FD0"/>
    <w:rsid w:val="411B6CE5"/>
    <w:rsid w:val="412070D7"/>
    <w:rsid w:val="41314E40"/>
    <w:rsid w:val="4194717D"/>
    <w:rsid w:val="41E0734B"/>
    <w:rsid w:val="421762D8"/>
    <w:rsid w:val="426C1EA8"/>
    <w:rsid w:val="42736402"/>
    <w:rsid w:val="42E86A87"/>
    <w:rsid w:val="43154E74"/>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8FC5ACF"/>
    <w:rsid w:val="495C4A24"/>
    <w:rsid w:val="497135DF"/>
    <w:rsid w:val="4A263D7A"/>
    <w:rsid w:val="4A263DF2"/>
    <w:rsid w:val="4A2F278B"/>
    <w:rsid w:val="4A6F6675"/>
    <w:rsid w:val="4B135857"/>
    <w:rsid w:val="4B5856BF"/>
    <w:rsid w:val="4B7951CB"/>
    <w:rsid w:val="4B7C315C"/>
    <w:rsid w:val="4D1F53CA"/>
    <w:rsid w:val="4DAC4ACA"/>
    <w:rsid w:val="4DBE01D2"/>
    <w:rsid w:val="4DC66910"/>
    <w:rsid w:val="4EFD467F"/>
    <w:rsid w:val="4F0C6BA3"/>
    <w:rsid w:val="4F186D58"/>
    <w:rsid w:val="4FF5172F"/>
    <w:rsid w:val="504B6EAA"/>
    <w:rsid w:val="509727E6"/>
    <w:rsid w:val="50F06B6E"/>
    <w:rsid w:val="51716DAE"/>
    <w:rsid w:val="519B072B"/>
    <w:rsid w:val="51D21804"/>
    <w:rsid w:val="521C5BFD"/>
    <w:rsid w:val="52234D33"/>
    <w:rsid w:val="522F6E0C"/>
    <w:rsid w:val="52463BA1"/>
    <w:rsid w:val="52F163D4"/>
    <w:rsid w:val="531A2DB4"/>
    <w:rsid w:val="533B7DA0"/>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E464CD"/>
    <w:rsid w:val="56530F5D"/>
    <w:rsid w:val="567700D3"/>
    <w:rsid w:val="56FF7E9E"/>
    <w:rsid w:val="57136B04"/>
    <w:rsid w:val="572823EA"/>
    <w:rsid w:val="578867FC"/>
    <w:rsid w:val="5842572D"/>
    <w:rsid w:val="58704048"/>
    <w:rsid w:val="58C61EBA"/>
    <w:rsid w:val="591E5852"/>
    <w:rsid w:val="5A3B59D6"/>
    <w:rsid w:val="5AD134D8"/>
    <w:rsid w:val="5BF41F67"/>
    <w:rsid w:val="5C263CE4"/>
    <w:rsid w:val="5C5D2777"/>
    <w:rsid w:val="5CA249EC"/>
    <w:rsid w:val="5CF66BF3"/>
    <w:rsid w:val="5D0163F1"/>
    <w:rsid w:val="5D290C69"/>
    <w:rsid w:val="5DA80C2C"/>
    <w:rsid w:val="5F2D4A41"/>
    <w:rsid w:val="60C74F6C"/>
    <w:rsid w:val="61015958"/>
    <w:rsid w:val="61025A59"/>
    <w:rsid w:val="613D5BBC"/>
    <w:rsid w:val="61536C39"/>
    <w:rsid w:val="61A46B11"/>
    <w:rsid w:val="61BC20AC"/>
    <w:rsid w:val="61D92C5E"/>
    <w:rsid w:val="62944DD7"/>
    <w:rsid w:val="6319381F"/>
    <w:rsid w:val="63C25DC5"/>
    <w:rsid w:val="63C62057"/>
    <w:rsid w:val="64373C6C"/>
    <w:rsid w:val="64571EF5"/>
    <w:rsid w:val="64FB113D"/>
    <w:rsid w:val="656152C6"/>
    <w:rsid w:val="656366AF"/>
    <w:rsid w:val="6587477F"/>
    <w:rsid w:val="658C3A08"/>
    <w:rsid w:val="65C031CA"/>
    <w:rsid w:val="65CE0600"/>
    <w:rsid w:val="65CE6852"/>
    <w:rsid w:val="66134265"/>
    <w:rsid w:val="66267C04"/>
    <w:rsid w:val="663F505A"/>
    <w:rsid w:val="666C2D2F"/>
    <w:rsid w:val="66AF5D7C"/>
    <w:rsid w:val="66B72A3B"/>
    <w:rsid w:val="66EE5541"/>
    <w:rsid w:val="67924660"/>
    <w:rsid w:val="68407834"/>
    <w:rsid w:val="6883293E"/>
    <w:rsid w:val="688412AD"/>
    <w:rsid w:val="68EB1B71"/>
    <w:rsid w:val="696C0310"/>
    <w:rsid w:val="6985191D"/>
    <w:rsid w:val="6A6C7940"/>
    <w:rsid w:val="6A9F1565"/>
    <w:rsid w:val="6AAD2300"/>
    <w:rsid w:val="6B474EF5"/>
    <w:rsid w:val="6BC938E5"/>
    <w:rsid w:val="6BE734D8"/>
    <w:rsid w:val="6C0A5AC5"/>
    <w:rsid w:val="6C560CAE"/>
    <w:rsid w:val="6C576495"/>
    <w:rsid w:val="6C7A024B"/>
    <w:rsid w:val="6D090170"/>
    <w:rsid w:val="6D903FF5"/>
    <w:rsid w:val="6DA955B8"/>
    <w:rsid w:val="6DAE3BB3"/>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ED700C"/>
    <w:rsid w:val="781926BC"/>
    <w:rsid w:val="796D60A4"/>
    <w:rsid w:val="79A031D5"/>
    <w:rsid w:val="79B47FDF"/>
    <w:rsid w:val="79E569A9"/>
    <w:rsid w:val="7A1525F7"/>
    <w:rsid w:val="7B420052"/>
    <w:rsid w:val="7BD06A28"/>
    <w:rsid w:val="7C3A7C0B"/>
    <w:rsid w:val="7C5248E4"/>
    <w:rsid w:val="7C566698"/>
    <w:rsid w:val="7C5866A3"/>
    <w:rsid w:val="7C836D72"/>
    <w:rsid w:val="7D7406BB"/>
    <w:rsid w:val="7DE94331"/>
    <w:rsid w:val="7DFB55A6"/>
    <w:rsid w:val="7E3E40A0"/>
    <w:rsid w:val="7EA53F2D"/>
    <w:rsid w:val="7F446A19"/>
    <w:rsid w:val="7F7452B9"/>
    <w:rsid w:val="7F8A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4353</Words>
  <Characters>4912</Characters>
  <Lines>186</Lines>
  <Paragraphs>52</Paragraphs>
  <TotalTime>4</TotalTime>
  <ScaleCrop>false</ScaleCrop>
  <LinksUpToDate>false</LinksUpToDate>
  <CharactersWithSpaces>4972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