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659D1">
      <w:pPr>
        <w:pStyle w:val="6"/>
        <w:spacing w:before="0" w:beforeAutospacing="0" w:after="0" w:afterAutospacing="0" w:line="596" w:lineRule="exact"/>
        <w:jc w:val="center"/>
        <w:rPr>
          <w:rFonts w:hint="default" w:ascii="方正小标宋_GBK" w:hAnsi="方正小标宋_GBK" w:eastAsia="方正小标宋_GBK" w:cs="方正小标宋_GBK"/>
          <w:color w:val="auto"/>
          <w:sz w:val="44"/>
          <w:szCs w:val="44"/>
        </w:rPr>
      </w:pPr>
      <w:r>
        <w:rPr>
          <w:rFonts w:ascii="方正小标宋_GBK" w:hAnsi="方正小标宋_GBK" w:eastAsia="方正小标宋_GBK" w:cs="方正小标宋_GBK"/>
          <w:color w:val="auto"/>
          <w:sz w:val="44"/>
          <w:szCs w:val="44"/>
        </w:rPr>
        <w:t>重庆市渝中区红十字会</w:t>
      </w:r>
    </w:p>
    <w:p w14:paraId="3C983028">
      <w:pPr>
        <w:pStyle w:val="6"/>
        <w:spacing w:before="0" w:beforeAutospacing="0" w:after="0" w:afterAutospacing="0" w:line="596" w:lineRule="exact"/>
        <w:jc w:val="center"/>
        <w:rPr>
          <w:rFonts w:hint="default" w:ascii="方正小标宋_GBK" w:hAnsi="方正小标宋_GBK" w:eastAsia="方正小标宋_GBK" w:cs="方正小标宋_GBK"/>
          <w:color w:val="auto"/>
          <w:sz w:val="44"/>
          <w:szCs w:val="44"/>
          <w:shd w:val="clear" w:color="auto" w:fill="FFFFFF"/>
        </w:rPr>
      </w:pPr>
      <w:r>
        <w:rPr>
          <w:rFonts w:hint="default" w:ascii="Times New Roman" w:hAnsi="Times New Roman" w:eastAsia="方正小标宋_GBK"/>
          <w:color w:val="auto"/>
          <w:sz w:val="44"/>
          <w:szCs w:val="44"/>
          <w:shd w:val="clear" w:color="auto" w:fill="FFFFFF"/>
        </w:rPr>
        <w:t>2024</w:t>
      </w:r>
      <w:r>
        <w:rPr>
          <w:rFonts w:ascii="方正小标宋_GBK" w:hAnsi="方正小标宋_GBK" w:eastAsia="方正小标宋_GBK" w:cs="方正小标宋_GBK"/>
          <w:color w:val="auto"/>
          <w:sz w:val="44"/>
          <w:szCs w:val="44"/>
          <w:shd w:val="clear" w:color="auto" w:fill="FFFFFF"/>
        </w:rPr>
        <w:t>年度决算公开说明</w:t>
      </w:r>
    </w:p>
    <w:p w14:paraId="536B7D36">
      <w:pPr>
        <w:pStyle w:val="6"/>
        <w:shd w:val="clear" w:color="auto" w:fill="FFFFFF"/>
        <w:spacing w:before="0" w:beforeAutospacing="0" w:after="0" w:afterAutospacing="0" w:line="596" w:lineRule="exact"/>
        <w:ind w:firstLine="643" w:firstLineChars="200"/>
        <w:rPr>
          <w:rStyle w:val="10"/>
          <w:rFonts w:hint="default" w:ascii="黑体" w:hAnsi="黑体" w:eastAsia="黑体" w:cs="黑体"/>
          <w:color w:val="auto"/>
          <w:sz w:val="32"/>
          <w:szCs w:val="32"/>
          <w:shd w:val="clear" w:color="auto" w:fill="FFFFFF"/>
        </w:rPr>
      </w:pPr>
      <w:r>
        <w:rPr>
          <w:rStyle w:val="10"/>
          <w:rFonts w:ascii="黑体" w:hAnsi="黑体" w:eastAsia="黑体" w:cs="黑体"/>
          <w:color w:val="auto"/>
          <w:sz w:val="32"/>
          <w:szCs w:val="32"/>
          <w:shd w:val="clear" w:color="auto" w:fill="FFFFFF"/>
        </w:rPr>
        <w:t>一、单位基本情况</w:t>
      </w:r>
    </w:p>
    <w:p w14:paraId="1E73AED7">
      <w:pPr>
        <w:pStyle w:val="6"/>
        <w:shd w:val="clear" w:color="auto" w:fill="FFFFFF"/>
        <w:ind w:firstLine="420"/>
        <w:rPr>
          <w:rFonts w:hint="default" w:ascii="方正仿宋_GBK" w:hAnsi="方正仿宋_GBK" w:eastAsia="方正仿宋_GBK" w:cs="方正仿宋_GBK"/>
          <w:color w:val="auto"/>
          <w:sz w:val="32"/>
          <w:szCs w:val="32"/>
        </w:rPr>
      </w:pPr>
      <w:r>
        <w:rPr>
          <w:rStyle w:val="10"/>
          <w:rFonts w:ascii="楷体" w:hAnsi="楷体" w:eastAsia="楷体" w:cs="楷体"/>
          <w:color w:val="auto"/>
          <w:sz w:val="32"/>
          <w:szCs w:val="32"/>
          <w:shd w:val="clear" w:color="auto" w:fill="FFFFFF"/>
        </w:rPr>
        <w:t>（一）职能职责</w:t>
      </w:r>
    </w:p>
    <w:p w14:paraId="5D468014">
      <w:pPr>
        <w:pStyle w:val="6"/>
        <w:shd w:val="clear" w:color="auto" w:fill="FFFFFF"/>
        <w:ind w:firstLine="420"/>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渝中区红十字会为渝中区卫生健康委员会二级预算单位，主要职能是：（一）负责宣传、贯彻《中华人民共和国红十字会法》《中国红十字会章程》及相关法律法规，按照中国红十字会和市红十字会的要求，依法开展工作。（二）按照《中国红十字会章程》吸收会员，发展组员。（三）协助政府做好人道主义工作，开展抗灾救灾、抢险救助、扶危济困。组织社会捐助，呼吁和争取国际救援，监督和管理救援物资的使用。（四）普及卫生救护和防病知识开展群众性初级卫生救护培训，组织群众参加现场救护。（五）推动无偿献血，协助政府开展无偿献血的宣传、发动工作；开展骨髓、器官、遗体自愿捐献的动员、宣传组织和数据检索工作。（六）组织会员、志愿工作者开展社会服务活动；开展有益于青少年身心健康的红十字青少年活动。（七）在中国红十字会总会和市红十字会的指导下，参加国际和国内人道主义救援工作，开展国际交流与合作，办理国际查人转信事务。（八）负责宣传国际红十字和红新月运动的基本原则和日内瓦公约及其附加认定书。依照国际红十字和红新月运动的基本原则，完成人民政府委托事宜。（九）兴办符合红十字会宗旨的社会福利事业和经济实体。</w:t>
      </w:r>
    </w:p>
    <w:p w14:paraId="29C65207">
      <w:pPr>
        <w:pStyle w:val="6"/>
        <w:shd w:val="clear" w:color="auto" w:fill="FFFFFF"/>
        <w:ind w:firstLine="420"/>
        <w:rPr>
          <w:rFonts w:hint="default" w:ascii="楷体" w:hAnsi="楷体" w:eastAsia="楷体" w:cs="楷体"/>
          <w:color w:val="auto"/>
          <w:sz w:val="32"/>
          <w:szCs w:val="32"/>
        </w:rPr>
      </w:pPr>
      <w:r>
        <w:rPr>
          <w:rStyle w:val="10"/>
          <w:rFonts w:ascii="楷体" w:hAnsi="楷体" w:eastAsia="楷体" w:cs="楷体"/>
          <w:color w:val="auto"/>
          <w:sz w:val="32"/>
          <w:szCs w:val="32"/>
          <w:shd w:val="clear" w:color="auto" w:fill="FFFFFF"/>
        </w:rPr>
        <w:t>（二）机构设置</w:t>
      </w:r>
    </w:p>
    <w:p w14:paraId="0D4584E1">
      <w:pPr>
        <w:pStyle w:val="6"/>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渝中区红十字会未设置内设机构</w:t>
      </w:r>
    </w:p>
    <w:p w14:paraId="255F1545">
      <w:pPr>
        <w:pStyle w:val="6"/>
        <w:shd w:val="clear" w:color="auto" w:fill="FFFFFF"/>
        <w:spacing w:before="0" w:beforeAutospacing="0" w:after="0" w:afterAutospacing="0" w:line="596" w:lineRule="exact"/>
        <w:ind w:firstLine="643" w:firstLineChars="200"/>
        <w:rPr>
          <w:rStyle w:val="10"/>
          <w:rFonts w:hint="default" w:ascii="黑体" w:hAnsi="黑体" w:eastAsia="黑体" w:cs="黑体"/>
          <w:color w:val="auto"/>
          <w:sz w:val="32"/>
          <w:szCs w:val="32"/>
          <w:shd w:val="clear" w:color="auto" w:fill="FFFFFF"/>
        </w:rPr>
      </w:pPr>
      <w:r>
        <w:rPr>
          <w:rStyle w:val="10"/>
          <w:rFonts w:ascii="黑体" w:hAnsi="黑体" w:eastAsia="黑体" w:cs="黑体"/>
          <w:color w:val="auto"/>
          <w:sz w:val="32"/>
          <w:szCs w:val="32"/>
          <w:shd w:val="clear" w:color="auto" w:fill="FFFFFF"/>
        </w:rPr>
        <w:t>二、单位决算收支情况说明</w:t>
      </w:r>
    </w:p>
    <w:p w14:paraId="211D683E">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14:paraId="77C9718F">
      <w:pPr>
        <w:pStyle w:val="6"/>
        <w:shd w:val="clear" w:color="auto" w:fill="FFFFFF"/>
        <w:ind w:firstLine="643" w:firstLineChars="200"/>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1.总体情况。</w:t>
      </w:r>
      <w:r>
        <w:rPr>
          <w:rFonts w:ascii="方正仿宋_GBK" w:hAnsi="方正仿宋_GBK" w:eastAsia="方正仿宋_GBK" w:cs="方正仿宋_GBK"/>
          <w:color w:val="auto"/>
          <w:sz w:val="32"/>
          <w:szCs w:val="32"/>
          <w:shd w:val="clear" w:color="auto" w:fill="FFFFFF"/>
        </w:rPr>
        <w:t>2024年度收入总计111.70万元，支出总计</w:t>
      </w:r>
      <w:r>
        <w:rPr>
          <w:rFonts w:ascii="方正仿宋_GBK" w:hAnsi="方正仿宋_GBK" w:eastAsia="方正仿宋_GBK" w:cs="方正仿宋_GBK"/>
          <w:color w:val="auto"/>
          <w:sz w:val="32"/>
          <w:szCs w:val="32"/>
        </w:rPr>
        <w:t>111.70</w:t>
      </w:r>
      <w:r>
        <w:rPr>
          <w:rFonts w:ascii="方正仿宋_GBK" w:hAnsi="方正仿宋_GBK" w:eastAsia="方正仿宋_GBK" w:cs="方正仿宋_GBK"/>
          <w:color w:val="auto"/>
          <w:sz w:val="32"/>
          <w:szCs w:val="32"/>
          <w:shd w:val="clear" w:color="auto" w:fill="FFFFFF"/>
        </w:rPr>
        <w:t>万元。收、支与2023年度相比，减少3.15万元，下降2.7%，主要原因是厉行节约。</w:t>
      </w:r>
    </w:p>
    <w:p w14:paraId="2EAB44B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10"/>
          <w:rFonts w:ascii="方正仿宋_GBK" w:hAnsi="方正仿宋_GBK" w:eastAsia="方正仿宋_GBK" w:cs="方正仿宋_GBK"/>
          <w:color w:val="auto"/>
          <w:sz w:val="32"/>
          <w:szCs w:val="32"/>
          <w:shd w:val="clear" w:color="auto" w:fill="FFFFFF"/>
        </w:rPr>
        <w:t>2.收入情况。</w:t>
      </w:r>
      <w:r>
        <w:rPr>
          <w:rFonts w:ascii="方正仿宋_GBK" w:hAnsi="方正仿宋_GBK" w:eastAsia="方正仿宋_GBK" w:cs="方正仿宋_GBK"/>
          <w:color w:val="auto"/>
          <w:sz w:val="32"/>
          <w:szCs w:val="32"/>
          <w:shd w:val="clear" w:color="auto" w:fill="FFFFFF"/>
        </w:rPr>
        <w:t>2024年度收入合计111.70万元，与2023年度相比，增加0.62万元，增长0.6%，主要原因是政策性调标。其中：财政拨款收入</w:t>
      </w:r>
      <w:r>
        <w:rPr>
          <w:rFonts w:ascii="方正仿宋_GBK" w:hAnsi="方正仿宋_GBK" w:eastAsia="方正仿宋_GBK" w:cs="方正仿宋_GBK"/>
          <w:color w:val="auto"/>
          <w:sz w:val="32"/>
          <w:szCs w:val="32"/>
        </w:rPr>
        <w:t>111.70</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%；事业收入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万元，占0.00%；经营收入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万元，占0.00%；其他收入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万元，占0.00%。此外，使用非财政拨款结余和专用结余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万元，年初结转和结余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14:paraId="06EBE3E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10"/>
          <w:rFonts w:ascii="方正仿宋_GBK" w:hAnsi="方正仿宋_GBK" w:eastAsia="方正仿宋_GBK" w:cs="方正仿宋_GBK"/>
          <w:color w:val="auto"/>
          <w:sz w:val="32"/>
          <w:szCs w:val="32"/>
          <w:shd w:val="clear" w:color="auto" w:fill="FFFFFF"/>
        </w:rPr>
        <w:t>3.支出情况。</w:t>
      </w:r>
      <w:r>
        <w:rPr>
          <w:rFonts w:ascii="方正仿宋_GBK" w:hAnsi="方正仿宋_GBK" w:eastAsia="方正仿宋_GBK" w:cs="方正仿宋_GBK"/>
          <w:color w:val="auto"/>
          <w:sz w:val="32"/>
          <w:szCs w:val="32"/>
          <w:shd w:val="clear" w:color="auto" w:fill="FFFFFF"/>
        </w:rPr>
        <w:t>2024年度支出合计</w:t>
      </w:r>
      <w:r>
        <w:rPr>
          <w:rFonts w:ascii="方正仿宋_GBK" w:hAnsi="方正仿宋_GBK" w:eastAsia="方正仿宋_GBK" w:cs="方正仿宋_GBK"/>
          <w:color w:val="auto"/>
          <w:sz w:val="32"/>
          <w:szCs w:val="32"/>
        </w:rPr>
        <w:t>111.70</w:t>
      </w:r>
      <w:r>
        <w:rPr>
          <w:rFonts w:ascii="方正仿宋_GBK" w:hAnsi="方正仿宋_GBK" w:eastAsia="方正仿宋_GBK" w:cs="方正仿宋_GBK"/>
          <w:color w:val="auto"/>
          <w:sz w:val="32"/>
          <w:szCs w:val="32"/>
          <w:shd w:val="clear" w:color="auto" w:fill="FFFFFF"/>
        </w:rPr>
        <w:t>万元，与2023年度相比，减少3.15万元，下降2.7%，主要原因是厉行节约。其中：基本支出</w:t>
      </w:r>
      <w:r>
        <w:rPr>
          <w:rFonts w:ascii="方正仿宋_GBK" w:hAnsi="方正仿宋_GBK" w:eastAsia="方正仿宋_GBK" w:cs="方正仿宋_GBK"/>
          <w:color w:val="auto"/>
          <w:sz w:val="32"/>
          <w:szCs w:val="32"/>
        </w:rPr>
        <w:t>99.96</w:t>
      </w:r>
      <w:r>
        <w:rPr>
          <w:rFonts w:ascii="方正仿宋_GBK" w:hAnsi="方正仿宋_GBK" w:eastAsia="方正仿宋_GBK" w:cs="方正仿宋_GBK"/>
          <w:color w:val="auto"/>
          <w:sz w:val="32"/>
          <w:szCs w:val="32"/>
          <w:shd w:val="clear" w:color="auto" w:fill="FFFFFF"/>
        </w:rPr>
        <w:t>万元，占89.49%；项目支出</w:t>
      </w:r>
      <w:r>
        <w:rPr>
          <w:rFonts w:ascii="方正仿宋_GBK" w:hAnsi="方正仿宋_GBK" w:eastAsia="方正仿宋_GBK" w:cs="方正仿宋_GBK"/>
          <w:color w:val="auto"/>
          <w:sz w:val="32"/>
          <w:szCs w:val="32"/>
        </w:rPr>
        <w:t>11.74</w:t>
      </w:r>
      <w:r>
        <w:rPr>
          <w:rFonts w:ascii="方正仿宋_GBK" w:hAnsi="方正仿宋_GBK" w:eastAsia="方正仿宋_GBK" w:cs="方正仿宋_GBK"/>
          <w:color w:val="auto"/>
          <w:sz w:val="32"/>
          <w:szCs w:val="32"/>
          <w:shd w:val="clear" w:color="auto" w:fill="FFFFFF"/>
        </w:rPr>
        <w:t>万元，占10.51%；经营支出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万元，占0.00%。此外，结余分配</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14:paraId="0891702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4.结转结余情况。</w:t>
      </w:r>
      <w:r>
        <w:rPr>
          <w:rFonts w:ascii="方正仿宋_GBK" w:hAnsi="方正仿宋_GBK" w:eastAsia="方正仿宋_GBK" w:cs="方正仿宋_GBK"/>
          <w:color w:val="auto"/>
          <w:sz w:val="32"/>
          <w:szCs w:val="32"/>
          <w:shd w:val="clear" w:color="auto" w:fill="FFFFFF"/>
        </w:rPr>
        <w:t>2024年度年末结转和结余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万元，与2023年度持平</w:t>
      </w:r>
      <w:r>
        <w:rPr>
          <w:rFonts w:hint="default" w:ascii="方正仿宋_GBK" w:hAnsi="方正仿宋_GBK" w:eastAsia="方正仿宋_GBK" w:cs="方正仿宋_GBK"/>
          <w:color w:val="auto"/>
          <w:sz w:val="32"/>
          <w:szCs w:val="32"/>
          <w:shd w:val="clear" w:color="auto" w:fill="FFFFFF"/>
        </w:rPr>
        <w:t>。</w:t>
      </w:r>
      <w:r>
        <w:rPr>
          <w:rFonts w:hint="default" w:ascii="方正仿宋_GBK" w:hAnsi="方正仿宋_GBK" w:eastAsia="方正仿宋_GBK" w:cs="方正仿宋_GBK"/>
          <w:color w:val="auto"/>
          <w:sz w:val="32"/>
          <w:szCs w:val="32"/>
        </w:rPr>
        <w:t xml:space="preserve"> </w:t>
      </w:r>
    </w:p>
    <w:p w14:paraId="1E03CBBE">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14:paraId="56F670D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2024年度财政拨款收、支总计111.70万元。与2023年相比，财政拨款收、支总计各减少3.15万元，下降2.7%。主要原因是厉行节约。</w:t>
      </w:r>
    </w:p>
    <w:p w14:paraId="13CA75E8">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14:paraId="7BC61D9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1.收入情况。</w:t>
      </w:r>
      <w:r>
        <w:rPr>
          <w:rFonts w:ascii="方正仿宋_GBK" w:hAnsi="方正仿宋_GBK" w:eastAsia="方正仿宋_GBK" w:cs="方正仿宋_GBK"/>
          <w:color w:val="auto"/>
          <w:sz w:val="32"/>
          <w:szCs w:val="32"/>
          <w:shd w:val="clear" w:color="auto" w:fill="FFFFFF"/>
        </w:rPr>
        <w:t>2024年度一般公共预算财政拨款收入</w:t>
      </w:r>
      <w:r>
        <w:rPr>
          <w:rFonts w:ascii="方正仿宋_GBK" w:hAnsi="方正仿宋_GBK" w:eastAsia="方正仿宋_GBK" w:cs="方正仿宋_GBK"/>
          <w:color w:val="auto"/>
          <w:sz w:val="32"/>
          <w:szCs w:val="32"/>
        </w:rPr>
        <w:t>111.70</w:t>
      </w:r>
      <w:r>
        <w:rPr>
          <w:rFonts w:ascii="方正仿宋_GBK" w:hAnsi="方正仿宋_GBK" w:eastAsia="方正仿宋_GBK" w:cs="方正仿宋_GBK"/>
          <w:color w:val="auto"/>
          <w:sz w:val="32"/>
          <w:szCs w:val="32"/>
          <w:shd w:val="clear" w:color="auto" w:fill="FFFFFF"/>
        </w:rPr>
        <w:t>万元，与2023年度相比，增加0.62万元，增长0.6%。主要原因是政策性调标。较年初预算数增加2.01万元，增长1.8%。主要原因是政策性调标。此外，年初财政拨款结转和结余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14:paraId="460C95C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2.支出情况。</w:t>
      </w:r>
      <w:r>
        <w:rPr>
          <w:rFonts w:ascii="方正仿宋_GBK" w:hAnsi="方正仿宋_GBK" w:eastAsia="方正仿宋_GBK" w:cs="方正仿宋_GBK"/>
          <w:color w:val="auto"/>
          <w:sz w:val="32"/>
          <w:szCs w:val="32"/>
          <w:shd w:val="clear" w:color="auto" w:fill="FFFFFF"/>
        </w:rPr>
        <w:t>2024年度一般公共预算财政拨款支出</w:t>
      </w:r>
      <w:r>
        <w:rPr>
          <w:rFonts w:ascii="方正仿宋_GBK" w:hAnsi="方正仿宋_GBK" w:eastAsia="方正仿宋_GBK" w:cs="方正仿宋_GBK"/>
          <w:color w:val="auto"/>
          <w:sz w:val="32"/>
          <w:szCs w:val="32"/>
        </w:rPr>
        <w:t>111.70</w:t>
      </w:r>
      <w:r>
        <w:rPr>
          <w:rFonts w:ascii="方正仿宋_GBK" w:hAnsi="方正仿宋_GBK" w:eastAsia="方正仿宋_GBK" w:cs="方正仿宋_GBK"/>
          <w:color w:val="auto"/>
          <w:sz w:val="32"/>
          <w:szCs w:val="32"/>
          <w:shd w:val="clear" w:color="auto" w:fill="FFFFFF"/>
        </w:rPr>
        <w:t>万元，与2023年度相比，减少3.15万元，下降2.7%。主要原因是厉行节约。较年初预算数增加2.01万元，增长1.8%。主要原因是政策性调标。</w:t>
      </w:r>
    </w:p>
    <w:p w14:paraId="73665D9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3.结转结余情况。</w:t>
      </w:r>
      <w:r>
        <w:rPr>
          <w:rFonts w:ascii="方正仿宋_GBK" w:hAnsi="方正仿宋_GBK" w:eastAsia="方正仿宋_GBK" w:cs="方正仿宋_GBK"/>
          <w:color w:val="auto"/>
          <w:sz w:val="32"/>
          <w:szCs w:val="32"/>
          <w:shd w:val="clear" w:color="auto" w:fill="FFFFFF"/>
        </w:rPr>
        <w:t>2024年度年末一般公共预算财政拨款结转和结余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万元，与2023年度持平。</w:t>
      </w:r>
    </w:p>
    <w:p w14:paraId="66D32F6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highlight w:val="cyan"/>
          <w:shd w:val="clear" w:color="auto" w:fill="FFFFFF"/>
        </w:rPr>
      </w:pPr>
      <w:r>
        <w:rPr>
          <w:rStyle w:val="10"/>
          <w:rFonts w:ascii="方正仿宋_GBK" w:hAnsi="方正仿宋_GBK" w:eastAsia="方正仿宋_GBK" w:cs="方正仿宋_GBK"/>
          <w:color w:val="auto"/>
          <w:sz w:val="32"/>
          <w:szCs w:val="32"/>
          <w:shd w:val="clear" w:color="auto" w:fill="FFFFFF"/>
        </w:rPr>
        <w:t xml:space="preserve"> 4.比较情况。</w:t>
      </w:r>
      <w:r>
        <w:rPr>
          <w:rFonts w:ascii="方正仿宋_GBK" w:hAnsi="方正仿宋_GBK" w:eastAsia="方正仿宋_GBK" w:cs="方正仿宋_GBK"/>
          <w:color w:val="auto"/>
          <w:sz w:val="32"/>
          <w:szCs w:val="32"/>
          <w:shd w:val="clear" w:color="auto" w:fill="FFFFFF"/>
        </w:rPr>
        <w:t>本单位2024年度一般公共预算财政拨款支出主要用于以下几个方面：</w:t>
      </w:r>
    </w:p>
    <w:p w14:paraId="2C1411F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default" w:ascii="方正仿宋_GBK" w:hAnsi="方正仿宋_GBK" w:eastAsia="方正仿宋_GBK" w:cs="方正仿宋_GBK"/>
          <w:color w:val="auto"/>
          <w:sz w:val="32"/>
          <w:szCs w:val="32"/>
          <w:shd w:val="clear" w:color="auto" w:fill="FFFFFF"/>
        </w:rPr>
        <w:t>1</w:t>
      </w:r>
      <w:r>
        <w:rPr>
          <w:rFonts w:ascii="方正仿宋_GBK" w:hAnsi="方正仿宋_GBK" w:eastAsia="方正仿宋_GBK" w:cs="方正仿宋_GBK"/>
          <w:color w:val="auto"/>
          <w:sz w:val="32"/>
          <w:szCs w:val="32"/>
          <w:shd w:val="clear" w:color="auto" w:fill="FFFFFF"/>
        </w:rPr>
        <w:t>）社会保障与就业支出</w:t>
      </w:r>
      <w:r>
        <w:rPr>
          <w:rFonts w:ascii="方正仿宋_GBK" w:hAnsi="方正仿宋_GBK" w:eastAsia="方正仿宋_GBK" w:cs="方正仿宋_GBK"/>
          <w:color w:val="auto"/>
          <w:sz w:val="32"/>
          <w:szCs w:val="32"/>
        </w:rPr>
        <w:t>13.89</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12.44</w:t>
      </w:r>
      <w:r>
        <w:rPr>
          <w:rFonts w:ascii="方正仿宋_GBK" w:hAnsi="方正仿宋_GBK" w:eastAsia="方正仿宋_GBK" w:cs="方正仿宋_GBK"/>
          <w:color w:val="auto"/>
          <w:sz w:val="32"/>
          <w:szCs w:val="32"/>
          <w:shd w:val="clear" w:color="auto" w:fill="FFFFFF"/>
        </w:rPr>
        <w:t>%，较年初预算数增加0.09万元，增长0.7%，主要原因是政策性调标。</w:t>
      </w:r>
    </w:p>
    <w:p w14:paraId="79FEDD4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default" w:ascii="方正仿宋_GBK" w:hAnsi="方正仿宋_GBK" w:eastAsia="方正仿宋_GBK" w:cs="方正仿宋_GBK"/>
          <w:color w:val="auto"/>
          <w:sz w:val="32"/>
          <w:szCs w:val="32"/>
          <w:shd w:val="clear" w:color="auto" w:fill="FFFFFF"/>
        </w:rPr>
        <w:t>2</w:t>
      </w:r>
      <w:r>
        <w:rPr>
          <w:rFonts w:ascii="方正仿宋_GBK" w:hAnsi="方正仿宋_GBK" w:eastAsia="方正仿宋_GBK" w:cs="方正仿宋_GBK"/>
          <w:color w:val="auto"/>
          <w:sz w:val="32"/>
          <w:szCs w:val="32"/>
          <w:shd w:val="clear" w:color="auto" w:fill="FFFFFF"/>
        </w:rPr>
        <w:t>）卫生健康支出</w:t>
      </w:r>
      <w:r>
        <w:rPr>
          <w:rFonts w:ascii="方正仿宋_GBK" w:hAnsi="方正仿宋_GBK" w:eastAsia="方正仿宋_GBK" w:cs="方正仿宋_GBK"/>
          <w:color w:val="auto"/>
          <w:sz w:val="32"/>
          <w:szCs w:val="32"/>
        </w:rPr>
        <w:t>90.81</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81.30</w:t>
      </w:r>
      <w:r>
        <w:rPr>
          <w:rFonts w:ascii="方正仿宋_GBK" w:hAnsi="方正仿宋_GBK" w:eastAsia="方正仿宋_GBK" w:cs="方正仿宋_GBK"/>
          <w:color w:val="auto"/>
          <w:sz w:val="32"/>
          <w:szCs w:val="32"/>
          <w:shd w:val="clear" w:color="auto" w:fill="FFFFFF"/>
        </w:rPr>
        <w:t>%，较年初预算数增加1.36万元，增长1.5%，主要原因是政策性调标。</w:t>
      </w:r>
    </w:p>
    <w:p w14:paraId="50EB9B3B">
      <w:pPr>
        <w:ind w:firstLine="640" w:firstLineChars="200"/>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（19）</w:t>
      </w:r>
      <w:r>
        <w:rPr>
          <w:rFonts w:ascii="方正仿宋_GBK" w:hAnsi="方正仿宋_GBK" w:eastAsia="方正仿宋_GBK" w:cs="方正仿宋_GBK"/>
          <w:color w:val="auto"/>
          <w:sz w:val="32"/>
          <w:szCs w:val="32"/>
        </w:rPr>
        <w:t>住房保障支出7.00</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6.27</w:t>
      </w:r>
      <w:r>
        <w:rPr>
          <w:rFonts w:ascii="方正仿宋_GBK" w:hAnsi="方正仿宋_GBK" w:eastAsia="方正仿宋_GBK" w:cs="方正仿宋_GBK"/>
          <w:color w:val="auto"/>
          <w:sz w:val="32"/>
          <w:szCs w:val="32"/>
          <w:shd w:val="clear" w:color="auto" w:fill="FFFFFF"/>
        </w:rPr>
        <w:t>%，较年初预算数增加0.56万元，增长8.7%，主要原因是政策性调标。</w:t>
      </w:r>
    </w:p>
    <w:p w14:paraId="6FD98449">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14:paraId="6DD57C0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2024年度一般公共财政拨款基本支出</w:t>
      </w:r>
      <w:r>
        <w:rPr>
          <w:rFonts w:ascii="方正仿宋_GBK" w:hAnsi="方正仿宋_GBK" w:eastAsia="方正仿宋_GBK" w:cs="方正仿宋_GBK"/>
          <w:color w:val="auto"/>
          <w:sz w:val="32"/>
          <w:szCs w:val="32"/>
        </w:rPr>
        <w:t>99.96</w:t>
      </w:r>
      <w:r>
        <w:rPr>
          <w:rFonts w:ascii="方正仿宋_GBK" w:hAnsi="方正仿宋_GBK" w:eastAsia="方正仿宋_GBK" w:cs="方正仿宋_GBK"/>
          <w:color w:val="auto"/>
          <w:sz w:val="32"/>
          <w:szCs w:val="32"/>
          <w:shd w:val="clear" w:color="auto" w:fill="FFFFFF"/>
        </w:rPr>
        <w:t>万元。其中：人员经费</w:t>
      </w:r>
      <w:r>
        <w:rPr>
          <w:rFonts w:ascii="方正仿宋_GBK" w:hAnsi="方正仿宋_GBK" w:eastAsia="方正仿宋_GBK" w:cs="方正仿宋_GBK"/>
          <w:color w:val="auto"/>
          <w:sz w:val="32"/>
          <w:szCs w:val="32"/>
        </w:rPr>
        <w:t>83.61</w:t>
      </w:r>
      <w:r>
        <w:rPr>
          <w:rFonts w:ascii="方正仿宋_GBK" w:hAnsi="方正仿宋_GBK" w:eastAsia="方正仿宋_GBK" w:cs="方正仿宋_GBK"/>
          <w:color w:val="auto"/>
          <w:sz w:val="32"/>
          <w:szCs w:val="32"/>
          <w:shd w:val="clear" w:color="auto" w:fill="FFFFFF"/>
        </w:rPr>
        <w:t>万元，与2023年度相比，增加0.54万元，增长0.7%，主要原因是政策性调标。人员经费用途主要包括基本工资、津贴补贴、奖金、社会保障缴费。公用经费</w:t>
      </w:r>
      <w:r>
        <w:rPr>
          <w:rFonts w:ascii="方正仿宋_GBK" w:hAnsi="方正仿宋_GBK" w:eastAsia="方正仿宋_GBK" w:cs="方正仿宋_GBK"/>
          <w:color w:val="auto"/>
          <w:sz w:val="32"/>
          <w:szCs w:val="32"/>
        </w:rPr>
        <w:t>16.35</w:t>
      </w:r>
      <w:r>
        <w:rPr>
          <w:rFonts w:ascii="方正仿宋_GBK" w:hAnsi="方正仿宋_GBK" w:eastAsia="方正仿宋_GBK" w:cs="方正仿宋_GBK"/>
          <w:color w:val="auto"/>
          <w:sz w:val="32"/>
          <w:szCs w:val="32"/>
          <w:shd w:val="clear" w:color="auto" w:fill="FFFFFF"/>
        </w:rPr>
        <w:t>万元，与2023年度相比，减少2.43万元，下降12.9%，主要原因是厉行节约。公用经费用途主要包括办公费、印刷费、咨询费、手续费、劳务费、差旅费、其他交通费用等。</w:t>
      </w:r>
    </w:p>
    <w:p w14:paraId="7B9893DE">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（五）政府性基金预算收支决算情况说明</w:t>
      </w:r>
    </w:p>
    <w:p w14:paraId="376FD6C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本</w:t>
      </w:r>
      <w:r>
        <w:rPr>
          <w:rFonts w:hint="default" w:ascii="方正仿宋_GBK" w:hAnsi="方正仿宋_GBK" w:eastAsia="方正仿宋_GBK" w:cs="方正仿宋_GBK"/>
          <w:color w:val="auto"/>
          <w:sz w:val="32"/>
          <w:szCs w:val="32"/>
          <w:shd w:val="clear" w:color="auto" w:fill="FFFFFF"/>
        </w:rPr>
        <w:t>单位</w:t>
      </w:r>
      <w:r>
        <w:rPr>
          <w:rFonts w:ascii="方正仿宋_GBK" w:hAnsi="方正仿宋_GBK" w:eastAsia="方正仿宋_GBK" w:cs="方正仿宋_GBK"/>
          <w:color w:val="auto"/>
          <w:sz w:val="32"/>
          <w:szCs w:val="32"/>
          <w:shd w:val="clear" w:color="auto" w:fill="FFFFFF"/>
        </w:rPr>
        <w:t>2024年度</w:t>
      </w:r>
      <w:r>
        <w:rPr>
          <w:rFonts w:hint="default" w:ascii="方正仿宋_GBK" w:hAnsi="方正仿宋_GBK" w:eastAsia="方正仿宋_GBK" w:cs="方正仿宋_GBK"/>
          <w:color w:val="auto"/>
          <w:sz w:val="32"/>
          <w:szCs w:val="32"/>
          <w:shd w:val="clear" w:color="auto" w:fill="FFFFFF"/>
        </w:rPr>
        <w:t>无政府性基金预算</w:t>
      </w:r>
      <w:r>
        <w:rPr>
          <w:rFonts w:ascii="方正仿宋_GBK" w:hAnsi="方正仿宋_GBK" w:eastAsia="方正仿宋_GBK" w:cs="方正仿宋_GBK"/>
          <w:color w:val="auto"/>
          <w:sz w:val="32"/>
          <w:szCs w:val="32"/>
          <w:shd w:val="clear" w:color="auto" w:fill="FFFFFF"/>
        </w:rPr>
        <w:t>财政</w:t>
      </w:r>
      <w:r>
        <w:rPr>
          <w:rFonts w:hint="default" w:ascii="方正仿宋_GBK" w:hAnsi="方正仿宋_GBK" w:eastAsia="方正仿宋_GBK" w:cs="方正仿宋_GBK"/>
          <w:color w:val="auto"/>
          <w:sz w:val="32"/>
          <w:szCs w:val="32"/>
          <w:shd w:val="clear" w:color="auto" w:fill="FFFFFF"/>
        </w:rPr>
        <w:t>拨款收支。</w:t>
      </w:r>
    </w:p>
    <w:p w14:paraId="033A19BE">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（六）国有资本经营预算财政拨款支出决算情况说明</w:t>
      </w:r>
    </w:p>
    <w:p w14:paraId="436B9D1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本单位2024年度</w:t>
      </w:r>
      <w:r>
        <w:rPr>
          <w:rFonts w:hint="default" w:ascii="方正仿宋_GBK" w:hAnsi="方正仿宋_GBK" w:eastAsia="方正仿宋_GBK" w:cs="方正仿宋_GBK"/>
          <w:color w:val="auto"/>
          <w:sz w:val="32"/>
          <w:szCs w:val="32"/>
          <w:shd w:val="clear" w:color="auto" w:fill="FFFFFF"/>
        </w:rPr>
        <w:t>无国有资本经营预算财政拨款支出。</w:t>
      </w:r>
    </w:p>
    <w:p w14:paraId="685CF8EF">
      <w:pPr>
        <w:pStyle w:val="6"/>
        <w:shd w:val="clear" w:color="auto" w:fill="FFFFFF"/>
        <w:spacing w:before="0" w:beforeAutospacing="0" w:after="0" w:afterAutospacing="0" w:line="596" w:lineRule="exact"/>
        <w:ind w:firstLine="643" w:firstLineChars="200"/>
        <w:rPr>
          <w:rStyle w:val="10"/>
          <w:rFonts w:hint="default" w:ascii="黑体" w:hAnsi="黑体" w:eastAsia="黑体" w:cs="黑体"/>
          <w:color w:val="auto"/>
          <w:sz w:val="32"/>
          <w:szCs w:val="32"/>
          <w:shd w:val="clear" w:color="auto" w:fill="FFFFFF"/>
        </w:rPr>
      </w:pPr>
      <w:r>
        <w:rPr>
          <w:rStyle w:val="10"/>
          <w:rFonts w:ascii="黑体" w:hAnsi="黑体" w:eastAsia="黑体" w:cs="黑体"/>
          <w:color w:val="auto"/>
          <w:sz w:val="32"/>
          <w:szCs w:val="32"/>
          <w:shd w:val="clear" w:color="auto" w:fill="FFFFFF"/>
        </w:rPr>
        <w:t>三、财政拨款“三公”经费情况说明</w:t>
      </w:r>
    </w:p>
    <w:p w14:paraId="645A2624">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（一）“三公”经费支出总体情况说明</w:t>
      </w:r>
    </w:p>
    <w:p w14:paraId="6E2F161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2024年度“三公”经费支出共计</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万元，较年初预算数无增减，主要原因是本单位</w:t>
      </w:r>
      <w:r>
        <w:rPr>
          <w:rFonts w:hint="default" w:ascii="方正仿宋_GBK" w:hAnsi="方正仿宋_GBK" w:eastAsia="方正仿宋_GBK" w:cs="方正仿宋_GBK"/>
          <w:color w:val="auto"/>
          <w:sz w:val="32"/>
          <w:szCs w:val="32"/>
          <w:shd w:val="clear" w:color="auto" w:fill="FFFFFF"/>
        </w:rPr>
        <w:t>2024年未发生“三公”经费。较上年支出数无增减，主要原因是本</w:t>
      </w:r>
      <w:r>
        <w:rPr>
          <w:rFonts w:ascii="方正仿宋_GBK" w:hAnsi="方正仿宋_GBK" w:eastAsia="方正仿宋_GBK" w:cs="方正仿宋_GBK"/>
          <w:color w:val="auto"/>
          <w:sz w:val="32"/>
          <w:szCs w:val="32"/>
          <w:shd w:val="clear" w:color="auto" w:fill="FFFFFF"/>
        </w:rPr>
        <w:t>单位</w:t>
      </w:r>
      <w:r>
        <w:rPr>
          <w:rFonts w:hint="default" w:ascii="方正仿宋_GBK" w:hAnsi="方正仿宋_GBK" w:eastAsia="方正仿宋_GBK" w:cs="方正仿宋_GBK"/>
          <w:color w:val="auto"/>
          <w:sz w:val="32"/>
          <w:szCs w:val="32"/>
          <w:shd w:val="clear" w:color="auto" w:fill="FFFFFF"/>
        </w:rPr>
        <w:t>2024年未发生“三公”经费。</w:t>
      </w:r>
    </w:p>
    <w:p w14:paraId="29556536">
      <w:pPr>
        <w:pStyle w:val="6"/>
        <w:snapToGrid w:val="0"/>
        <w:spacing w:before="0" w:beforeAutospacing="0" w:after="0" w:afterAutospacing="0" w:line="600" w:lineRule="exact"/>
        <w:ind w:firstLine="643" w:firstLineChars="200"/>
        <w:jc w:val="both"/>
        <w:rPr>
          <w:rFonts w:ascii="楷体" w:hAnsi="楷体" w:eastAsia="楷体" w:cs="楷体"/>
          <w:b/>
          <w:bCs/>
          <w:color w:val="auto"/>
          <w:sz w:val="32"/>
          <w:szCs w:val="32"/>
          <w:shd w:val="clear" w:color="auto" w:fill="FFFFFF"/>
        </w:rPr>
      </w:pPr>
      <w:r>
        <w:rPr>
          <w:rFonts w:ascii="楷体" w:hAnsi="楷体" w:eastAsia="楷体" w:cs="楷体"/>
          <w:b/>
          <w:bCs/>
          <w:color w:val="auto"/>
          <w:sz w:val="32"/>
          <w:szCs w:val="32"/>
          <w:shd w:val="clear" w:color="auto" w:fill="FFFFFF"/>
        </w:rPr>
        <w:t>（二）“三公”经费分项支出情况</w:t>
      </w:r>
    </w:p>
    <w:p w14:paraId="41A6F22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2024年度本单位因公出国（境）费用</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万元，较上年支出数无增减，主要原因是本单位</w:t>
      </w:r>
      <w:r>
        <w:rPr>
          <w:rFonts w:hint="default" w:ascii="方正仿宋_GBK" w:hAnsi="方正仿宋_GBK" w:eastAsia="方正仿宋_GBK" w:cs="方正仿宋_GBK"/>
          <w:color w:val="auto"/>
          <w:sz w:val="32"/>
          <w:szCs w:val="32"/>
          <w:shd w:val="clear" w:color="auto" w:fill="FFFFFF"/>
        </w:rPr>
        <w:t>2024年未发生因公出国（境）费用。</w:t>
      </w:r>
    </w:p>
    <w:p w14:paraId="4664B84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公务车购置费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万元，较上年支出数无增减，主要原因是本单位</w:t>
      </w:r>
      <w:r>
        <w:rPr>
          <w:rFonts w:hint="default" w:ascii="方正仿宋_GBK" w:hAnsi="方正仿宋_GBK" w:eastAsia="方正仿宋_GBK" w:cs="方正仿宋_GBK"/>
          <w:color w:val="auto"/>
          <w:sz w:val="32"/>
          <w:szCs w:val="32"/>
          <w:shd w:val="clear" w:color="auto" w:fill="FFFFFF"/>
        </w:rPr>
        <w:t>2024年度未发生公务车购置费。</w:t>
      </w:r>
    </w:p>
    <w:p w14:paraId="4DEF817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公务车运行维护费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万元，较上年支出数无增减，主要原因是未发生公务车运行维护费。</w:t>
      </w:r>
    </w:p>
    <w:p w14:paraId="34F56A6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公务接待费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万元，较上年支出数无增减，主要原因是主要原因是本单位</w:t>
      </w:r>
      <w:r>
        <w:rPr>
          <w:rFonts w:hint="default" w:ascii="方正仿宋_GBK" w:hAnsi="方正仿宋_GBK" w:eastAsia="方正仿宋_GBK" w:cs="方正仿宋_GBK"/>
          <w:color w:val="auto"/>
          <w:sz w:val="32"/>
          <w:szCs w:val="32"/>
          <w:shd w:val="clear" w:color="auto" w:fill="FFFFFF"/>
        </w:rPr>
        <w:t>2024年度未发生公务接待费</w:t>
      </w:r>
      <w:r>
        <w:rPr>
          <w:rFonts w:ascii="方正仿宋_GBK" w:hAnsi="方正仿宋_GBK" w:eastAsia="方正仿宋_GBK" w:cs="方正仿宋_GBK"/>
          <w:color w:val="auto"/>
          <w:sz w:val="32"/>
          <w:szCs w:val="32"/>
          <w:shd w:val="clear" w:color="auto" w:fill="FFFFFF"/>
        </w:rPr>
        <w:t>。</w:t>
      </w:r>
    </w:p>
    <w:p w14:paraId="438F5CA2">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（三）“三公”经费实物量情况</w:t>
      </w:r>
    </w:p>
    <w:p w14:paraId="1F0E56B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2024年度本单位因公出国（境）共计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个团组，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人；公务用车购置</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辆，公务车保有量为</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辆；国内公务接待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人，其中：国内外事接待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人；国（境）外公务接待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人。2024年本单位人均接待费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元，车均购置费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万元，车均维护费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w:t>
      </w:r>
    </w:p>
    <w:p w14:paraId="7D08454C">
      <w:pPr>
        <w:pStyle w:val="6"/>
        <w:shd w:val="clear" w:color="auto" w:fill="FFFFFF"/>
        <w:spacing w:before="0" w:beforeAutospacing="0" w:after="0" w:afterAutospacing="0" w:line="596" w:lineRule="exact"/>
        <w:ind w:firstLine="643" w:firstLineChars="200"/>
        <w:rPr>
          <w:rStyle w:val="10"/>
          <w:rFonts w:hint="default" w:ascii="黑体" w:hAnsi="黑体" w:eastAsia="黑体" w:cs="黑体"/>
          <w:color w:val="auto"/>
          <w:sz w:val="32"/>
          <w:szCs w:val="32"/>
          <w:shd w:val="clear" w:color="auto" w:fill="FFFFFF"/>
        </w:rPr>
      </w:pPr>
      <w:r>
        <w:rPr>
          <w:rStyle w:val="10"/>
          <w:rFonts w:ascii="黑体" w:hAnsi="黑体" w:eastAsia="黑体" w:cs="黑体"/>
          <w:color w:val="auto"/>
          <w:sz w:val="32"/>
          <w:szCs w:val="32"/>
          <w:shd w:val="clear" w:color="auto" w:fill="FFFFFF"/>
        </w:rPr>
        <w:t>四、其他需要说明的事项</w:t>
      </w:r>
    </w:p>
    <w:p w14:paraId="65C677B5">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 xml:space="preserve"> （一）财政拨款会议费和培训费情况说明</w:t>
      </w:r>
    </w:p>
    <w:p w14:paraId="63681E9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本年度会议费支出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万元，与2023年度相比，无增减，主要原因是未发生会议费支出。本年度培训费支出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万元，与2023年度相比，减少0.94万元，下降100.0%，主要原因是未发生培训费</w:t>
      </w:r>
      <w:r>
        <w:rPr>
          <w:rFonts w:hint="eastAsia" w:ascii="方正仿宋_GBK" w:hAnsi="方正仿宋_GBK" w:eastAsia="方正仿宋_GBK" w:cs="方正仿宋_GBK"/>
          <w:color w:val="auto"/>
          <w:sz w:val="32"/>
          <w:szCs w:val="32"/>
          <w:shd w:val="clear" w:color="auto" w:fill="FFFFFF"/>
          <w:lang w:val="en-US" w:eastAsia="zh-CN"/>
        </w:rPr>
        <w:t>支出</w:t>
      </w:r>
      <w:r>
        <w:rPr>
          <w:rFonts w:ascii="方正仿宋_GBK" w:hAnsi="方正仿宋_GBK" w:eastAsia="方正仿宋_GBK" w:cs="方正仿宋_GBK"/>
          <w:color w:val="auto"/>
          <w:sz w:val="32"/>
          <w:szCs w:val="32"/>
          <w:shd w:val="clear" w:color="auto" w:fill="FFFFFF"/>
        </w:rPr>
        <w:t>。</w:t>
      </w:r>
    </w:p>
    <w:p w14:paraId="0F35E29C">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（二）机关运行经费情况说明</w:t>
      </w:r>
    </w:p>
    <w:p w14:paraId="7D1F4D16">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2024年度本单位机关运行经费支出</w:t>
      </w:r>
      <w:r>
        <w:rPr>
          <w:rFonts w:ascii="方正仿宋_GBK" w:hAnsi="方正仿宋_GBK" w:eastAsia="方正仿宋_GBK" w:cs="方正仿宋_GBK"/>
          <w:color w:val="auto"/>
          <w:sz w:val="32"/>
          <w:szCs w:val="32"/>
        </w:rPr>
        <w:t>16.35</w:t>
      </w:r>
      <w:r>
        <w:rPr>
          <w:rFonts w:ascii="方正仿宋_GBK" w:hAnsi="方正仿宋_GBK" w:eastAsia="方正仿宋_GBK" w:cs="方正仿宋_GBK"/>
          <w:color w:val="auto"/>
          <w:sz w:val="32"/>
          <w:szCs w:val="32"/>
          <w:shd w:val="clear" w:color="auto" w:fill="FFFFFF"/>
        </w:rPr>
        <w:t>万元，机关运行经费主要用于开支劳务费及其他交通费用。机关运行经费较上年支出数减少2.43万元，下降12.9%，主要原因是厉行</w:t>
      </w:r>
      <w:r>
        <w:rPr>
          <w:rFonts w:hint="default" w:ascii="方正仿宋_GBK" w:hAnsi="方正仿宋_GBK" w:eastAsia="方正仿宋_GBK" w:cs="方正仿宋_GBK"/>
          <w:color w:val="auto"/>
          <w:sz w:val="32"/>
          <w:szCs w:val="32"/>
          <w:shd w:val="clear" w:color="auto" w:fill="FFFFFF"/>
        </w:rPr>
        <w:t>节约</w:t>
      </w:r>
      <w:r>
        <w:rPr>
          <w:rFonts w:ascii="方正仿宋_GBK" w:hAnsi="方正仿宋_GBK" w:eastAsia="方正仿宋_GBK" w:cs="方正仿宋_GBK"/>
          <w:color w:val="auto"/>
          <w:sz w:val="32"/>
          <w:szCs w:val="32"/>
          <w:shd w:val="clear" w:color="auto" w:fill="FFFFFF"/>
        </w:rPr>
        <w:t>。</w:t>
      </w:r>
    </w:p>
    <w:p w14:paraId="736AE600">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（三）国有资产占用情况说明</w:t>
      </w:r>
    </w:p>
    <w:p w14:paraId="047E9EB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截至2024年12月31日，本单位共有车辆</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辆，其中，副部（省）级及以上领导用车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辆、主要负责人用车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辆、机要通信用车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辆、应急保障用车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辆、执法执勤用车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辆，特种专业技术用车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辆，离退休干部用车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辆。单价100万元（含）以上专用设备</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台（套）。</w:t>
      </w:r>
    </w:p>
    <w:p w14:paraId="2F3139A0">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（四）政府采购支出情况说明</w:t>
      </w:r>
    </w:p>
    <w:p w14:paraId="3C5884C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2024年度本单位政府采购支出总额</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万元，其中：政府采购货物支出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万元、政府采购工程支出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万元、政府采购服务支出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万元。授予中小企业合同金额</w:t>
      </w:r>
      <w:r>
        <w:rPr>
          <w:rFonts w:ascii="方正仿宋_GBK" w:hAnsi="方正仿宋_GBK" w:eastAsia="方正仿宋_GBK" w:cs="方正仿宋_GBK"/>
          <w:color w:val="auto"/>
          <w:sz w:val="32"/>
          <w:szCs w:val="32"/>
        </w:rPr>
        <w:t>0.00万</w:t>
      </w:r>
      <w:r>
        <w:rPr>
          <w:rFonts w:ascii="方正仿宋_GBK" w:hAnsi="方正仿宋_GBK" w:eastAsia="方正仿宋_GBK" w:cs="方正仿宋_GBK"/>
          <w:color w:val="auto"/>
          <w:sz w:val="32"/>
          <w:szCs w:val="32"/>
          <w:shd w:val="clear" w:color="auto" w:fill="FFFFFF"/>
        </w:rPr>
        <w:t>元，占政府采购支出总额的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%，其中：授予小微企业合同金额</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万元，占政府采购支出总额的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 xml:space="preserve"> %。我单位未发生政府采购事项，无相关经费支出。</w:t>
      </w:r>
    </w:p>
    <w:p w14:paraId="608B766E">
      <w:pPr>
        <w:pStyle w:val="12"/>
        <w:spacing w:before="0" w:beforeAutospacing="0" w:after="0" w:afterAutospacing="0" w:line="596" w:lineRule="exact"/>
        <w:ind w:firstLine="643" w:firstLineChars="200"/>
        <w:rPr>
          <w:rStyle w:val="10"/>
          <w:rFonts w:ascii="黑体" w:hAnsi="黑体" w:eastAsia="黑体" w:cs="黑体"/>
          <w:color w:val="auto"/>
          <w:sz w:val="32"/>
          <w:szCs w:val="32"/>
          <w:shd w:val="clear" w:color="auto" w:fill="FFFFFF"/>
        </w:rPr>
      </w:pPr>
      <w:r>
        <w:rPr>
          <w:rStyle w:val="10"/>
          <w:rFonts w:hint="eastAsia" w:ascii="黑体" w:hAnsi="黑体" w:eastAsia="黑体" w:cs="黑体"/>
          <w:color w:val="auto"/>
          <w:sz w:val="32"/>
          <w:szCs w:val="32"/>
          <w:shd w:val="clear" w:color="auto" w:fill="FFFFFF"/>
        </w:rPr>
        <w:t>五、2024年度预算绩效管理情况说明</w:t>
      </w:r>
    </w:p>
    <w:p w14:paraId="16054A32">
      <w:pPr>
        <w:pStyle w:val="12"/>
        <w:autoSpaceDE w:val="0"/>
        <w:spacing w:before="0" w:beforeAutospacing="0" w:after="0" w:afterAutospacing="0" w:line="596" w:lineRule="exact"/>
        <w:ind w:firstLine="643" w:firstLineChars="200"/>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（一）单位自评情况</w:t>
      </w:r>
    </w:p>
    <w:p w14:paraId="0AF151D6">
      <w:pPr>
        <w:pStyle w:val="16"/>
        <w:tabs>
          <w:tab w:val="center" w:pos="4153"/>
          <w:tab w:val="left" w:pos="7275"/>
        </w:tabs>
        <w:spacing w:line="600" w:lineRule="exact"/>
        <w:ind w:firstLine="640"/>
        <w:rPr>
          <w:rFonts w:hint="default" w:ascii="Times New Roman" w:hAnsi="Times New Roman" w:eastAsia="方正仿宋_GBK"/>
          <w:color w:val="auto"/>
          <w:sz w:val="32"/>
          <w:szCs w:val="32"/>
        </w:rPr>
      </w:pPr>
      <w:r>
        <w:rPr>
          <w:rFonts w:hint="default" w:ascii="Times New Roman" w:hAnsi="Times New Roman" w:eastAsia="方正仿宋_GBK"/>
          <w:color w:val="auto"/>
          <w:sz w:val="32"/>
          <w:szCs w:val="32"/>
        </w:rPr>
        <w:t>根据预算绩效管理要求，我</w:t>
      </w:r>
      <w:r>
        <w:rPr>
          <w:rFonts w:ascii="Times New Roman" w:hAnsi="Times New Roman" w:eastAsia="方正仿宋_GBK"/>
          <w:color w:val="auto"/>
          <w:sz w:val="32"/>
          <w:szCs w:val="32"/>
        </w:rPr>
        <w:t>单位</w:t>
      </w:r>
      <w:r>
        <w:rPr>
          <w:rFonts w:hint="default" w:ascii="Times New Roman" w:hAnsi="Times New Roman" w:eastAsia="方正仿宋_GBK"/>
          <w:color w:val="auto"/>
          <w:sz w:val="32"/>
          <w:szCs w:val="32"/>
        </w:rPr>
        <w:t>对1个项目开展了绩效自评，其中，以填报目标自评表形式开展自评1项，涉及资金11.7万元</w:t>
      </w:r>
      <w:r>
        <w:rPr>
          <w:rFonts w:ascii="Times New Roman" w:hAnsi="Times New Roman" w:eastAsia="方正仿宋_GBK"/>
          <w:color w:val="auto"/>
          <w:sz w:val="32"/>
          <w:szCs w:val="32"/>
        </w:rPr>
        <w:t>。</w:t>
      </w:r>
    </w:p>
    <w:p w14:paraId="0AAF0614">
      <w:pPr>
        <w:pStyle w:val="12"/>
        <w:autoSpaceDE w:val="0"/>
        <w:spacing w:before="0" w:beforeAutospacing="0" w:after="0" w:afterAutospacing="0" w:line="596" w:lineRule="exact"/>
        <w:rPr>
          <w:rFonts w:ascii="方正仿宋_GBK" w:hAnsi="方正仿宋_GBK" w:eastAsia="方正仿宋_GBK" w:cs="方正仿宋_GBK"/>
          <w:color w:val="auto"/>
          <w:sz w:val="32"/>
          <w:szCs w:val="32"/>
        </w:rPr>
      </w:pPr>
      <w:r>
        <w:rPr>
          <w:rStyle w:val="13"/>
          <w:rFonts w:hint="eastAsia" w:ascii="方正仿宋_GBK" w:hAnsi="方正仿宋_GBK" w:eastAsia="方正仿宋_GBK" w:cs="方正仿宋_GBK"/>
          <w:color w:val="auto"/>
          <w:sz w:val="32"/>
          <w:szCs w:val="32"/>
          <w:shd w:val="clear" w:color="auto" w:fill="FFFFFF"/>
        </w:rPr>
        <w:t xml:space="preserve">   </w:t>
      </w:r>
      <w:r>
        <w:rPr>
          <w:rStyle w:val="10"/>
          <w:rFonts w:hint="eastAsia" w:ascii="黑体" w:hAnsi="黑体" w:eastAsia="黑体" w:cs="黑体"/>
          <w:color w:val="auto"/>
          <w:sz w:val="32"/>
          <w:szCs w:val="32"/>
          <w:shd w:val="clear" w:color="auto" w:fill="FFFFFF"/>
        </w:rPr>
        <w:t xml:space="preserve"> 六、专业名词解释</w:t>
      </w:r>
    </w:p>
    <w:p w14:paraId="36FD81A2">
      <w:pPr>
        <w:pStyle w:val="12"/>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10"/>
          <w:rFonts w:hint="eastAsia" w:ascii="楷体" w:hAnsi="楷体" w:eastAsia="楷体" w:cs="楷体"/>
          <w:color w:val="auto"/>
          <w:sz w:val="32"/>
          <w:szCs w:val="32"/>
          <w:shd w:val="clear" w:color="auto" w:fill="FFFFFF"/>
        </w:rPr>
        <w:t>（一）财政拨款收入：</w:t>
      </w:r>
      <w:r>
        <w:rPr>
          <w:rFonts w:hint="eastAsia" w:ascii="方正仿宋_GBK" w:hAnsi="方正仿宋_GBK" w:eastAsia="方正仿宋_GBK" w:cs="方正仿宋_GBK"/>
          <w:color w:val="auto"/>
          <w:sz w:val="32"/>
          <w:szCs w:val="32"/>
          <w:shd w:val="clear" w:color="auto" w:fill="FFFFFF"/>
        </w:rPr>
        <w:t>指本年度从本级财政部门取得的财政拨款，包括一般公共预算财政拨款和政府性基金预算财政拨款。</w:t>
      </w:r>
    </w:p>
    <w:p w14:paraId="50E09142">
      <w:pPr>
        <w:pStyle w:val="12"/>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10"/>
          <w:rFonts w:hint="eastAsia" w:ascii="楷体" w:hAnsi="楷体" w:eastAsia="楷体" w:cs="楷体"/>
          <w:color w:val="auto"/>
          <w:sz w:val="32"/>
          <w:szCs w:val="32"/>
          <w:shd w:val="clear" w:color="auto" w:fill="FFFFFF"/>
        </w:rPr>
        <w:t>（二）事业收入：</w:t>
      </w:r>
      <w:r>
        <w:rPr>
          <w:rFonts w:hint="eastAsia" w:ascii="方正仿宋_GBK" w:hAnsi="方正仿宋_GBK" w:eastAsia="方正仿宋_GBK" w:cs="方正仿宋_GBK"/>
          <w:color w:val="auto"/>
          <w:sz w:val="32"/>
          <w:szCs w:val="32"/>
          <w:shd w:val="clear" w:color="auto" w:fill="FFFFFF"/>
        </w:rPr>
        <w:t>指事业单位开展专业业务活动及其辅助活动取得的现金流入；事业单位收到的财政专户实际核拨的教育收费等资金在此反映。</w:t>
      </w:r>
    </w:p>
    <w:p w14:paraId="4750CA04">
      <w:pPr>
        <w:pStyle w:val="12"/>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10"/>
          <w:rFonts w:hint="eastAsia" w:ascii="楷体" w:hAnsi="楷体" w:eastAsia="楷体" w:cs="楷体"/>
          <w:color w:val="auto"/>
          <w:sz w:val="32"/>
          <w:szCs w:val="32"/>
          <w:shd w:val="clear" w:color="auto" w:fill="FFFFFF"/>
        </w:rPr>
        <w:t>（三）经营收入：</w:t>
      </w:r>
      <w:r>
        <w:rPr>
          <w:rFonts w:hint="eastAsia" w:ascii="方正仿宋_GBK" w:hAnsi="方正仿宋_GBK" w:eastAsia="方正仿宋_GBK" w:cs="方正仿宋_GBK"/>
          <w:color w:val="auto"/>
          <w:sz w:val="32"/>
          <w:szCs w:val="32"/>
          <w:shd w:val="clear" w:color="auto" w:fill="FFFFFF"/>
        </w:rPr>
        <w:t>指事业单位在专业业务活动及其辅助活动之外开展非独立核算经营活动取得的现金流入。</w:t>
      </w:r>
    </w:p>
    <w:p w14:paraId="0E356DCE">
      <w:pPr>
        <w:pStyle w:val="12"/>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10"/>
          <w:rFonts w:hint="eastAsia" w:ascii="楷体" w:hAnsi="楷体" w:eastAsia="楷体" w:cs="楷体"/>
          <w:color w:val="auto"/>
          <w:sz w:val="32"/>
          <w:szCs w:val="32"/>
          <w:shd w:val="clear" w:color="auto" w:fill="FFFFFF"/>
        </w:rPr>
        <w:t>（四）其他收入：</w:t>
      </w:r>
      <w:r>
        <w:rPr>
          <w:rFonts w:hint="eastAsia" w:ascii="方正仿宋_GBK" w:hAnsi="方正仿宋_GBK" w:eastAsia="方正仿宋_GBK" w:cs="方正仿宋_GBK"/>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AF7D3F7">
      <w:pPr>
        <w:pStyle w:val="12"/>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10"/>
          <w:rFonts w:hint="eastAsia" w:ascii="楷体" w:hAnsi="楷体" w:eastAsia="楷体" w:cs="楷体"/>
          <w:color w:val="auto"/>
          <w:sz w:val="32"/>
          <w:szCs w:val="32"/>
          <w:shd w:val="clear" w:color="auto" w:fill="FFFFFF"/>
        </w:rPr>
        <w:t>（五）使用非财政拨款结余：</w:t>
      </w:r>
      <w:r>
        <w:rPr>
          <w:rFonts w:hint="eastAsia" w:ascii="方正仿宋_GBK" w:hAnsi="方正仿宋_GBK" w:eastAsia="方正仿宋_GBK" w:cs="方正仿宋_GBK"/>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44ED94A9">
      <w:pPr>
        <w:pStyle w:val="12"/>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10"/>
          <w:rFonts w:hint="eastAsia" w:ascii="楷体" w:hAnsi="楷体" w:eastAsia="楷体" w:cs="楷体"/>
          <w:color w:val="auto"/>
          <w:sz w:val="32"/>
          <w:szCs w:val="32"/>
          <w:shd w:val="clear" w:color="auto" w:fill="FFFFFF"/>
        </w:rPr>
        <w:t>（六）年初结转和结余：</w:t>
      </w:r>
      <w:r>
        <w:rPr>
          <w:rFonts w:hint="eastAsia" w:ascii="方正仿宋_GBK" w:hAnsi="方正仿宋_GBK" w:eastAsia="方正仿宋_GBK" w:cs="方正仿宋_GBK"/>
          <w:color w:val="auto"/>
          <w:sz w:val="32"/>
          <w:szCs w:val="32"/>
          <w:shd w:val="clear" w:color="auto" w:fill="FFFFFF"/>
        </w:rPr>
        <w:t>指单位上年结转本年使用的基本支出结转、项目支出结转和结余、经营结余。</w:t>
      </w:r>
    </w:p>
    <w:p w14:paraId="63129540">
      <w:pPr>
        <w:pStyle w:val="12"/>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10"/>
          <w:rFonts w:hint="eastAsia" w:ascii="楷体" w:hAnsi="楷体" w:eastAsia="楷体" w:cs="楷体"/>
          <w:color w:val="auto"/>
          <w:sz w:val="32"/>
          <w:szCs w:val="32"/>
          <w:shd w:val="clear" w:color="auto" w:fill="FFFFFF"/>
        </w:rPr>
        <w:t>（七）结余分配：</w:t>
      </w:r>
      <w:r>
        <w:rPr>
          <w:rFonts w:hint="eastAsia" w:ascii="方正仿宋_GBK" w:hAnsi="方正仿宋_GBK" w:eastAsia="方正仿宋_GBK" w:cs="方正仿宋_GBK"/>
          <w:color w:val="auto"/>
          <w:sz w:val="32"/>
          <w:szCs w:val="32"/>
          <w:shd w:val="clear" w:color="auto" w:fill="FFFFFF"/>
        </w:rPr>
        <w:t>指单位按照国家有关规定，缴纳所得税、提取专用基金、转入非财政拨款结余等当年结余的分配情况。</w:t>
      </w:r>
    </w:p>
    <w:p w14:paraId="7976CCF6">
      <w:pPr>
        <w:pStyle w:val="12"/>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10"/>
          <w:rFonts w:hint="eastAsia" w:ascii="楷体" w:hAnsi="楷体" w:eastAsia="楷体" w:cs="楷体"/>
          <w:color w:val="auto"/>
          <w:sz w:val="32"/>
          <w:szCs w:val="32"/>
          <w:shd w:val="clear" w:color="auto" w:fill="FFFFFF"/>
        </w:rPr>
        <w:t>（八）年末结转和结余：</w:t>
      </w:r>
      <w:r>
        <w:rPr>
          <w:rFonts w:hint="eastAsia" w:ascii="方正仿宋_GBK" w:hAnsi="方正仿宋_GBK" w:eastAsia="方正仿宋_GBK" w:cs="方正仿宋_GBK"/>
          <w:color w:val="auto"/>
          <w:sz w:val="32"/>
          <w:szCs w:val="32"/>
          <w:shd w:val="clear" w:color="auto" w:fill="FFFFFF"/>
        </w:rPr>
        <w:t>指单位结转下年的基本支出结转、项目支出结转和结余、经营结余。</w:t>
      </w:r>
    </w:p>
    <w:p w14:paraId="5BDC9ECA">
      <w:pPr>
        <w:pStyle w:val="12"/>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10"/>
          <w:rFonts w:hint="eastAsia" w:ascii="楷体" w:hAnsi="楷体" w:eastAsia="楷体" w:cs="楷体"/>
          <w:color w:val="auto"/>
          <w:sz w:val="32"/>
          <w:szCs w:val="32"/>
          <w:shd w:val="clear" w:color="auto" w:fill="FFFFFF"/>
        </w:rPr>
        <w:t>（九）基本支出：</w:t>
      </w:r>
      <w:r>
        <w:rPr>
          <w:rFonts w:hint="eastAsia" w:ascii="方正仿宋_GBK" w:hAnsi="方正仿宋_GBK" w:eastAsia="方正仿宋_GBK" w:cs="方正仿宋_GBK"/>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22EFBCF">
      <w:pPr>
        <w:pStyle w:val="12"/>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10"/>
          <w:rFonts w:hint="eastAsia" w:ascii="楷体" w:hAnsi="楷体" w:eastAsia="楷体" w:cs="楷体"/>
          <w:color w:val="auto"/>
          <w:sz w:val="32"/>
          <w:szCs w:val="32"/>
          <w:shd w:val="clear" w:color="auto" w:fill="FFFFFF"/>
        </w:rPr>
        <w:t>（十）项目支出：</w:t>
      </w:r>
      <w:r>
        <w:rPr>
          <w:rFonts w:hint="eastAsia" w:ascii="方正仿宋_GBK" w:hAnsi="方正仿宋_GBK" w:eastAsia="方正仿宋_GBK" w:cs="方正仿宋_GBK"/>
          <w:color w:val="auto"/>
          <w:sz w:val="32"/>
          <w:szCs w:val="32"/>
          <w:shd w:val="clear" w:color="auto" w:fill="FFFFFF"/>
        </w:rPr>
        <w:t>指在基本支出之外为完成特定行政任务和事业发展目标所发生的支出。</w:t>
      </w:r>
    </w:p>
    <w:p w14:paraId="7C2D04B8">
      <w:pPr>
        <w:pStyle w:val="12"/>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10"/>
          <w:rFonts w:hint="eastAsia" w:ascii="楷体" w:hAnsi="楷体" w:eastAsia="楷体" w:cs="楷体"/>
          <w:color w:val="auto"/>
          <w:sz w:val="32"/>
          <w:szCs w:val="32"/>
          <w:shd w:val="clear" w:color="auto" w:fill="FFFFFF"/>
        </w:rPr>
        <w:t>（十一）经营支出：</w:t>
      </w:r>
      <w:r>
        <w:rPr>
          <w:rFonts w:hint="eastAsia" w:ascii="方正仿宋_GBK" w:hAnsi="方正仿宋_GBK" w:eastAsia="方正仿宋_GBK" w:cs="方正仿宋_GBK"/>
          <w:color w:val="auto"/>
          <w:sz w:val="32"/>
          <w:szCs w:val="32"/>
          <w:shd w:val="clear" w:color="auto" w:fill="FFFFFF"/>
        </w:rPr>
        <w:t>指事业单位在专业业务活动及其辅助活动之外开展非独立核算经营活动发生的支出。</w:t>
      </w:r>
    </w:p>
    <w:p w14:paraId="64EEAA31">
      <w:pPr>
        <w:pStyle w:val="12"/>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10"/>
          <w:rFonts w:hint="eastAsia" w:ascii="楷体" w:hAnsi="楷体" w:eastAsia="楷体" w:cs="楷体"/>
          <w:color w:val="auto"/>
          <w:sz w:val="32"/>
          <w:szCs w:val="32"/>
          <w:shd w:val="clear" w:color="auto" w:fill="FFFFFF"/>
        </w:rPr>
        <w:t>（十二）“三公”经费：</w:t>
      </w:r>
      <w:r>
        <w:rPr>
          <w:rFonts w:hint="eastAsia" w:ascii="方正仿宋_GBK" w:hAnsi="方正仿宋_GBK" w:eastAsia="方正仿宋_GBK" w:cs="方正仿宋_GBK"/>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663F707">
      <w:pPr>
        <w:pStyle w:val="12"/>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10"/>
          <w:rFonts w:hint="eastAsia" w:ascii="楷体" w:hAnsi="楷体" w:eastAsia="楷体" w:cs="楷体"/>
          <w:color w:val="auto"/>
          <w:sz w:val="32"/>
          <w:szCs w:val="32"/>
          <w:shd w:val="clear" w:color="auto" w:fill="FFFFFF"/>
        </w:rPr>
        <w:t>（十三）机关运行经费：</w:t>
      </w:r>
      <w:r>
        <w:rPr>
          <w:rFonts w:hint="eastAsia" w:ascii="方正仿宋_GBK" w:hAnsi="方正仿宋_GBK" w:eastAsia="方正仿宋_GBK" w:cs="方正仿宋_GBK"/>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B360E3C">
      <w:pPr>
        <w:pStyle w:val="12"/>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10"/>
          <w:rFonts w:hint="eastAsia" w:ascii="楷体" w:hAnsi="楷体" w:eastAsia="楷体" w:cs="楷体"/>
          <w:color w:val="auto"/>
          <w:sz w:val="32"/>
          <w:szCs w:val="32"/>
          <w:shd w:val="clear" w:color="auto" w:fill="FFFFFF"/>
        </w:rPr>
        <w:t>（十四）工资福利支出（支出经济分类科目类级）：</w:t>
      </w:r>
      <w:r>
        <w:rPr>
          <w:rFonts w:hint="eastAsia" w:ascii="方正仿宋_GBK" w:hAnsi="方正仿宋_GBK" w:eastAsia="方正仿宋_GBK" w:cs="方正仿宋_GBK"/>
          <w:color w:val="auto"/>
          <w:sz w:val="32"/>
          <w:szCs w:val="32"/>
          <w:shd w:val="clear" w:color="auto" w:fill="FFFFFF"/>
        </w:rPr>
        <w:t>反映单位开支的在职职工和编制外长期聘用人员的各类劳动报酬，以及为上述人员缴纳的各项社会保险费等。</w:t>
      </w:r>
    </w:p>
    <w:p w14:paraId="032390E7">
      <w:pPr>
        <w:pStyle w:val="12"/>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10"/>
          <w:rFonts w:hint="eastAsia" w:ascii="楷体" w:hAnsi="楷体" w:eastAsia="楷体" w:cs="楷体"/>
          <w:color w:val="auto"/>
          <w:sz w:val="32"/>
          <w:szCs w:val="32"/>
          <w:shd w:val="clear" w:color="auto" w:fill="FFFFFF"/>
        </w:rPr>
        <w:t>（十五）商品和服务支出（支出经济分类科目类级）：</w:t>
      </w:r>
      <w:r>
        <w:rPr>
          <w:rFonts w:hint="eastAsia" w:ascii="方正仿宋_GBK" w:hAnsi="方正仿宋_GBK" w:eastAsia="方正仿宋_GBK" w:cs="方正仿宋_GBK"/>
          <w:color w:val="auto"/>
          <w:sz w:val="32"/>
          <w:szCs w:val="32"/>
          <w:shd w:val="clear" w:color="auto" w:fill="FFFFFF"/>
        </w:rPr>
        <w:t>反映单位购买商品和服务的支出（不包括用于购置固定资产的支出、战略性和应急储备支出）。</w:t>
      </w:r>
    </w:p>
    <w:p w14:paraId="776CA5CA">
      <w:pPr>
        <w:pStyle w:val="12"/>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10"/>
          <w:rFonts w:hint="eastAsia" w:ascii="楷体" w:hAnsi="楷体" w:eastAsia="楷体" w:cs="楷体"/>
          <w:color w:val="auto"/>
          <w:sz w:val="32"/>
          <w:szCs w:val="32"/>
          <w:shd w:val="clear" w:color="auto" w:fill="FFFFFF"/>
        </w:rPr>
        <w:t>（十六）对个人和家庭的补助（支出经济分类科目类级）：</w:t>
      </w:r>
      <w:r>
        <w:rPr>
          <w:rFonts w:hint="eastAsia" w:ascii="方正仿宋_GBK" w:hAnsi="方正仿宋_GBK" w:eastAsia="方正仿宋_GBK" w:cs="方正仿宋_GBK"/>
          <w:color w:val="auto"/>
          <w:sz w:val="32"/>
          <w:szCs w:val="32"/>
          <w:shd w:val="clear" w:color="auto" w:fill="FFFFFF"/>
        </w:rPr>
        <w:t>反映用于对个人和家庭的补助支出。</w:t>
      </w:r>
    </w:p>
    <w:p w14:paraId="3D6C369F">
      <w:pPr>
        <w:pStyle w:val="12"/>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10"/>
          <w:rFonts w:hint="eastAsia" w:ascii="楷体" w:hAnsi="楷体" w:eastAsia="楷体" w:cs="楷体"/>
          <w:color w:val="auto"/>
          <w:sz w:val="32"/>
          <w:szCs w:val="32"/>
          <w:shd w:val="clear" w:color="auto" w:fill="FFFFFF"/>
        </w:rPr>
        <w:t>（十七）其他资本性支出（支出经济分类科目类级）：</w:t>
      </w:r>
      <w:r>
        <w:rPr>
          <w:rFonts w:hint="eastAsia" w:ascii="方正仿宋_GBK" w:hAnsi="方正仿宋_GBK" w:eastAsia="方正仿宋_GBK" w:cs="方正仿宋_GBK"/>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22AD14E1">
      <w:pPr>
        <w:pStyle w:val="12"/>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10"/>
          <w:rFonts w:hint="eastAsia" w:ascii="黑体" w:hAnsi="黑体" w:eastAsia="黑体" w:cs="黑体"/>
          <w:color w:val="auto"/>
          <w:sz w:val="32"/>
          <w:szCs w:val="32"/>
          <w:shd w:val="clear" w:color="auto" w:fill="FFFFFF"/>
        </w:rPr>
        <w:t>七、决算公开联系方式及信息反馈渠道</w:t>
      </w:r>
    </w:p>
    <w:p w14:paraId="0B1A9EDF">
      <w:pPr>
        <w:pStyle w:val="11"/>
        <w:autoSpaceDE w:val="0"/>
        <w:spacing w:line="596" w:lineRule="exact"/>
        <w:ind w:firstLine="64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本单位决算公开信息反馈和联系方式：023-63765373</w:t>
      </w:r>
    </w:p>
    <w:p w14:paraId="3E7CBEB7">
      <w:pPr>
        <w:pStyle w:val="11"/>
        <w:autoSpaceDE w:val="0"/>
        <w:spacing w:line="596" w:lineRule="exact"/>
        <w:ind w:firstLine="643"/>
        <w:jc w:val="both"/>
        <w:rPr>
          <w:rStyle w:val="10"/>
          <w:rFonts w:ascii="方正仿宋_GBK" w:hAnsi="方正仿宋_GBK" w:eastAsia="方正仿宋_GBK" w:cs="方正仿宋_GBK"/>
          <w:color w:val="auto"/>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14:paraId="3F491B08">
      <w:pPr>
        <w:rPr>
          <w:rFonts w:hint="default"/>
          <w:color w:val="auto"/>
          <w:sz w:val="18"/>
          <w:szCs w:val="18"/>
        </w:rPr>
      </w:pPr>
      <w:bookmarkStart w:id="0" w:name="_GoBack"/>
      <w:bookmarkEnd w:id="0"/>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95F63">
    <w:pPr>
      <w:pStyle w:val="3"/>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43535" cy="147955"/>
              <wp:effectExtent l="0" t="0" r="0" b="0"/>
              <wp:wrapNone/>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343535" cy="147955"/>
                      </a:xfrm>
                      <a:prstGeom prst="rect">
                        <a:avLst/>
                      </a:prstGeom>
                      <a:noFill/>
                      <a:ln>
                        <a:noFill/>
                      </a:ln>
                    </wps:spPr>
                    <wps:txbx>
                      <w:txbxContent>
                        <w:p w14:paraId="7A1F8AC7">
                          <w:pPr>
                            <w:pStyle w:val="3"/>
                            <w:rPr>
                              <w:rFonts w:hint="default"/>
                            </w:rPr>
                          </w:pPr>
                          <w:r>
                            <w:fldChar w:fldCharType="begin"/>
                          </w:r>
                          <w:r>
                            <w:instrText xml:space="preserve"> PAGE  \* MERGEFORMAT </w:instrText>
                          </w:r>
                          <w:r>
                            <w:fldChar w:fldCharType="separate"/>
                          </w:r>
                          <w:r>
                            <w:rPr>
                              <w:rFonts w:hint="default"/>
                            </w:rPr>
                            <w:t>- 4 -</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65pt;width:27.05pt;mso-position-horizontal:center;mso-position-horizontal-relative:margin;mso-wrap-style:none;z-index:251659264;mso-width-relative:page;mso-height-relative:page;" filled="f" stroked="f" coordsize="21600,21600" o:gfxdata="UEsDBAoAAAAAAIdO4kAAAAAAAAAAAAAAAAAEAAAAZHJzL1BLAwQUAAAACACHTuJAJtupU9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tupU9IAAAADAQAADwAAAAAAAAABACAAAAAiAAAAZHJzL2Rvd25yZXYueG1sUEsB&#10;AhQAFAAAAAgAh07iQAFh51H7AQAAAQQAAA4AAAAAAAAAAQAgAAAAIQEAAGRycy9lMm9Eb2MueG1s&#10;UEsFBgAAAAAGAAYAWQEAAI4FAAAAAA==&#10;">
              <v:fill on="f" focussize="0,0"/>
              <v:stroke on="f"/>
              <v:imagedata o:title=""/>
              <o:lock v:ext="edit" aspectratio="f"/>
              <v:textbox inset="0mm,0mm,0mm,0mm" style="mso-fit-shape-to-text:t;">
                <w:txbxContent>
                  <w:p w14:paraId="7A1F8AC7">
                    <w:pPr>
                      <w:pStyle w:val="3"/>
                      <w:rPr>
                        <w:rFonts w:hint="default"/>
                      </w:rPr>
                    </w:pPr>
                    <w:r>
                      <w:fldChar w:fldCharType="begin"/>
                    </w:r>
                    <w:r>
                      <w:instrText xml:space="preserve"> PAGE  \* MERGEFORMAT </w:instrText>
                    </w:r>
                    <w:r>
                      <w:fldChar w:fldCharType="separate"/>
                    </w:r>
                    <w:r>
                      <w:rPr>
                        <w:rFonts w:hint="default"/>
                      </w:rP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DF587">
    <w:pPr>
      <w:pStyle w:val="3"/>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400685" cy="147955"/>
              <wp:effectExtent l="0" t="0" r="0" b="0"/>
              <wp:wrapNone/>
              <wp:docPr id="2" name="Text Box 8"/>
              <wp:cNvGraphicFramePr/>
              <a:graphic xmlns:a="http://schemas.openxmlformats.org/drawingml/2006/main">
                <a:graphicData uri="http://schemas.microsoft.com/office/word/2010/wordprocessingShape">
                  <wps:wsp>
                    <wps:cNvSpPr txBox="1">
                      <a:spLocks noChangeArrowheads="1"/>
                    </wps:cNvSpPr>
                    <wps:spPr bwMode="auto">
                      <a:xfrm>
                        <a:off x="0" y="0"/>
                        <a:ext cx="400685" cy="147955"/>
                      </a:xfrm>
                      <a:prstGeom prst="rect">
                        <a:avLst/>
                      </a:prstGeom>
                      <a:noFill/>
                      <a:ln>
                        <a:noFill/>
                      </a:ln>
                    </wps:spPr>
                    <wps:txbx>
                      <w:txbxContent>
                        <w:p w14:paraId="50C0003A">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22 -</w:t>
                          </w:r>
                          <w:r>
                            <w:fldChar w:fldCharType="end"/>
                          </w:r>
                          <w:r>
                            <w:t xml:space="preserve"> </w:t>
                          </w:r>
                        </w:p>
                      </w:txbxContent>
                    </wps:txbx>
                    <wps:bodyPr rot="0" vert="horz" wrap="none" lIns="0" tIns="0" rIns="0" bIns="0" anchor="t" anchorCtr="0" upright="1">
                      <a:spAutoFit/>
                    </wps:bodyPr>
                  </wps:wsp>
                </a:graphicData>
              </a:graphic>
            </wp:anchor>
          </w:drawing>
        </mc:Choice>
        <mc:Fallback>
          <w:pict>
            <v:shape id="Text Box 8" o:spid="_x0000_s1026" o:spt="202" type="#_x0000_t202" style="position:absolute;left:0pt;margin-top:0pt;height:11.65pt;width:31.55pt;mso-position-horizontal:center;mso-position-horizontal-relative:margin;mso-wrap-style:none;z-index:251661312;mso-width-relative:page;mso-height-relative:page;" filled="f" stroked="f" coordsize="21600,21600" o:allowoverlap="f" o:gfxdata="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lDqPLRAAAAAwEAAA8AAAAAAAAAAQAgAAAAIgAAAGRycy9kb3ducmV2LnhtbFBLAQIU&#10;ABQAAAAIAIdO4kCTAwjF+gEAAAEEAAAOAAAAAAAAAAEAIAAAACABAABkcnMvZTJvRG9jLnhtbFBL&#10;BQYAAAAABgAGAFkBAACMBQAAAAA=&#10;">
              <v:fill on="f" focussize="0,0"/>
              <v:stroke on="f"/>
              <v:imagedata o:title=""/>
              <o:lock v:ext="edit" aspectratio="f"/>
              <v:textbox inset="0mm,0mm,0mm,0mm" style="mso-fit-shape-to-text:t;">
                <w:txbxContent>
                  <w:p w14:paraId="50C0003A">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22 -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572135" cy="220980"/>
              <wp:effectExtent l="0" t="1905" r="0" b="0"/>
              <wp:wrapNone/>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72135" cy="220980"/>
                      </a:xfrm>
                      <a:prstGeom prst="rect">
                        <a:avLst/>
                      </a:prstGeom>
                      <a:noFill/>
                      <a:ln>
                        <a:noFill/>
                      </a:ln>
                    </wps:spPr>
                    <wps:txbx>
                      <w:txbxContent>
                        <w:p w14:paraId="0C5EE4E2">
                          <w:pPr>
                            <w:pStyle w:val="3"/>
                            <w:jc w:val="both"/>
                            <w:rPr>
                              <w:rFonts w:hint="default" w:cs="宋体"/>
                            </w:rPr>
                          </w:pPr>
                          <w:r>
                            <w:rPr>
                              <w:rFonts w:cs="宋体"/>
                            </w:rPr>
                            <w:t>— 27.1 —</w:t>
                          </w:r>
                        </w:p>
                      </w:txbxContent>
                    </wps:txbx>
                    <wps:bodyPr rot="0" vert="horz" wrap="none" lIns="0" tIns="0" rIns="0" bIns="0" anchor="t" anchorCtr="0" upright="1">
                      <a:noAutofit/>
                    </wps:bodyPr>
                  </wps:wsp>
                </a:graphicData>
              </a:graphic>
            </wp:anchor>
          </w:drawing>
        </mc:Choice>
        <mc:Fallback>
          <w:pict>
            <v:shape id="Text Box 7" o:spid="_x0000_s1026" o:spt="202" type="#_x0000_t202" style="position:absolute;left:0pt;margin-top:1160.4pt;height:17.4pt;width:45.05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yX6FDWAAAACQEAAA8AAAAAAAAAAQAgAAAAIgAAAGRycy9kb3ducmV2Lnht&#10;bFBLAQIUABQAAAAIAIdO4kBva0M4+wEAAAEEAAAOAAAAAAAAAAEAIAAAACUBAABkcnMvZTJvRG9j&#10;LnhtbFBLBQYAAAAABgAGAFkBAACSBQAAAAA=&#10;">
              <v:fill on="f" focussize="0,0"/>
              <v:stroke on="f"/>
              <v:imagedata o:title=""/>
              <o:lock v:ext="edit" aspectratio="f"/>
              <v:textbox inset="0mm,0mm,0mm,0mm">
                <w:txbxContent>
                  <w:p w14:paraId="0C5EE4E2">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8E934">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wYWQ1YTE0ZDA0NjgxYzlhMjZlMDExNTFmMWI3MmEifQ=="/>
  </w:docVars>
  <w:rsids>
    <w:rsidRoot w:val="00B03CCD"/>
    <w:rsid w:val="000239C6"/>
    <w:rsid w:val="001D3BB7"/>
    <w:rsid w:val="002120DF"/>
    <w:rsid w:val="002B254B"/>
    <w:rsid w:val="00310861"/>
    <w:rsid w:val="0034050A"/>
    <w:rsid w:val="0044504F"/>
    <w:rsid w:val="00466C9B"/>
    <w:rsid w:val="00486CFC"/>
    <w:rsid w:val="00491DDD"/>
    <w:rsid w:val="00550ABE"/>
    <w:rsid w:val="00623A85"/>
    <w:rsid w:val="00770383"/>
    <w:rsid w:val="007819D4"/>
    <w:rsid w:val="0079360B"/>
    <w:rsid w:val="007B419D"/>
    <w:rsid w:val="007B7C4B"/>
    <w:rsid w:val="007D3D39"/>
    <w:rsid w:val="008A04D2"/>
    <w:rsid w:val="00984C6A"/>
    <w:rsid w:val="00994AF7"/>
    <w:rsid w:val="009B67B8"/>
    <w:rsid w:val="009C14C9"/>
    <w:rsid w:val="009D2B67"/>
    <w:rsid w:val="009E1452"/>
    <w:rsid w:val="00A566F9"/>
    <w:rsid w:val="00AF2751"/>
    <w:rsid w:val="00B03CCD"/>
    <w:rsid w:val="00B7508C"/>
    <w:rsid w:val="00BE2B89"/>
    <w:rsid w:val="00BF0D89"/>
    <w:rsid w:val="00C10E9E"/>
    <w:rsid w:val="00C16FE9"/>
    <w:rsid w:val="00C170DA"/>
    <w:rsid w:val="00C20C3E"/>
    <w:rsid w:val="00C5163E"/>
    <w:rsid w:val="00CF2ACF"/>
    <w:rsid w:val="00D03AAF"/>
    <w:rsid w:val="00D8322C"/>
    <w:rsid w:val="00DA311F"/>
    <w:rsid w:val="00DD0539"/>
    <w:rsid w:val="00E07662"/>
    <w:rsid w:val="00E368E9"/>
    <w:rsid w:val="00EE1E33"/>
    <w:rsid w:val="00EF5D0E"/>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E400DBF"/>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2B6ABB"/>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4586</Words>
  <Characters>5052</Characters>
  <Lines>41</Lines>
  <Paragraphs>25</Paragraphs>
  <TotalTime>24</TotalTime>
  <ScaleCrop>false</ScaleCrop>
  <LinksUpToDate>false</LinksUpToDate>
  <CharactersWithSpaces>5111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2025-08-26T09:07:00Z</dcterms:created>
  <dc:creator>Administrator</dc:creator>
  <cp:lastModifiedBy>孙正义</cp:lastModifiedBy>
  <dcterms:modified xsi:type="dcterms:W3CDTF">2025-10-14T02:51:27Z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eyJoZGlkIjoiYzQ4ZDg5ZTM4OWUzOTIxZjJmOWY1YzRhZjQ5ZTU0MTkiLCJ1c2VySWQiOiIxNjIwNzQyNzI3In0=</vt:lpwstr>
  </property>
</Properties>
</file>