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CCBEF">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重庆市渝中区上清寺街道社区卫生服务中心</w:t>
      </w:r>
    </w:p>
    <w:p w14:paraId="396B4DA5">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F53BF9D">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431419D6">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767F0896">
      <w:pPr>
        <w:pStyle w:val="6"/>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重庆市渝中区上清寺街道社区卫生服务中心为重庆市渝中区卫生健康委员会直属的事业单位，依照相关政府部门规定和要求，医院承担基本医疗、公共卫生、医学教育、医学科研、预防保健等任务，为辖区居民提供医疗、预防、保健、康复、健康教育和计划生育六位一体的优质、高效、便捷的社区卫生服务。2021年通过重庆市甲级社区卫生服务中心评审，2023年通过社区医院评审，是全科住院医师规范化培训基地。主要职责是：（一）贯彻落实新时期我国卫生与健康工作方针，坚持公益性，保障人民群众健康，推动</w:t>
      </w:r>
      <w:r>
        <w:rPr>
          <w:rFonts w:hint="eastAsia" w:ascii="方正仿宋_GBK" w:hAnsi="方正仿宋_GBK" w:eastAsia="方正仿宋_GBK" w:cs="方正仿宋_GBK"/>
          <w:sz w:val="32"/>
          <w:szCs w:val="32"/>
          <w:shd w:val="clear" w:color="auto" w:fill="FFFFFF"/>
          <w:lang w:val="en-US" w:eastAsia="zh-CN"/>
        </w:rPr>
        <w:t>中心</w:t>
      </w:r>
      <w:r>
        <w:rPr>
          <w:rFonts w:hint="eastAsia" w:ascii="方正仿宋_GBK" w:hAnsi="方正仿宋_GBK" w:eastAsia="方正仿宋_GBK" w:cs="方正仿宋_GBK"/>
          <w:sz w:val="32"/>
          <w:szCs w:val="32"/>
          <w:shd w:val="clear" w:color="auto" w:fill="FFFFFF"/>
        </w:rPr>
        <w:t>各方面工作健康发展。（二）为人民群众提供医疗保健、疾病预防、健康教育、健康科普等医疗和基本公共卫生服务。（三）承担院校医学教育、毕业后医学教育（含住院医师规范化培训、专科医师规范化培训）和继续医学教育，不断提升医学人才能力素质和工作水平。（四）开展临床医学和基础医学研究，推动医学科技成果转化。（五）按照举办主体和有关部门批准的范围开展对外技术交流和国际合作。（六）按照举办主体和有关部门批准的范围开展涉外医疗服务，承担重大活动医疗保障任务，承担突发公共事件的医疗卫生救助。（七）根据规划和需求，经举办主体和有关部门批准，可与社会力量合作举办新的非营利性医疗机构或在人才、管理、服务、技术、品牌等方面建立协议合作关系。（八）经举办主体和有关部门批准，与相关医疗机构组成医联体或医共体，推动形成基层首诊、双向转诊、急慢分治、上下联动的分级诊疗模式。（九）开展援疆援藏、对口帮扶、送医下乡等健康扶贫和志愿者服务工作。（十）承担上级党委和政府交办的其他事项。围绕渝中区区委区府“保基本、强基层、建机制”的工作重心，中心在区卫健委党委领导下，以15分钟高品质生活服务圈为战略指引，以党建+微建设“双主线”，党建+微网格“双管理”，党建+微机制“双嵌入”，党建+微服务“五联动”，形成了健康体系、健康供给、健康共建、健康共享的“1+4+5+N”的城市高品质健康圈整合型基层社区卫生服务新体系。</w:t>
      </w:r>
    </w:p>
    <w:p w14:paraId="6B2C7420">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239FA9C5">
      <w:pPr>
        <w:pStyle w:val="6"/>
        <w:shd w:val="clear" w:color="auto" w:fill="FFFFFF"/>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部门内设16个职能科室，分别为：行政办公室、党务办公室、财务科（挂号室）、后勤综合科、医务科、护理部、护士站、门诊部、医养结合照护中心、中医科、药剂科、预防保健科、社区科、病案管理科、院感科、信息科</w:t>
      </w:r>
      <w:r>
        <w:rPr>
          <w:rFonts w:hint="eastAsia" w:ascii="方正仿宋_GBK" w:hAnsi="方正仿宋_GBK" w:eastAsia="方正仿宋_GBK" w:cs="方正仿宋_GBK"/>
          <w:sz w:val="32"/>
          <w:szCs w:val="32"/>
          <w:shd w:val="clear" w:color="auto" w:fill="FFFFFF"/>
          <w:lang w:eastAsia="zh-CN"/>
        </w:rPr>
        <w:t>。</w:t>
      </w:r>
    </w:p>
    <w:p w14:paraId="1ADDF043">
      <w:pPr>
        <w:pStyle w:val="6"/>
        <w:numPr>
          <w:ilvl w:val="0"/>
          <w:numId w:val="1"/>
        </w:numPr>
        <w:shd w:val="clear" w:color="auto" w:fill="FFFFFF"/>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Style w:val="10"/>
          <w:rFonts w:ascii="黑体" w:hAnsi="黑体" w:eastAsia="黑体" w:cs="黑体"/>
          <w:sz w:val="32"/>
          <w:szCs w:val="32"/>
          <w:shd w:val="clear" w:color="auto" w:fill="FFFFFF"/>
        </w:rPr>
        <w:t>单位决算收支情况说明</w:t>
      </w:r>
    </w:p>
    <w:p w14:paraId="06BAA852">
      <w:pPr>
        <w:pStyle w:val="11"/>
        <w:autoSpaceDE w:val="0"/>
        <w:ind w:firstLine="643"/>
        <w:rPr>
          <w:rFonts w:hint="eastAsia" w:ascii="楷体" w:hAnsi="楷体" w:eastAsia="楷体" w:cs="楷体"/>
          <w:b/>
          <w:bCs/>
          <w:sz w:val="32"/>
          <w:szCs w:val="32"/>
          <w:shd w:val="clear" w:color="auto" w:fill="FFFFFF"/>
        </w:rPr>
      </w:pPr>
    </w:p>
    <w:p w14:paraId="7C7373D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2955BB0">
      <w:pPr>
        <w:pStyle w:val="6"/>
        <w:shd w:val="clear" w:color="auto" w:fill="FFFFFF"/>
        <w:ind w:firstLine="643" w:firstLineChars="200"/>
        <w:rPr>
          <w:rFonts w:hint="eastAsia" w:ascii="方正仿宋_GBK" w:hAnsi="方正仿宋_GBK" w:eastAsia="方正仿宋_GBK" w:cs="方正仿宋_GBK"/>
          <w:color w:val="FF0000"/>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2024年度收入总计6884.09万元，支出总计</w:t>
      </w:r>
      <w:r>
        <w:rPr>
          <w:rFonts w:ascii="方正仿宋_GBK" w:hAnsi="方正仿宋_GBK" w:eastAsia="方正仿宋_GBK" w:cs="方正仿宋_GBK"/>
          <w:sz w:val="32"/>
          <w:szCs w:val="32"/>
        </w:rPr>
        <w:t>6884.09</w:t>
      </w:r>
      <w:r>
        <w:rPr>
          <w:rFonts w:ascii="方正仿宋_GBK" w:hAnsi="方正仿宋_GBK" w:eastAsia="方正仿宋_GBK" w:cs="方正仿宋_GBK"/>
          <w:sz w:val="32"/>
          <w:szCs w:val="32"/>
          <w:shd w:val="clear" w:color="auto" w:fill="FFFFFF"/>
        </w:rPr>
        <w:t>万元。收、支与2023年度相比，增加831.65万元，增长13.7%，</w:t>
      </w:r>
      <w:r>
        <w:rPr>
          <w:rFonts w:hint="eastAsia" w:ascii="方正仿宋_GBK" w:hAnsi="方正仿宋_GBK" w:eastAsia="方正仿宋_GBK" w:cs="方正仿宋_GBK"/>
          <w:color w:val="FF0000"/>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val="en-US" w:eastAsia="zh-CN"/>
        </w:rPr>
        <w:t>其他收入增加，中医特色建设项目和上清寺中心负一楼层装修改造项目专项债增加</w:t>
      </w:r>
      <w:r>
        <w:rPr>
          <w:rFonts w:hint="eastAsia"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color w:val="FF0000"/>
          <w:sz w:val="32"/>
          <w:szCs w:val="32"/>
          <w:shd w:val="clear" w:color="auto" w:fill="FFFFFF"/>
          <w:lang w:val="en-US" w:eastAsia="zh-CN"/>
        </w:rPr>
        <w:t xml:space="preserve"> </w:t>
      </w:r>
    </w:p>
    <w:p w14:paraId="3C3FA48B">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2024年度收入合计6553.87万元，与2023年度相比，增加521.85万元，增长8.7%，</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val="en-US" w:eastAsia="zh-CN"/>
        </w:rPr>
        <w:t>其他收入增加，上清寺中心中医特色建设项目和上清寺中心负一楼层装修改造项目专项债增加</w:t>
      </w:r>
      <w:r>
        <w:rPr>
          <w:rFonts w:hint="eastAsia"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1439.70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21.97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3027.20</w:t>
      </w:r>
      <w:r>
        <w:rPr>
          <w:rFonts w:ascii="方正仿宋_GBK" w:hAnsi="方正仿宋_GBK" w:eastAsia="方正仿宋_GBK" w:cs="方正仿宋_GBK"/>
          <w:sz w:val="32"/>
          <w:szCs w:val="32"/>
          <w:shd w:val="clear" w:color="auto" w:fill="FFFFFF"/>
        </w:rPr>
        <w:t>万元，占46.19%；经营收入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2086.97</w:t>
      </w:r>
      <w:r>
        <w:rPr>
          <w:rFonts w:ascii="方正仿宋_GBK" w:hAnsi="方正仿宋_GBK" w:eastAsia="方正仿宋_GBK" w:cs="方正仿宋_GBK"/>
          <w:sz w:val="32"/>
          <w:szCs w:val="32"/>
          <w:shd w:val="clear" w:color="auto" w:fill="FFFFFF"/>
        </w:rPr>
        <w:t>万元，占31.84%。此外，使用非财政拨款结余和专用结余</w:t>
      </w:r>
      <w:r>
        <w:rPr>
          <w:rFonts w:ascii="方正仿宋_GBK" w:hAnsi="方正仿宋_GBK" w:eastAsia="方正仿宋_GBK" w:cs="方正仿宋_GBK"/>
          <w:sz w:val="32"/>
          <w:szCs w:val="32"/>
        </w:rPr>
        <w:t>330.22</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2F8F60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6871.05</w:t>
      </w:r>
      <w:r>
        <w:rPr>
          <w:rFonts w:ascii="方正仿宋_GBK" w:hAnsi="方正仿宋_GBK" w:eastAsia="方正仿宋_GBK" w:cs="方正仿宋_GBK"/>
          <w:sz w:val="32"/>
          <w:szCs w:val="32"/>
          <w:shd w:val="clear" w:color="auto" w:fill="FFFFFF"/>
        </w:rPr>
        <w:t>万元，与2023年度相比，增加869.75万元，增长14.5%，</w:t>
      </w:r>
      <w:r>
        <w:rPr>
          <w:rFonts w:hint="eastAsia" w:ascii="方正仿宋_GBK" w:hAnsi="方正仿宋_GBK" w:eastAsia="方正仿宋_GBK" w:cs="方正仿宋_GBK"/>
          <w:color w:val="FF0000"/>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val="en-US" w:eastAsia="zh-CN"/>
        </w:rPr>
        <w:t>其他支出增加，上清寺中心中医特色建设项目和上清寺中心负一楼层装修改造项目专项债增加</w:t>
      </w:r>
      <w:r>
        <w:rPr>
          <w:rFonts w:hint="eastAsia"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4032.06</w:t>
      </w:r>
      <w:r>
        <w:rPr>
          <w:rFonts w:ascii="方正仿宋_GBK" w:hAnsi="方正仿宋_GBK" w:eastAsia="方正仿宋_GBK" w:cs="方正仿宋_GBK"/>
          <w:sz w:val="32"/>
          <w:szCs w:val="32"/>
          <w:shd w:val="clear" w:color="auto" w:fill="FFFFFF"/>
        </w:rPr>
        <w:t>万元，占58.68%；项目支出</w:t>
      </w:r>
      <w:r>
        <w:rPr>
          <w:rFonts w:ascii="方正仿宋_GBK" w:hAnsi="方正仿宋_GBK" w:eastAsia="方正仿宋_GBK" w:cs="方正仿宋_GBK"/>
          <w:sz w:val="32"/>
          <w:szCs w:val="32"/>
        </w:rPr>
        <w:t>2838.99</w:t>
      </w:r>
      <w:r>
        <w:rPr>
          <w:rFonts w:ascii="方正仿宋_GBK" w:hAnsi="方正仿宋_GBK" w:eastAsia="方正仿宋_GBK" w:cs="方正仿宋_GBK"/>
          <w:sz w:val="32"/>
          <w:szCs w:val="32"/>
          <w:shd w:val="clear" w:color="auto" w:fill="FFFFFF"/>
        </w:rPr>
        <w:t>万元，占41.32%；经营支出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13.04</w:t>
      </w:r>
      <w:r>
        <w:rPr>
          <w:rFonts w:ascii="方正仿宋_GBK" w:hAnsi="方正仿宋_GBK" w:eastAsia="方正仿宋_GBK" w:cs="方正仿宋_GBK"/>
          <w:sz w:val="32"/>
          <w:szCs w:val="32"/>
          <w:shd w:val="clear" w:color="auto" w:fill="FFFFFF"/>
        </w:rPr>
        <w:t>万元。</w:t>
      </w:r>
    </w:p>
    <w:p w14:paraId="09F067D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color w:val="FF0000"/>
          <w:sz w:val="32"/>
          <w:szCs w:val="32"/>
          <w:shd w:val="clear" w:color="auto" w:fill="FFFFFF"/>
        </w:rPr>
        <w:t>主要原因是202</w:t>
      </w:r>
      <w:r>
        <w:rPr>
          <w:rFonts w:hint="eastAsia" w:ascii="方正仿宋_GBK" w:hAnsi="方正仿宋_GBK" w:eastAsia="方正仿宋_GBK" w:cs="方正仿宋_GBK"/>
          <w:color w:val="FF0000"/>
          <w:sz w:val="32"/>
          <w:szCs w:val="32"/>
          <w:shd w:val="clear" w:color="auto" w:fill="FFFFFF"/>
          <w:lang w:val="en-US" w:eastAsia="zh-CN"/>
        </w:rPr>
        <w:t>4</w:t>
      </w:r>
      <w:r>
        <w:rPr>
          <w:rFonts w:hint="eastAsia" w:ascii="方正仿宋_GBK" w:hAnsi="方正仿宋_GBK" w:eastAsia="方正仿宋_GBK" w:cs="方正仿宋_GBK"/>
          <w:color w:val="FF0000"/>
          <w:sz w:val="32"/>
          <w:szCs w:val="32"/>
          <w:shd w:val="clear" w:color="auto" w:fill="FFFFFF"/>
        </w:rPr>
        <w:t>年年末无结转，结余已分配。</w:t>
      </w:r>
    </w:p>
    <w:p w14:paraId="4539E11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14:paraId="0B65314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D88412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2024年度财政拨款收、支总计1439.70万元。与2023年相比，财政拨款收、支总计各减少195.95万元，下降12.0%。主要原因是</w:t>
      </w:r>
      <w:r>
        <w:rPr>
          <w:rFonts w:hint="eastAsia" w:ascii="方正仿宋_GBK" w:hAnsi="方正仿宋_GBK" w:eastAsia="方正仿宋_GBK" w:cs="方正仿宋_GBK"/>
          <w:color w:val="FF0000"/>
          <w:sz w:val="32"/>
          <w:szCs w:val="32"/>
          <w:shd w:val="clear" w:color="auto" w:fill="FFFFFF"/>
          <w:lang w:val="en-US" w:eastAsia="zh-CN"/>
        </w:rPr>
        <w:t>突发公共卫生收支减少</w:t>
      </w:r>
      <w:r>
        <w:rPr>
          <w:rFonts w:ascii="方正仿宋_GBK" w:hAnsi="方正仿宋_GBK" w:eastAsia="方正仿宋_GBK" w:cs="方正仿宋_GBK"/>
          <w:color w:val="FF0000"/>
          <w:sz w:val="32"/>
          <w:szCs w:val="32"/>
          <w:shd w:val="clear" w:color="auto" w:fill="FFFFFF"/>
        </w:rPr>
        <w:t>。</w:t>
      </w:r>
    </w:p>
    <w:p w14:paraId="558E1D8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4476A1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1439.70</w:t>
      </w:r>
      <w:r>
        <w:rPr>
          <w:rFonts w:ascii="方正仿宋_GBK" w:hAnsi="方正仿宋_GBK" w:eastAsia="方正仿宋_GBK" w:cs="方正仿宋_GBK"/>
          <w:sz w:val="32"/>
          <w:szCs w:val="32"/>
          <w:shd w:val="clear" w:color="auto" w:fill="FFFFFF"/>
        </w:rPr>
        <w:t>万元，与2023年度相比，减少195.95万元，下降12.0%。主要原因是</w:t>
      </w:r>
      <w:r>
        <w:rPr>
          <w:rFonts w:hint="eastAsia" w:ascii="方正仿宋_GBK" w:hAnsi="方正仿宋_GBK" w:eastAsia="方正仿宋_GBK" w:cs="方正仿宋_GBK"/>
          <w:color w:val="FF0000"/>
          <w:sz w:val="32"/>
          <w:szCs w:val="32"/>
          <w:shd w:val="clear" w:color="auto" w:fill="FFFFFF"/>
          <w:lang w:val="en-US" w:eastAsia="zh-CN"/>
        </w:rPr>
        <w:t>突发公共卫生收入减少</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较年初预算数增加812.98万元，增长129.7%。主要原因是</w:t>
      </w:r>
      <w:r>
        <w:rPr>
          <w:rFonts w:hint="eastAsia" w:ascii="方正仿宋_GBK" w:hAnsi="方正仿宋_GBK" w:eastAsia="方正仿宋_GBK" w:cs="方正仿宋_GBK"/>
          <w:color w:val="FF0000"/>
          <w:sz w:val="32"/>
          <w:szCs w:val="32"/>
          <w:shd w:val="clear" w:color="auto" w:fill="FFFFFF"/>
        </w:rPr>
        <w:t>基本公共卫生服务</w:t>
      </w:r>
      <w:r>
        <w:rPr>
          <w:rFonts w:hint="eastAsia" w:ascii="方正仿宋_GBK" w:hAnsi="方正仿宋_GBK" w:eastAsia="方正仿宋_GBK" w:cs="方正仿宋_GBK"/>
          <w:color w:val="FF0000"/>
          <w:sz w:val="32"/>
          <w:szCs w:val="32"/>
          <w:shd w:val="clear" w:color="auto" w:fill="FFFFFF"/>
          <w:lang w:val="en-US" w:eastAsia="zh-CN"/>
        </w:rPr>
        <w:t>收入增加</w:t>
      </w:r>
      <w:r>
        <w:rPr>
          <w:rFonts w:hint="eastAsia" w:ascii="方正仿宋_GBK" w:hAnsi="方正仿宋_GBK" w:eastAsia="方正仿宋_GBK" w:cs="方正仿宋_GBK"/>
          <w:color w:val="FF0000"/>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46F9A77">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1439.70</w:t>
      </w:r>
      <w:r>
        <w:rPr>
          <w:rFonts w:ascii="方正仿宋_GBK" w:hAnsi="方正仿宋_GBK" w:eastAsia="方正仿宋_GBK" w:cs="方正仿宋_GBK"/>
          <w:sz w:val="32"/>
          <w:szCs w:val="32"/>
          <w:shd w:val="clear" w:color="auto" w:fill="FFFFFF"/>
        </w:rPr>
        <w:t>万元，与2023年度相比，减少195.95万元，下降12.0%。主要原因是</w:t>
      </w:r>
      <w:r>
        <w:rPr>
          <w:rFonts w:hint="eastAsia" w:ascii="方正仿宋_GBK" w:hAnsi="方正仿宋_GBK" w:eastAsia="方正仿宋_GBK" w:cs="方正仿宋_GBK"/>
          <w:color w:val="FF0000"/>
          <w:sz w:val="32"/>
          <w:szCs w:val="32"/>
          <w:shd w:val="clear" w:color="auto" w:fill="FFFFFF"/>
          <w:lang w:val="en-US" w:eastAsia="zh-CN"/>
        </w:rPr>
        <w:t>突发公共卫生支出减少</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较年初预算数增加812.98万元，增长129.7%。主要原因是</w:t>
      </w:r>
      <w:r>
        <w:rPr>
          <w:rFonts w:hint="eastAsia" w:ascii="方正仿宋_GBK" w:hAnsi="方正仿宋_GBK" w:eastAsia="方正仿宋_GBK" w:cs="方正仿宋_GBK"/>
          <w:color w:val="FF0000"/>
          <w:sz w:val="32"/>
          <w:szCs w:val="32"/>
          <w:shd w:val="clear" w:color="auto" w:fill="FFFFFF"/>
        </w:rPr>
        <w:t>基本公共卫生服务</w:t>
      </w:r>
      <w:r>
        <w:rPr>
          <w:rFonts w:hint="eastAsia" w:ascii="方正仿宋_GBK" w:hAnsi="方正仿宋_GBK" w:eastAsia="方正仿宋_GBK" w:cs="方正仿宋_GBK"/>
          <w:color w:val="FF0000"/>
          <w:sz w:val="32"/>
          <w:szCs w:val="32"/>
          <w:shd w:val="clear" w:color="auto" w:fill="FFFFFF"/>
          <w:lang w:val="en-US" w:eastAsia="zh-CN"/>
        </w:rPr>
        <w:t>支出增加</w:t>
      </w:r>
      <w:r>
        <w:rPr>
          <w:rFonts w:hint="eastAsia" w:ascii="方正仿宋_GBK" w:hAnsi="方正仿宋_GBK" w:eastAsia="方正仿宋_GBK" w:cs="方正仿宋_GBK"/>
          <w:color w:val="FF0000"/>
          <w:sz w:val="32"/>
          <w:szCs w:val="32"/>
          <w:shd w:val="clear" w:color="auto" w:fill="FFFFFF"/>
          <w:lang w:eastAsia="zh-CN"/>
        </w:rPr>
        <w:t>。</w:t>
      </w:r>
    </w:p>
    <w:p w14:paraId="77DE4C7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color w:val="FF0000"/>
          <w:sz w:val="32"/>
          <w:szCs w:val="32"/>
          <w:shd w:val="clear" w:color="auto" w:fill="FFFFFF"/>
        </w:rPr>
        <w:t>与上年持平。</w:t>
      </w:r>
    </w:p>
    <w:p w14:paraId="1E11311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25B9B11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396.22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27.52</w:t>
      </w:r>
      <w:r>
        <w:rPr>
          <w:rFonts w:ascii="方正仿宋_GBK" w:hAnsi="方正仿宋_GBK" w:eastAsia="方正仿宋_GBK" w:cs="方正仿宋_GBK"/>
          <w:sz w:val="32"/>
          <w:szCs w:val="32"/>
          <w:shd w:val="clear" w:color="auto" w:fill="FFFFFF"/>
        </w:rPr>
        <w:t>%，较年初预算数增加24.12万元，增长6.5%，</w:t>
      </w:r>
      <w:r>
        <w:rPr>
          <w:rFonts w:ascii="方正仿宋_GBK" w:hAnsi="方正仿宋_GBK" w:eastAsia="方正仿宋_GBK" w:cs="方正仿宋_GBK"/>
          <w:color w:val="FF0000"/>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val="en-US" w:eastAsia="zh-CN"/>
        </w:rPr>
        <w:t>中心新进医务人员工资及人员</w:t>
      </w:r>
      <w:r>
        <w:rPr>
          <w:rFonts w:hint="default" w:ascii="方正仿宋_GBK" w:hAnsi="方正仿宋_GBK" w:eastAsia="方正仿宋_GBK" w:cs="方正仿宋_GBK"/>
          <w:color w:val="FF0000"/>
          <w:sz w:val="32"/>
          <w:szCs w:val="32"/>
          <w:shd w:val="clear" w:color="auto" w:fill="FFFFFF"/>
        </w:rPr>
        <w:t>政策性调资</w:t>
      </w:r>
      <w:r>
        <w:rPr>
          <w:rFonts w:hint="eastAsia" w:ascii="方正仿宋_GBK" w:hAnsi="方正仿宋_GBK" w:eastAsia="方正仿宋_GBK" w:cs="方正仿宋_GBK"/>
          <w:color w:val="FF0000"/>
          <w:sz w:val="32"/>
          <w:szCs w:val="32"/>
          <w:shd w:val="clear" w:color="auto" w:fill="FFFFFF"/>
          <w:lang w:eastAsia="zh-CN"/>
        </w:rPr>
        <w:t>。</w:t>
      </w:r>
    </w:p>
    <w:p w14:paraId="25AE6A4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1023.37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71.08</w:t>
      </w:r>
      <w:r>
        <w:rPr>
          <w:rFonts w:ascii="方正仿宋_GBK" w:hAnsi="方正仿宋_GBK" w:eastAsia="方正仿宋_GBK" w:cs="方正仿宋_GBK"/>
          <w:sz w:val="32"/>
          <w:szCs w:val="32"/>
          <w:shd w:val="clear" w:color="auto" w:fill="FFFFFF"/>
        </w:rPr>
        <w:t>%，较年初预算数增加786.25万元，增长331.6%，主要原因是</w:t>
      </w:r>
      <w:r>
        <w:rPr>
          <w:rFonts w:hint="eastAsia" w:ascii="方正仿宋_GBK" w:hAnsi="方正仿宋_GBK" w:eastAsia="方正仿宋_GBK" w:cs="方正仿宋_GBK"/>
          <w:color w:val="FF0000"/>
          <w:sz w:val="32"/>
          <w:szCs w:val="32"/>
          <w:shd w:val="clear" w:color="auto" w:fill="FFFFFF"/>
        </w:rPr>
        <w:t>基本公共卫生服务</w:t>
      </w:r>
      <w:r>
        <w:rPr>
          <w:rFonts w:hint="eastAsia" w:ascii="方正仿宋_GBK" w:hAnsi="方正仿宋_GBK" w:eastAsia="方正仿宋_GBK" w:cs="方正仿宋_GBK"/>
          <w:color w:val="FF0000"/>
          <w:sz w:val="32"/>
          <w:szCs w:val="32"/>
          <w:shd w:val="clear" w:color="auto" w:fill="FFFFFF"/>
          <w:lang w:val="en-US" w:eastAsia="zh-CN"/>
        </w:rPr>
        <w:t>支出增加</w:t>
      </w:r>
      <w:r>
        <w:rPr>
          <w:rFonts w:hint="eastAsia" w:ascii="方正仿宋_GBK" w:hAnsi="方正仿宋_GBK" w:eastAsia="方正仿宋_GBK" w:cs="方正仿宋_GBK"/>
          <w:color w:val="FF0000"/>
          <w:sz w:val="32"/>
          <w:szCs w:val="32"/>
          <w:shd w:val="clear" w:color="auto" w:fill="FFFFFF"/>
          <w:lang w:eastAsia="zh-CN"/>
        </w:rPr>
        <w:t>。</w:t>
      </w:r>
    </w:p>
    <w:p w14:paraId="5DF4876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住房保障支出20.11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1.40</w:t>
      </w:r>
      <w:r>
        <w:rPr>
          <w:rFonts w:ascii="方正仿宋_GBK" w:hAnsi="方正仿宋_GBK" w:eastAsia="方正仿宋_GBK" w:cs="方正仿宋_GBK"/>
          <w:sz w:val="32"/>
          <w:szCs w:val="32"/>
          <w:shd w:val="clear" w:color="auto" w:fill="FFFFFF"/>
        </w:rPr>
        <w:t>%，较年初预算数增加2.61万元，增长14.9%，</w:t>
      </w:r>
      <w:r>
        <w:rPr>
          <w:rFonts w:hint="default" w:ascii="方正仿宋_GBK" w:hAnsi="方正仿宋_GBK" w:eastAsia="方正仿宋_GBK" w:cs="方正仿宋_GBK"/>
          <w:color w:val="FF0000"/>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val="en-US" w:eastAsia="zh-CN"/>
        </w:rPr>
        <w:t>新进</w:t>
      </w:r>
      <w:r>
        <w:rPr>
          <w:rFonts w:hint="default" w:ascii="方正仿宋_GBK" w:hAnsi="方正仿宋_GBK" w:eastAsia="方正仿宋_GBK" w:cs="方正仿宋_GBK"/>
          <w:color w:val="FF0000"/>
          <w:sz w:val="32"/>
          <w:szCs w:val="32"/>
          <w:shd w:val="clear" w:color="auto" w:fill="FFFFFF"/>
        </w:rPr>
        <w:t>职工住房补贴。</w:t>
      </w:r>
    </w:p>
    <w:p w14:paraId="1A3476C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870D25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651.28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651.28</w:t>
      </w:r>
      <w:r>
        <w:rPr>
          <w:rFonts w:ascii="方正仿宋_GBK" w:hAnsi="方正仿宋_GBK" w:eastAsia="方正仿宋_GBK" w:cs="方正仿宋_GBK"/>
          <w:sz w:val="32"/>
          <w:szCs w:val="32"/>
          <w:shd w:val="clear" w:color="auto" w:fill="FFFFFF"/>
        </w:rPr>
        <w:t>万元，与2023年度相比，增加15.33万元，增长2.4%，</w:t>
      </w:r>
      <w:r>
        <w:rPr>
          <w:rFonts w:ascii="方正仿宋_GBK" w:hAnsi="方正仿宋_GBK" w:eastAsia="方正仿宋_GBK" w:cs="方正仿宋_GBK"/>
          <w:color w:val="FF0000"/>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val="en-US" w:eastAsia="zh-CN"/>
        </w:rPr>
        <w:t>中心新进医务人员工资及人员</w:t>
      </w:r>
      <w:r>
        <w:rPr>
          <w:rFonts w:hint="default" w:ascii="方正仿宋_GBK" w:hAnsi="方正仿宋_GBK" w:eastAsia="方正仿宋_GBK" w:cs="方正仿宋_GBK"/>
          <w:color w:val="FF0000"/>
          <w:sz w:val="32"/>
          <w:szCs w:val="32"/>
          <w:shd w:val="clear" w:color="auto" w:fill="FFFFFF"/>
        </w:rPr>
        <w:t>政策性调资</w:t>
      </w:r>
      <w:r>
        <w:rPr>
          <w:rFonts w:hint="eastAsia" w:ascii="方正仿宋_GBK" w:hAnsi="方正仿宋_GBK" w:eastAsia="方正仿宋_GBK" w:cs="方正仿宋_GBK"/>
          <w:color w:val="FF0000"/>
          <w:sz w:val="32"/>
          <w:szCs w:val="32"/>
          <w:shd w:val="clear" w:color="auto" w:fill="FFFFFF"/>
        </w:rPr>
        <w:t>。人员经费用途主要包括基本工资、津贴补贴、社会保障缴费。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color w:val="FF0000"/>
          <w:sz w:val="32"/>
          <w:szCs w:val="32"/>
          <w:shd w:val="clear" w:color="auto" w:fill="FFFFFF"/>
        </w:rPr>
        <w:t>与上年持平。</w:t>
      </w:r>
    </w:p>
    <w:p w14:paraId="1EA78B4F">
      <w:pPr>
        <w:pStyle w:val="11"/>
        <w:autoSpaceDE w:val="0"/>
        <w:ind w:firstLine="643"/>
        <w:rPr>
          <w:rStyle w:val="10"/>
          <w:rFonts w:ascii="方正仿宋_GBK" w:hAnsi="方正仿宋_GBK" w:eastAsia="方正仿宋_GBK" w:cs="方正仿宋_GBK"/>
          <w:sz w:val="32"/>
          <w:szCs w:val="32"/>
          <w:shd w:val="clear" w:color="auto" w:fill="FFFF00"/>
        </w:rPr>
      </w:pPr>
      <w:r>
        <w:rPr>
          <w:rFonts w:hint="eastAsia" w:ascii="楷体" w:hAnsi="楷体" w:eastAsia="楷体" w:cs="楷体"/>
          <w:b/>
          <w:bCs/>
          <w:sz w:val="32"/>
          <w:szCs w:val="32"/>
          <w:shd w:val="clear" w:color="auto" w:fill="FFFFFF"/>
        </w:rPr>
        <w:t>（五）政府性基金预算收支决算情况说明</w:t>
      </w:r>
    </w:p>
    <w:p w14:paraId="5EB36E47">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年度无政府性基金预算财政拨款收支。</w:t>
      </w:r>
    </w:p>
    <w:p w14:paraId="2E17FA0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3E7B419">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年度无国有资本经营预算财政拨款支出。</w:t>
      </w:r>
    </w:p>
    <w:p w14:paraId="7D6BF7D3">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43B6ECF7">
      <w:pPr>
        <w:pStyle w:val="6"/>
        <w:numPr>
          <w:ilvl w:val="0"/>
          <w:numId w:val="0"/>
        </w:numPr>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我单位属于公益二类事业单位，财政未保障我单位“三公”经费。</w:t>
      </w:r>
    </w:p>
    <w:p w14:paraId="1901FF69">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9457C1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0BF0D9C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FF0000"/>
          <w:sz w:val="32"/>
          <w:szCs w:val="32"/>
          <w:shd w:val="clear" w:color="auto" w:fill="FFFFFF"/>
          <w:lang w:val="en-US" w:eastAsia="zh-CN"/>
        </w:rPr>
        <w:t>因</w:t>
      </w:r>
      <w:r>
        <w:rPr>
          <w:rFonts w:hint="eastAsia" w:ascii="方正仿宋_GBK" w:hAnsi="方正仿宋_GBK" w:eastAsia="方正仿宋_GBK" w:cs="方正仿宋_GBK"/>
          <w:color w:val="FF0000"/>
          <w:sz w:val="32"/>
          <w:szCs w:val="32"/>
          <w:shd w:val="clear" w:color="auto" w:fill="FFFFFF"/>
        </w:rPr>
        <w:t>我单位属于差额拨款单位，财政未保障我单位会议费和培训费。</w:t>
      </w:r>
    </w:p>
    <w:p w14:paraId="15E5A55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15AB71F">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color w:val="FF0000"/>
          <w:sz w:val="32"/>
          <w:szCs w:val="32"/>
        </w:rPr>
        <w:t>按照部门决算列报口径，我单位不在机关运行经费统计范围之内。</w:t>
      </w:r>
    </w:p>
    <w:p w14:paraId="3A0A72C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88F631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12890D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FE49DEB">
      <w:pPr>
        <w:pStyle w:val="6"/>
        <w:snapToGrid w:val="0"/>
        <w:spacing w:before="0" w:beforeAutospacing="0" w:after="0" w:afterAutospacing="0" w:line="600" w:lineRule="exact"/>
        <w:ind w:firstLine="1280" w:firstLineChars="4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1182.69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1182.69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1182.69万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907.89</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76.76</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FF0000"/>
          <w:sz w:val="32"/>
          <w:szCs w:val="32"/>
          <w:shd w:val="clear" w:color="auto" w:fill="FFFFFF"/>
          <w:lang w:val="en-US" w:eastAsia="zh-CN"/>
        </w:rPr>
        <w:t>医疗设备。</w:t>
      </w:r>
    </w:p>
    <w:p w14:paraId="24F03539">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78E04AD5">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7516ADA">
      <w:pPr>
        <w:pStyle w:val="16"/>
        <w:tabs>
          <w:tab w:val="center" w:pos="4153"/>
          <w:tab w:val="left" w:pos="7275"/>
        </w:tabs>
        <w:spacing w:line="600" w:lineRule="exact"/>
        <w:ind w:firstLine="640"/>
        <w:rPr>
          <w:rFonts w:ascii="Times New Roman" w:hAnsi="Times New Roman" w:eastAsia="方正仿宋_GBK"/>
          <w:color w:val="FF0000"/>
          <w:sz w:val="32"/>
          <w:szCs w:val="32"/>
        </w:rPr>
      </w:pPr>
      <w:r>
        <w:rPr>
          <w:rFonts w:hint="default" w:ascii="Times New Roman" w:hAnsi="Times New Roman" w:eastAsia="方正仿宋_GBK"/>
          <w:color w:val="FF0000"/>
          <w:sz w:val="32"/>
          <w:szCs w:val="32"/>
        </w:rPr>
        <w:t>根据预算绩效管理要求，我</w:t>
      </w:r>
      <w:r>
        <w:rPr>
          <w:rFonts w:ascii="Times New Roman" w:hAnsi="Times New Roman" w:eastAsia="方正仿宋_GBK"/>
          <w:color w:val="FF0000"/>
          <w:sz w:val="32"/>
          <w:szCs w:val="32"/>
        </w:rPr>
        <w:t>单位</w:t>
      </w:r>
      <w:r>
        <w:rPr>
          <w:rFonts w:hint="default" w:ascii="Times New Roman" w:hAnsi="Times New Roman" w:eastAsia="方正仿宋_GBK"/>
          <w:color w:val="FF0000"/>
          <w:sz w:val="32"/>
          <w:szCs w:val="32"/>
        </w:rPr>
        <w:t>对</w:t>
      </w:r>
      <w:r>
        <w:rPr>
          <w:rFonts w:hint="eastAsia" w:ascii="Times New Roman" w:hAnsi="Times New Roman" w:eastAsia="方正仿宋_GBK"/>
          <w:color w:val="FF0000"/>
          <w:sz w:val="32"/>
          <w:szCs w:val="32"/>
          <w:lang w:val="en-US" w:eastAsia="zh-CN"/>
        </w:rPr>
        <w:t>13</w:t>
      </w:r>
      <w:r>
        <w:rPr>
          <w:rFonts w:hint="default" w:ascii="Times New Roman" w:hAnsi="Times New Roman" w:eastAsia="方正仿宋_GBK"/>
          <w:color w:val="FF0000"/>
          <w:sz w:val="32"/>
          <w:szCs w:val="32"/>
        </w:rPr>
        <w:t>个项目开展了绩效自评，其中，以填报目标自评表形式开展自评</w:t>
      </w:r>
      <w:r>
        <w:rPr>
          <w:rFonts w:hint="eastAsia" w:ascii="Times New Roman" w:hAnsi="Times New Roman" w:eastAsia="方正仿宋_GBK"/>
          <w:color w:val="FF0000"/>
          <w:sz w:val="32"/>
          <w:szCs w:val="32"/>
          <w:lang w:val="en-US" w:eastAsia="zh-CN"/>
        </w:rPr>
        <w:t>13</w:t>
      </w:r>
      <w:r>
        <w:rPr>
          <w:rFonts w:hint="default" w:ascii="Times New Roman" w:hAnsi="Times New Roman" w:eastAsia="方正仿宋_GBK"/>
          <w:color w:val="FF0000"/>
          <w:sz w:val="32"/>
          <w:szCs w:val="32"/>
        </w:rPr>
        <w:t>项，涉及资金</w:t>
      </w:r>
      <w:r>
        <w:rPr>
          <w:rFonts w:hint="eastAsia" w:ascii="Times New Roman" w:hAnsi="Times New Roman" w:eastAsia="方正仿宋_GBK"/>
          <w:color w:val="FF0000"/>
          <w:sz w:val="32"/>
          <w:szCs w:val="32"/>
          <w:lang w:val="en-US" w:eastAsia="zh-CN"/>
        </w:rPr>
        <w:t>788.42</w:t>
      </w:r>
      <w:r>
        <w:rPr>
          <w:rFonts w:hint="default" w:ascii="Times New Roman" w:hAnsi="Times New Roman" w:eastAsia="方正仿宋_GBK"/>
          <w:color w:val="FF0000"/>
          <w:sz w:val="32"/>
          <w:szCs w:val="32"/>
        </w:rPr>
        <w:t>万元</w:t>
      </w:r>
      <w:r>
        <w:rPr>
          <w:rFonts w:ascii="Times New Roman" w:hAnsi="Times New Roman" w:eastAsia="方正仿宋_GBK"/>
          <w:color w:val="FF0000"/>
          <w:sz w:val="32"/>
          <w:szCs w:val="32"/>
        </w:rPr>
        <w:t>。</w:t>
      </w:r>
    </w:p>
    <w:p w14:paraId="1FFDC107">
      <w:pPr>
        <w:pStyle w:val="11"/>
        <w:autoSpaceDE w:val="0"/>
        <w:ind w:firstLine="640"/>
        <w:rPr>
          <w:rFonts w:hint="default" w:ascii="Times New Roman" w:hAnsi="Times New Roman" w:eastAsia="方正仿宋_GBK"/>
          <w:sz w:val="32"/>
          <w:szCs w:val="32"/>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14:paraId="7B1B8C90">
      <w:pPr>
        <w:pStyle w:val="12"/>
        <w:autoSpaceDE w:val="0"/>
        <w:spacing w:before="0" w:beforeAutospacing="0" w:after="0" w:afterAutospacing="0" w:line="596" w:lineRule="exact"/>
        <w:rPr>
          <w:rFonts w:hint="eastAsia" w:ascii="Times New Roman" w:hAnsi="Times New Roman" w:eastAsia="方正仿宋_GBK" w:cs="Times New Roman"/>
          <w:sz w:val="32"/>
          <w:szCs w:val="32"/>
          <w:lang w:val="en-US" w:eastAsia="zh-CN" w:bidi="ar-SA"/>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w:t>
      </w:r>
      <w:r>
        <w:rPr>
          <w:rFonts w:hint="eastAsia" w:ascii="Times New Roman" w:hAnsi="Times New Roman" w:eastAsia="方正仿宋_GBK" w:cs="Times New Roman"/>
          <w:sz w:val="32"/>
          <w:szCs w:val="32"/>
          <w:lang w:val="en-US" w:eastAsia="zh-CN" w:bidi="ar-SA"/>
        </w:rPr>
        <w:t>我单位对基本公共卫生服务项目开展了绩效评价，涉及财政拨款项目资金524.88万元，评价得分928.59分，评价等次为优，主要产出和效果：一是多维度推进赛马比拼指标，提供重点人群的健康管理服务；二是创新慢病管理促进医防融合，提供综合连续的公共卫生、基本医疗和健康管理服务。绩效评价发现了：一是个性化家庭医生签约服务不突出；二是服务质量参差不齐、服务内容执行不规范等。提出：一是打造有辨识度的“一团队一特色”星级家庭医生工作室品牌，增强家庭医生团队的服务能力，提升品牌力。二建立统一的服务标准、规范的操作流程和严格的质量控制体系，确保健康管理服务的质量和安全，为居民提供更加优质、高效、便捷的医疗服务。</w:t>
      </w:r>
    </w:p>
    <w:p w14:paraId="7C1A2B06">
      <w:pPr>
        <w:pStyle w:val="12"/>
        <w:autoSpaceDE w:val="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六、专业名词解释</w:t>
      </w:r>
    </w:p>
    <w:p w14:paraId="0357B8F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B74CE9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736447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C202B2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63E9FD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DA8654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357DBA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A8EC7E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33C5A21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4A679B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01BA08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C1C3F7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DBCCAD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C42093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AC0620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5A7B2E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4576DF4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DB3F08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2A9410A2">
      <w:pPr>
        <w:pStyle w:val="12"/>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本单位决算公开信息反馈和联系方式：邮箱yzqzyy@163.com，联系电话：023－63861148。</w:t>
      </w:r>
    </w:p>
    <w:p w14:paraId="1BD77858">
      <w:pPr>
        <w:rPr>
          <w:rFonts w:hint="default"/>
          <w:sz w:val="18"/>
          <w:szCs w:val="18"/>
        </w:rPr>
      </w:pPr>
      <w:bookmarkStart w:id="0" w:name="_GoBack"/>
      <w:bookmarkEnd w:id="0"/>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F1A0">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3D891E3">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1169">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934958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E0E2949">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3C04E">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CB9BA"/>
    <w:multiLevelType w:val="singleLevel"/>
    <w:tmpl w:val="A03CB9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3B87EA0"/>
    <w:rsid w:val="03E3214F"/>
    <w:rsid w:val="04026078"/>
    <w:rsid w:val="044C50BA"/>
    <w:rsid w:val="05416E99"/>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0413F3"/>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821A95"/>
    <w:rsid w:val="24B92327"/>
    <w:rsid w:val="24C14514"/>
    <w:rsid w:val="252D4D73"/>
    <w:rsid w:val="2533755C"/>
    <w:rsid w:val="25791755"/>
    <w:rsid w:val="26396DF4"/>
    <w:rsid w:val="26B506F9"/>
    <w:rsid w:val="27167136"/>
    <w:rsid w:val="271B442C"/>
    <w:rsid w:val="27B23302"/>
    <w:rsid w:val="27FF1556"/>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0D4999"/>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BF692B"/>
    <w:rsid w:val="64FB113D"/>
    <w:rsid w:val="656152C6"/>
    <w:rsid w:val="656C3288"/>
    <w:rsid w:val="6587477F"/>
    <w:rsid w:val="658C3A08"/>
    <w:rsid w:val="65C031CA"/>
    <w:rsid w:val="65CE6852"/>
    <w:rsid w:val="66267C04"/>
    <w:rsid w:val="663F505A"/>
    <w:rsid w:val="666C2D2F"/>
    <w:rsid w:val="66AF5D7C"/>
    <w:rsid w:val="66B3247E"/>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5025</Words>
  <Characters>5572</Characters>
  <Lines>186</Lines>
  <Paragraphs>52</Paragraphs>
  <TotalTime>4</TotalTime>
  <ScaleCrop>false</ScaleCrop>
  <LinksUpToDate>false</LinksUpToDate>
  <CharactersWithSpaces>5628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孙正义</cp:lastModifiedBy>
  <dcterms:modified xsi:type="dcterms:W3CDTF">2025-10-14T02:52:14Z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eyJoZGlkIjoiYzQ4ZDg5ZTM4OWUzOTIxZjJmOWY1YzRhZjQ5ZTU0MTkiLCJ1c2VySWQiOiIxNjIwNzQyNzI3In0=</vt:lpwstr>
  </property>
</Properties>
</file>