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9"/>
        <w:spacing w:before="0" w:beforeAutospacing="0" w:after="0" w:afterAutospacing="0" w:line="596" w:lineRule="exact"/>
        <w:jc w:val="center"/>
        <w:rPr>
          <w:rFonts w:ascii="方正小标宋_GBK" w:eastAsia="方正小标宋_GBK" w:cs="方正小标宋_GBK"/>
          <w:sz w:val="44"/>
          <w:szCs w:val="44"/>
        </w:rPr>
      </w:pPr>
      <w:r>
        <w:rPr>
          <w:rFonts w:ascii="方正小标宋_GBK" w:eastAsia="方正小标宋_GBK" w:cs="方正小标宋_GBK" w:hint="eastAsia"/>
          <w:sz w:val="44"/>
          <w:szCs w:val="44"/>
        </w:rPr>
        <w:t>重庆市渝中区南纪门街道社区卫生服务中心</w:t>
      </w:r>
    </w:p>
    <w:p>
      <w:pPr>
        <w:pStyle w:val="19"/>
        <w:spacing w:before="0" w:beforeAutospacing="0" w:after="0" w:afterAutospacing="0" w:line="596" w:lineRule="exact"/>
        <w:jc w:val="center"/>
        <w:rPr>
          <w:rFonts w:ascii="方正小标宋_GBK" w:eastAsia="方正小标宋_GBK" w:cs="方正小标宋_GBK"/>
          <w:sz w:val="44"/>
          <w:szCs w:val="44"/>
          <w:shd w:val="clear" w:color="auto" w:fill="FFFFFF"/>
        </w:rPr>
      </w:pPr>
      <w:r>
        <w:rPr>
          <w:rFonts w:ascii="Times New Roman" w:eastAsia="方正小标宋_GBK" w:hAnsi="Times New Roman"/>
          <w:sz w:val="44"/>
          <w:szCs w:val="44"/>
          <w:shd w:val="clear" w:color="auto" w:fill="FFFFFF"/>
        </w:rPr>
        <w:t>2024</w:t>
      </w:r>
      <w:r>
        <w:rPr>
          <w:rFonts w:ascii="方正小标宋_GBK" w:eastAsia="方正小标宋_GBK" w:cs="方正小标宋_GBK" w:hint="eastAsia"/>
          <w:sz w:val="44"/>
          <w:szCs w:val="44"/>
          <w:shd w:val="clear" w:color="auto" w:fill="FFFFFF"/>
        </w:rPr>
        <w:t>年度决算公开说明</w:t>
      </w:r>
    </w:p>
    <w:p>
      <w:pPr>
        <w:pStyle w:val="19"/>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Chars="200" w:firstLine="640"/>
        <w:textAlignment w:val="auto"/>
        <w:rPr>
          <w:rStyle w:val="20"/>
          <w:rFonts w:ascii="方正黑体_GBK" w:eastAsia="方正黑体_GBK" w:cs="方正黑体_GBK" w:hint="eastAsia"/>
          <w:sz w:val="32"/>
          <w:szCs w:val="32"/>
          <w:shd w:val="clear" w:color="auto" w:fill="FFFFFF"/>
        </w:rPr>
      </w:pPr>
      <w:r>
        <w:rPr>
          <w:rStyle w:val="20"/>
          <w:rFonts w:ascii="方正黑体_GBK" w:eastAsia="方正黑体_GBK" w:cs="方正黑体_GBK" w:hint="eastAsia"/>
          <w:sz w:val="32"/>
          <w:szCs w:val="32"/>
          <w:shd w:val="clear" w:color="auto" w:fill="FFFFFF"/>
        </w:rPr>
        <w:t>一、单位基本情况</w:t>
      </w:r>
    </w:p>
    <w:p>
      <w:pPr>
        <w:pStyle w:val="19"/>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ascii="方正仿宋_GBK" w:eastAsia="方正仿宋_GBK" w:cs="方正仿宋_GBK"/>
          <w:sz w:val="32"/>
          <w:szCs w:val="32"/>
        </w:rPr>
      </w:pPr>
      <w:r>
        <w:rPr>
          <w:rStyle w:val="20"/>
          <w:rFonts w:ascii="楷体" w:eastAsia="楷体" w:cs="楷体"/>
          <w:sz w:val="32"/>
          <w:szCs w:val="32"/>
          <w:shd w:val="clear" w:color="auto" w:fill="FFFFFF"/>
        </w:rPr>
        <w:t>（一）职能职责</w:t>
      </w:r>
    </w:p>
    <w:p>
      <w:pPr>
        <w:pStyle w:val="19"/>
        <w:keepNext w:val="0"/>
        <w:keepLines w:val="0"/>
        <w:pageBreakBefore w:val="0"/>
        <w:widowControl/>
        <w:shd w:val="clear" w:color="auto" w:fill="FFFFFF"/>
        <w:kinsoku/>
        <w:wordWrap/>
        <w:overflowPunct/>
        <w:topLinePunct w:val="0"/>
        <w:autoSpaceDN/>
        <w:bidi w:val="0"/>
        <w:adjustRightInd/>
        <w:spacing w:beforeAutospacing="0" w:afterAutospacing="0" w:line="594" w:lineRule="exact"/>
        <w:textAlignment w:val="auto"/>
        <w:rPr>
          <w:rFonts w:ascii="方正仿宋_GBK" w:eastAsia="方正仿宋_GBK" w:cs="方正仿宋_GBK" w:hint="eastAsia"/>
          <w:color w:val="000000"/>
          <w:sz w:val="32"/>
          <w:szCs w:val="32"/>
          <w:shd w:val="clear" w:color="auto" w:fill="FFFFFF"/>
          <w14:textFill>
            <w14:solidFill>
              <w14:srgbClr w14:val="000000"/>
            </w14:solidFill>
          </w14:textFill>
        </w:rPr>
      </w:pPr>
      <w:r>
        <w:rPr>
          <w:rFonts w:ascii="方正仿宋_GBK" w:eastAsia="方正仿宋_GBK" w:cs="方正仿宋_GBK" w:hint="eastAsia"/>
          <w:color w:val="FF0000"/>
          <w:sz w:val="32"/>
          <w:szCs w:val="32"/>
          <w:shd w:val="clear" w:color="auto" w:fill="FFFFFF"/>
          <w:lang w:val="en-US" w:eastAsia="zh-CN"/>
        </w:rPr>
        <w:t xml:space="preserve">    </w:t>
      </w:r>
      <w:r>
        <w:rPr>
          <w:rFonts w:ascii="方正仿宋_GBK" w:eastAsia="方正仿宋_GBK" w:cs="方正仿宋_GBK" w:hint="eastAsia"/>
          <w:color w:val="000000"/>
          <w:sz w:val="32"/>
          <w:szCs w:val="32"/>
          <w:shd w:val="clear" w:color="auto" w:fill="FFFFFF"/>
          <w14:textFill>
            <w14:solidFill>
              <w14:srgbClr w14:val="000000"/>
            </w14:solidFill>
          </w14:textFill>
        </w:rPr>
        <w:t>重庆市渝中区南纪门街道社区卫生服务中心为重庆市渝中区卫生健康委员会所属的财政差额拨款事业单位。主要职责是：1.社区预防:社区卫生诊断、传染病疫情报告和监测，预防接种，结核病、艾滋病等重大传染病预防，常见传染病防治，地方病、寄生虫病防治，健康档案管理，爱国卫生指导等。2.社区保健:妇女保健，儿童保健，老年保健等。3.社区医疗：一般常见病、多发病的诊疗，社区现场应急救护，慢性病筛査和诊断明确的重点慢性病例管理，精神病患者服务，转诊服务等。4.社区康复:残疾康复，疾病恢复期康复，家庭和社区康复训练指导等。5.社区健康教育:卫生知识普及，个体和群体的健康服务，重点人员与重点场所健康教育，宣传健康行为和生活方式等。6.社区计划生育：计划生育技术服务与咨询指导，发放避孕药具等。</w:t>
      </w:r>
    </w:p>
    <w:p>
      <w:pPr>
        <w:pStyle w:val="19"/>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ascii="楷体" w:eastAsia="楷体" w:cs="楷体"/>
          <w:color w:val="000000"/>
          <w:sz w:val="32"/>
          <w:szCs w:val="32"/>
          <w14:textFill>
            <w14:solidFill>
              <w14:srgbClr w14:val="000000"/>
            </w14:solidFill>
          </w14:textFill>
        </w:rPr>
      </w:pPr>
      <w:r>
        <w:rPr>
          <w:rStyle w:val="20"/>
          <w:rFonts w:ascii="楷体" w:eastAsia="楷体" w:cs="楷体"/>
          <w:color w:val="000000"/>
          <w:sz w:val="32"/>
          <w:szCs w:val="32"/>
          <w:shd w:val="clear" w:color="auto" w:fill="FFFFFF"/>
          <w14:textFill>
            <w14:solidFill>
              <w14:srgbClr w14:val="000000"/>
            </w14:solidFill>
          </w14:textFill>
        </w:rPr>
        <w:t>（二）机构设置</w:t>
      </w:r>
    </w:p>
    <w:p>
      <w:pPr>
        <w:pStyle w:val="19"/>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Chars="200" w:firstLine="640"/>
        <w:textAlignment w:val="auto"/>
        <w:rPr>
          <w:rFonts w:ascii="方正仿宋_GBK" w:eastAsia="方正仿宋_GBK" w:cs="方正仿宋_GBK" w:hint="eastAsia"/>
          <w:color w:val="000000"/>
          <w:sz w:val="32"/>
          <w:szCs w:val="32"/>
          <w:shd w:val="clear" w:color="auto" w:fill="FFFFFF"/>
          <w14:textFill>
            <w14:solidFill>
              <w14:srgbClr w14:val="000000"/>
            </w14:solidFill>
          </w14:textFill>
        </w:rPr>
      </w:pPr>
      <w:r>
        <w:rPr>
          <w:rFonts w:ascii="方正仿宋_GBK" w:eastAsia="方正仿宋_GBK" w:cs="方正仿宋_GBK" w:hint="eastAsia"/>
          <w:color w:val="000000"/>
          <w:sz w:val="32"/>
          <w:szCs w:val="32"/>
          <w:shd w:val="clear" w:color="auto" w:fill="FFFFFF"/>
          <w14:textFill>
            <w14:solidFill>
              <w14:srgbClr w14:val="000000"/>
            </w14:solidFill>
          </w14:textFill>
        </w:rPr>
        <w:t>部门内设全科医疗、中医、康复理疗、妇科、外科等8个临床科室。</w:t>
      </w:r>
    </w:p>
    <w:p>
      <w:pPr>
        <w:pStyle w:val="19"/>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Chars="200" w:firstLine="640"/>
        <w:textAlignment w:val="auto"/>
        <w:rPr>
          <w:rFonts w:ascii="方正仿宋_GBK" w:eastAsia="方正仿宋_GBK" w:cs="方正仿宋_GBK"/>
          <w:sz w:val="32"/>
          <w:szCs w:val="32"/>
        </w:rPr>
      </w:pPr>
      <w:r>
        <w:rPr>
          <w:rStyle w:val="20"/>
          <w:rFonts w:ascii="黑体" w:eastAsia="黑体" w:cs="黑体"/>
          <w:sz w:val="32"/>
          <w:szCs w:val="32"/>
          <w:shd w:val="clear" w:color="auto" w:fill="FFFFFF"/>
        </w:rPr>
        <w:t>二、单位决算收支情况说明</w:t>
      </w:r>
    </w:p>
    <w:p>
      <w:pPr>
        <w:pStyle w:val="22"/>
        <w:keepNext w:val="0"/>
        <w:keepLines w:val="0"/>
        <w:pageBreakBefore w:val="0"/>
        <w:widowControl/>
        <w:kinsoku/>
        <w:wordWrap/>
        <w:overflowPunct/>
        <w:topLinePunct w:val="0"/>
        <w:autoSpaceDE w:val="0"/>
        <w:autoSpaceDN/>
        <w:bidi w:val="0"/>
        <w:adjustRightInd/>
        <w:spacing w:beforeAutospacing="0" w:afterAutospacing="0" w:line="594" w:lineRule="exact"/>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（一）收入支出决算总体情况说明。</w:t>
      </w:r>
    </w:p>
    <w:p>
      <w:pPr>
        <w:pStyle w:val="19"/>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Chars="200" w:firstLine="640"/>
        <w:textAlignment w:val="auto"/>
        <w:rPr>
          <w:rFonts w:ascii="方正仿宋_GBK" w:eastAsia="方正仿宋_GBK" w:cs="方正仿宋_GBK"/>
          <w:color w:val="auto"/>
          <w:sz w:val="32"/>
          <w:szCs w:val="32"/>
        </w:rPr>
      </w:pPr>
      <w:r>
        <w:rPr>
          <w:rStyle w:val="20"/>
          <w:rFonts w:ascii="方正仿宋_GBK" w:eastAsia="方正仿宋_GBK" w:cs="方正仿宋_GBK"/>
          <w:color w:val="auto"/>
          <w:sz w:val="32"/>
          <w:szCs w:val="32"/>
          <w:shd w:val="clear" w:color="auto" w:fill="FFFFFF"/>
        </w:rPr>
        <w:t>1.总体情况。</w:t>
      </w:r>
      <w:r>
        <w:rPr>
          <w:rFonts w:ascii="方正仿宋_GBK" w:eastAsia="方正仿宋_GBK" w:cs="方正仿宋_GBK"/>
          <w:color w:val="auto"/>
          <w:sz w:val="32"/>
          <w:szCs w:val="32"/>
          <w:shd w:val="clear" w:color="auto" w:fill="FFFFFF"/>
        </w:rPr>
        <w:t>2024年度收入总计2368.01万元，支出总计</w:t>
      </w:r>
      <w:r>
        <w:rPr>
          <w:rFonts w:ascii="方正仿宋_GBK" w:eastAsia="方正仿宋_GBK" w:cs="方正仿宋_GBK"/>
          <w:color w:val="auto"/>
          <w:sz w:val="32"/>
          <w:szCs w:val="32"/>
        </w:rPr>
        <w:t>2368.01</w:t>
      </w:r>
      <w:r>
        <w:rPr>
          <w:rFonts w:ascii="方正仿宋_GBK" w:eastAsia="方正仿宋_GBK" w:cs="方正仿宋_GBK"/>
          <w:color w:val="auto"/>
          <w:sz w:val="32"/>
          <w:szCs w:val="32"/>
          <w:shd w:val="clear" w:color="auto" w:fill="FFFFFF"/>
        </w:rPr>
        <w:t>万元。收、支与2023年度相比，减少101.86万元，下降4.1%，主要原因是</w:t>
      </w:r>
      <w:r>
        <w:rPr>
          <w:rFonts w:ascii="方正仿宋_GBK" w:eastAsia="方正仿宋_GBK" w:cs="方正仿宋_GBK" w:hint="eastAsia"/>
          <w:color w:val="auto"/>
          <w:sz w:val="32"/>
          <w:szCs w:val="32"/>
          <w:shd w:val="clear" w:color="auto" w:fill="FFFFFF"/>
          <w:lang w:eastAsia="zh-CN"/>
        </w:rPr>
        <w:t>财政拨款减少</w:t>
      </w:r>
      <w:r>
        <w:rPr>
          <w:rFonts w:ascii="方正仿宋_GBK" w:eastAsia="方正仿宋_GBK" w:cs="方正仿宋_GBK"/>
          <w:color w:val="auto"/>
          <w:sz w:val="32"/>
          <w:szCs w:val="32"/>
          <w:shd w:val="clear" w:color="auto" w:fill="FFFFFF"/>
        </w:rPr>
        <w:t>。</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color w:val="auto"/>
          <w:sz w:val="32"/>
          <w:szCs w:val="32"/>
          <w:shd w:val="clear" w:color="auto" w:fill="FFFFFF"/>
        </w:rPr>
      </w:pPr>
      <w:r>
        <w:rPr>
          <w:rStyle w:val="20"/>
          <w:rFonts w:ascii="方正仿宋_GBK" w:eastAsia="方正仿宋_GBK" w:cs="方正仿宋_GBK"/>
          <w:color w:val="auto"/>
          <w:sz w:val="32"/>
          <w:szCs w:val="32"/>
          <w:shd w:val="clear" w:color="auto" w:fill="FFFFFF"/>
        </w:rPr>
        <w:t>2.收入情况。</w:t>
      </w:r>
      <w:r>
        <w:rPr>
          <w:rFonts w:ascii="方正仿宋_GBK" w:eastAsia="方正仿宋_GBK" w:cs="方正仿宋_GBK"/>
          <w:color w:val="auto"/>
          <w:sz w:val="32"/>
          <w:szCs w:val="32"/>
          <w:shd w:val="clear" w:color="auto" w:fill="FFFFFF"/>
        </w:rPr>
        <w:t>2024年度收入合计2191.32万元，与2023年度相比，减少278.55万元，下降11.3%，主要原因是</w:t>
      </w:r>
      <w:r>
        <w:rPr>
          <w:rFonts w:ascii="方正仿宋_GBK" w:eastAsia="方正仿宋_GBK" w:cs="方正仿宋_GBK" w:hint="eastAsia"/>
          <w:color w:val="auto"/>
          <w:sz w:val="32"/>
          <w:szCs w:val="32"/>
          <w:shd w:val="clear" w:color="auto" w:fill="FFFFFF"/>
          <w:lang w:eastAsia="zh-CN"/>
        </w:rPr>
        <w:t>财政拨款减少</w:t>
      </w:r>
      <w:r>
        <w:rPr>
          <w:rFonts w:ascii="方正仿宋_GBK" w:eastAsia="方正仿宋_GBK" w:cs="方正仿宋_GBK"/>
          <w:color w:val="auto"/>
          <w:sz w:val="32"/>
          <w:szCs w:val="32"/>
          <w:shd w:val="clear" w:color="auto" w:fill="FFFFFF"/>
        </w:rPr>
        <w:t>。其中：财政拨款收入</w:t>
      </w:r>
      <w:r>
        <w:rPr>
          <w:rFonts w:ascii="方正仿宋_GBK" w:eastAsia="方正仿宋_GBK" w:cs="方正仿宋_GBK"/>
          <w:color w:val="auto"/>
          <w:sz w:val="32"/>
          <w:szCs w:val="32"/>
        </w:rPr>
        <w:t>551.68</w:t>
      </w:r>
      <w:r>
        <w:rPr>
          <w:rFonts w:ascii="方正仿宋_GBK" w:eastAsia="方正仿宋_GBK" w:cs="方正仿宋_GBK"/>
          <w:color w:val="auto"/>
          <w:sz w:val="32"/>
          <w:szCs w:val="32"/>
          <w:shd w:val="clear" w:color="auto" w:fill="FFFFFF"/>
        </w:rPr>
        <w:t>万元，占</w:t>
      </w:r>
      <w:r>
        <w:rPr>
          <w:rFonts w:ascii="方正仿宋_GBK" w:eastAsia="方正仿宋_GBK" w:cs="方正仿宋_GBK"/>
          <w:color w:val="auto"/>
          <w:sz w:val="32"/>
          <w:szCs w:val="32"/>
        </w:rPr>
        <w:t>25.18</w:t>
      </w:r>
      <w:r>
        <w:rPr>
          <w:rFonts w:ascii="方正仿宋_GBK" w:eastAsia="方正仿宋_GBK" w:cs="方正仿宋_GBK"/>
          <w:color w:val="auto"/>
          <w:sz w:val="32"/>
          <w:szCs w:val="32"/>
          <w:shd w:val="clear" w:color="auto" w:fill="FFFFFF"/>
        </w:rPr>
        <w:t>%；事业收入</w:t>
      </w:r>
      <w:r>
        <w:rPr>
          <w:rFonts w:ascii="方正仿宋_GBK" w:eastAsia="方正仿宋_GBK" w:cs="方正仿宋_GBK"/>
          <w:color w:val="auto"/>
          <w:sz w:val="32"/>
          <w:szCs w:val="32"/>
        </w:rPr>
        <w:t>1638.68</w:t>
      </w:r>
      <w:r>
        <w:rPr>
          <w:rFonts w:ascii="方正仿宋_GBK" w:eastAsia="方正仿宋_GBK" w:cs="方正仿宋_GBK"/>
          <w:color w:val="auto"/>
          <w:sz w:val="32"/>
          <w:szCs w:val="32"/>
          <w:shd w:val="clear" w:color="auto" w:fill="FFFFFF"/>
        </w:rPr>
        <w:t>万元，占74.78%；经营收入</w:t>
      </w:r>
      <w:r>
        <w:rPr>
          <w:rFonts w:ascii="方正仿宋_GBK" w:eastAsia="方正仿宋_GBK" w:cs="方正仿宋_GBK"/>
          <w:color w:val="auto"/>
          <w:sz w:val="32"/>
          <w:szCs w:val="32"/>
        </w:rPr>
        <w:t>0.00</w:t>
      </w:r>
      <w:r>
        <w:rPr>
          <w:rFonts w:ascii="方正仿宋_GBK" w:eastAsia="方正仿宋_GBK" w:cs="方正仿宋_GBK"/>
          <w:color w:val="auto"/>
          <w:sz w:val="32"/>
          <w:szCs w:val="32"/>
          <w:shd w:val="clear" w:color="auto" w:fill="FFFFFF"/>
        </w:rPr>
        <w:t>万元，占0.00%；其他收入</w:t>
      </w:r>
      <w:r>
        <w:rPr>
          <w:rFonts w:ascii="方正仿宋_GBK" w:eastAsia="方正仿宋_GBK" w:cs="方正仿宋_GBK"/>
          <w:color w:val="auto"/>
          <w:sz w:val="32"/>
          <w:szCs w:val="32"/>
        </w:rPr>
        <w:t>0.97</w:t>
      </w:r>
      <w:r>
        <w:rPr>
          <w:rFonts w:ascii="方正仿宋_GBK" w:eastAsia="方正仿宋_GBK" w:cs="方正仿宋_GBK"/>
          <w:color w:val="auto"/>
          <w:sz w:val="32"/>
          <w:szCs w:val="32"/>
          <w:shd w:val="clear" w:color="auto" w:fill="FFFFFF"/>
        </w:rPr>
        <w:t>万元，占0.04%。此外，使用非财政拨款结余和专用结余</w:t>
      </w:r>
      <w:r>
        <w:rPr>
          <w:rFonts w:ascii="方正仿宋_GBK" w:eastAsia="方正仿宋_GBK" w:cs="方正仿宋_GBK"/>
          <w:color w:val="auto"/>
          <w:sz w:val="32"/>
          <w:szCs w:val="32"/>
        </w:rPr>
        <w:t>176.70</w:t>
      </w:r>
      <w:r>
        <w:rPr>
          <w:rFonts w:ascii="方正仿宋_GBK" w:eastAsia="方正仿宋_GBK" w:cs="方正仿宋_GBK"/>
          <w:color w:val="auto"/>
          <w:sz w:val="32"/>
          <w:szCs w:val="32"/>
          <w:shd w:val="clear" w:color="auto" w:fill="FFFFFF"/>
        </w:rPr>
        <w:t>万元，年初结转和结余</w:t>
      </w:r>
      <w:r>
        <w:rPr>
          <w:rFonts w:ascii="方正仿宋_GBK" w:eastAsia="方正仿宋_GBK" w:cs="方正仿宋_GBK"/>
          <w:color w:val="auto"/>
          <w:sz w:val="32"/>
          <w:szCs w:val="32"/>
        </w:rPr>
        <w:t>0.00</w:t>
      </w:r>
      <w:r>
        <w:rPr>
          <w:rFonts w:ascii="方正仿宋_GBK" w:eastAsia="方正仿宋_GBK" w:cs="方正仿宋_GBK"/>
          <w:color w:val="auto"/>
          <w:sz w:val="32"/>
          <w:szCs w:val="32"/>
          <w:shd w:val="clear" w:color="auto" w:fill="FFFFFF"/>
        </w:rPr>
        <w:t>万元。</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color w:val="auto"/>
          <w:sz w:val="32"/>
          <w:szCs w:val="32"/>
          <w:shd w:val="clear" w:color="auto" w:fill="FFFFFF"/>
        </w:rPr>
      </w:pPr>
      <w:r>
        <w:rPr>
          <w:rStyle w:val="20"/>
          <w:rFonts w:ascii="方正仿宋_GBK" w:eastAsia="方正仿宋_GBK" w:cs="方正仿宋_GBK"/>
          <w:color w:val="auto"/>
          <w:sz w:val="32"/>
          <w:szCs w:val="32"/>
          <w:shd w:val="clear" w:color="auto" w:fill="FFFFFF"/>
        </w:rPr>
        <w:t>3.支出情况。</w:t>
      </w:r>
      <w:r>
        <w:rPr>
          <w:rFonts w:ascii="方正仿宋_GBK" w:eastAsia="方正仿宋_GBK" w:cs="方正仿宋_GBK"/>
          <w:color w:val="auto"/>
          <w:sz w:val="32"/>
          <w:szCs w:val="32"/>
          <w:shd w:val="clear" w:color="auto" w:fill="FFFFFF"/>
        </w:rPr>
        <w:t>2024年度支出合计</w:t>
      </w:r>
      <w:r>
        <w:rPr>
          <w:rFonts w:ascii="方正仿宋_GBK" w:eastAsia="方正仿宋_GBK" w:cs="方正仿宋_GBK"/>
          <w:color w:val="auto"/>
          <w:sz w:val="32"/>
          <w:szCs w:val="32"/>
        </w:rPr>
        <w:t>2368.01</w:t>
      </w:r>
      <w:r>
        <w:rPr>
          <w:rFonts w:ascii="方正仿宋_GBK" w:eastAsia="方正仿宋_GBK" w:cs="方正仿宋_GBK"/>
          <w:color w:val="auto"/>
          <w:sz w:val="32"/>
          <w:szCs w:val="32"/>
          <w:shd w:val="clear" w:color="auto" w:fill="FFFFFF"/>
        </w:rPr>
        <w:t>万元，与2023年度相比，增加57.36万元，增长2.5%，主要原因是</w:t>
      </w:r>
      <w:r>
        <w:rPr>
          <w:rFonts w:ascii="Times New Roman" w:eastAsia="方正仿宋_GBK" w:cs="方正仿宋_GBK" w:hAnsi="Times New Roman" w:hint="eastAsia"/>
          <w:b w:val="0"/>
          <w:bCs/>
          <w:i w:val="0"/>
          <w:caps w:val="0"/>
          <w:smallCaps w:val="0"/>
          <w:color w:val="auto"/>
          <w:spacing w:val="0"/>
          <w:sz w:val="32"/>
          <w:szCs w:val="32"/>
          <w:shd w:val="clear" w:color="auto" w:fill="FFFFFF"/>
          <w:lang w:eastAsia="zh-CN"/>
        </w:rPr>
        <w:t>医疗业务支出增加</w:t>
      </w:r>
      <w:r>
        <w:rPr>
          <w:rFonts w:ascii="方正仿宋_GBK" w:eastAsia="方正仿宋_GBK" w:cs="方正仿宋_GBK"/>
          <w:color w:val="auto"/>
          <w:sz w:val="32"/>
          <w:szCs w:val="32"/>
          <w:shd w:val="clear" w:color="auto" w:fill="FFFFFF"/>
        </w:rPr>
        <w:t>。其中：基本支出</w:t>
      </w:r>
      <w:r>
        <w:rPr>
          <w:rFonts w:ascii="方正仿宋_GBK" w:eastAsia="方正仿宋_GBK" w:cs="方正仿宋_GBK"/>
          <w:color w:val="auto"/>
          <w:sz w:val="32"/>
          <w:szCs w:val="32"/>
        </w:rPr>
        <w:t>1986.37</w:t>
      </w:r>
      <w:r>
        <w:rPr>
          <w:rFonts w:ascii="方正仿宋_GBK" w:eastAsia="方正仿宋_GBK" w:cs="方正仿宋_GBK"/>
          <w:color w:val="auto"/>
          <w:sz w:val="32"/>
          <w:szCs w:val="32"/>
          <w:shd w:val="clear" w:color="auto" w:fill="FFFFFF"/>
        </w:rPr>
        <w:t>万元，占83.88%；项目支出</w:t>
      </w:r>
      <w:r>
        <w:rPr>
          <w:rFonts w:ascii="方正仿宋_GBK" w:eastAsia="方正仿宋_GBK" w:cs="方正仿宋_GBK"/>
          <w:color w:val="auto"/>
          <w:sz w:val="32"/>
          <w:szCs w:val="32"/>
        </w:rPr>
        <w:t>381.64</w:t>
      </w:r>
      <w:r>
        <w:rPr>
          <w:rFonts w:ascii="方正仿宋_GBK" w:eastAsia="方正仿宋_GBK" w:cs="方正仿宋_GBK"/>
          <w:color w:val="auto"/>
          <w:sz w:val="32"/>
          <w:szCs w:val="32"/>
          <w:shd w:val="clear" w:color="auto" w:fill="FFFFFF"/>
        </w:rPr>
        <w:t>万元，占16.12%；经营支出</w:t>
      </w:r>
      <w:r>
        <w:rPr>
          <w:rFonts w:ascii="方正仿宋_GBK" w:eastAsia="方正仿宋_GBK" w:cs="方正仿宋_GBK"/>
          <w:color w:val="auto"/>
          <w:sz w:val="32"/>
          <w:szCs w:val="32"/>
        </w:rPr>
        <w:t>0.00</w:t>
      </w:r>
      <w:r>
        <w:rPr>
          <w:rFonts w:ascii="方正仿宋_GBK" w:eastAsia="方正仿宋_GBK" w:cs="方正仿宋_GBK"/>
          <w:color w:val="auto"/>
          <w:sz w:val="32"/>
          <w:szCs w:val="32"/>
          <w:shd w:val="clear" w:color="auto" w:fill="FFFFFF"/>
        </w:rPr>
        <w:t>万元，占0.00%。此外，结余分配</w:t>
      </w:r>
      <w:r>
        <w:rPr>
          <w:rFonts w:ascii="方正仿宋_GBK" w:eastAsia="方正仿宋_GBK" w:cs="方正仿宋_GBK"/>
          <w:color w:val="auto"/>
          <w:sz w:val="32"/>
          <w:szCs w:val="32"/>
        </w:rPr>
        <w:t>0.00</w:t>
      </w:r>
      <w:r>
        <w:rPr>
          <w:rFonts w:ascii="方正仿宋_GBK" w:eastAsia="方正仿宋_GBK" w:cs="方正仿宋_GBK"/>
          <w:color w:val="auto"/>
          <w:sz w:val="32"/>
          <w:szCs w:val="32"/>
          <w:shd w:val="clear" w:color="auto" w:fill="FFFFFF"/>
        </w:rPr>
        <w:t>万元。</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hint="eastAsia"/>
          <w:sz w:val="32"/>
          <w:szCs w:val="32"/>
          <w:lang w:eastAsia="zh-CN"/>
        </w:rPr>
      </w:pPr>
      <w:r>
        <w:rPr>
          <w:rStyle w:val="20"/>
          <w:rFonts w:ascii="方正仿宋_GBK" w:eastAsia="方正仿宋_GBK" w:cs="方正仿宋_GBK"/>
          <w:sz w:val="32"/>
          <w:szCs w:val="32"/>
          <w:shd w:val="clear" w:color="auto" w:fill="FFFFFF"/>
        </w:rPr>
        <w:t>4.结转结余情况。</w:t>
      </w:r>
      <w:r>
        <w:rPr>
          <w:rFonts w:ascii="方正仿宋_GBK" w:eastAsia="方正仿宋_GBK" w:cs="方正仿宋_GBK"/>
          <w:sz w:val="32"/>
          <w:szCs w:val="32"/>
          <w:shd w:val="clear" w:color="auto" w:fill="FFFFFF"/>
        </w:rPr>
        <w:t>2024年度年末结转和结余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万元，与2023年度相比，无增减</w:t>
      </w:r>
      <w:r>
        <w:rPr>
          <w:rFonts w:ascii="方正仿宋_GBK" w:eastAsia="方正仿宋_GBK" w:cs="方正仿宋_GBK" w:hint="eastAsia"/>
          <w:sz w:val="32"/>
          <w:szCs w:val="32"/>
          <w:shd w:val="clear" w:color="auto" w:fill="FFFFFF"/>
          <w:lang w:eastAsia="zh-CN"/>
        </w:rPr>
        <w:t>。</w:t>
      </w:r>
    </w:p>
    <w:p>
      <w:pPr>
        <w:pStyle w:val="22"/>
        <w:keepNext w:val="0"/>
        <w:keepLines w:val="0"/>
        <w:pageBreakBefore w:val="0"/>
        <w:widowControl/>
        <w:kinsoku/>
        <w:wordWrap/>
        <w:overflowPunct/>
        <w:topLinePunct w:val="0"/>
        <w:autoSpaceDE w:val="0"/>
        <w:autoSpaceDN/>
        <w:bidi w:val="0"/>
        <w:adjustRightInd/>
        <w:spacing w:beforeAutospacing="0" w:afterAutospacing="0" w:line="594" w:lineRule="exact"/>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（二）财政拨款收入支出决算总体情况说明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color w:val="auto"/>
          <w:sz w:val="32"/>
          <w:szCs w:val="32"/>
        </w:rPr>
      </w:pPr>
      <w:r>
        <w:rPr>
          <w:rFonts w:ascii="方正仿宋_GBK" w:eastAsia="方正仿宋_GBK" w:cs="方正仿宋_GBK"/>
          <w:sz w:val="32"/>
          <w:szCs w:val="32"/>
          <w:shd w:val="clear" w:color="auto" w:fill="FFFFFF"/>
        </w:rPr>
        <w:t>2024年度财政拨款收、支总计551.68万元。与2023年相比，财政</w:t>
      </w:r>
      <w:r>
        <w:rPr>
          <w:rFonts w:ascii="方正仿宋_GBK" w:eastAsia="方正仿宋_GBK" w:cs="方正仿宋_GBK"/>
          <w:color w:val="auto"/>
          <w:sz w:val="32"/>
          <w:szCs w:val="32"/>
          <w:shd w:val="clear" w:color="auto" w:fill="FFFFFF"/>
        </w:rPr>
        <w:t>拨款收、支总计各减少194.64万元，下降26.1%。主要原因是</w:t>
      </w:r>
      <w:r>
        <w:rPr>
          <w:rFonts w:ascii="方正仿宋_GBK" w:eastAsia="方正仿宋_GBK" w:cs="方正仿宋_GBK" w:hint="eastAsia"/>
          <w:color w:val="auto"/>
          <w:sz w:val="32"/>
          <w:szCs w:val="32"/>
          <w:shd w:val="clear" w:color="auto" w:fill="FFFFFF"/>
        </w:rPr>
        <w:t>突发公共卫生服务补助</w:t>
      </w:r>
      <w:r>
        <w:rPr>
          <w:rFonts w:ascii="方正仿宋_GBK" w:eastAsia="方正仿宋_GBK" w:cs="方正仿宋_GBK" w:hint="eastAsia"/>
          <w:color w:val="auto"/>
          <w:sz w:val="32"/>
          <w:szCs w:val="32"/>
          <w:shd w:val="clear" w:color="auto" w:fill="FFFFFF"/>
          <w:lang w:eastAsia="zh-CN"/>
        </w:rPr>
        <w:t>收入减少</w:t>
      </w:r>
      <w:r>
        <w:rPr>
          <w:rFonts w:ascii="方正仿宋_GBK" w:eastAsia="方正仿宋_GBK" w:cs="方正仿宋_GBK"/>
          <w:color w:val="auto"/>
          <w:sz w:val="32"/>
          <w:szCs w:val="32"/>
          <w:shd w:val="clear" w:color="auto" w:fill="FFFFFF"/>
        </w:rPr>
        <w:t>。</w:t>
      </w:r>
    </w:p>
    <w:p>
      <w:pPr>
        <w:pStyle w:val="22"/>
        <w:keepNext w:val="0"/>
        <w:keepLines w:val="0"/>
        <w:pageBreakBefore w:val="0"/>
        <w:widowControl/>
        <w:kinsoku/>
        <w:wordWrap/>
        <w:overflowPunct/>
        <w:topLinePunct w:val="0"/>
        <w:autoSpaceDE w:val="0"/>
        <w:autoSpaceDN/>
        <w:bidi w:val="0"/>
        <w:adjustRightInd/>
        <w:spacing w:beforeAutospacing="0" w:afterAutospacing="0" w:line="594" w:lineRule="exact"/>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（三）一般公共预算财政拨款收入支出决算情况说明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color w:val="auto"/>
          <w:sz w:val="32"/>
          <w:szCs w:val="32"/>
        </w:rPr>
      </w:pPr>
      <w:r>
        <w:rPr>
          <w:rStyle w:val="20"/>
          <w:rFonts w:ascii="方正仿宋_GBK" w:eastAsia="方正仿宋_GBK" w:cs="方正仿宋_GBK"/>
          <w:color w:val="auto"/>
          <w:sz w:val="32"/>
          <w:szCs w:val="32"/>
          <w:shd w:val="clear" w:color="auto" w:fill="FFFFFF"/>
        </w:rPr>
        <w:t>1.收入情况。</w:t>
      </w:r>
      <w:r>
        <w:rPr>
          <w:rFonts w:ascii="方正仿宋_GBK" w:eastAsia="方正仿宋_GBK" w:cs="方正仿宋_GBK"/>
          <w:color w:val="auto"/>
          <w:sz w:val="32"/>
          <w:szCs w:val="32"/>
          <w:shd w:val="clear" w:color="auto" w:fill="FFFFFF"/>
        </w:rPr>
        <w:t>2024年度一般公共预算财政拨款收入</w:t>
      </w:r>
      <w:r>
        <w:rPr>
          <w:rFonts w:ascii="方正仿宋_GBK" w:eastAsia="方正仿宋_GBK" w:cs="方正仿宋_GBK"/>
          <w:color w:val="auto"/>
          <w:sz w:val="32"/>
          <w:szCs w:val="32"/>
        </w:rPr>
        <w:t>551.68</w:t>
      </w:r>
      <w:r>
        <w:rPr>
          <w:rFonts w:ascii="方正仿宋_GBK" w:eastAsia="方正仿宋_GBK" w:cs="方正仿宋_GBK"/>
          <w:color w:val="auto"/>
          <w:sz w:val="32"/>
          <w:szCs w:val="32"/>
          <w:shd w:val="clear" w:color="auto" w:fill="FFFFFF"/>
        </w:rPr>
        <w:t>万元，与2023年度相比，减少194.64万元，下降26.1%。主要原因是</w:t>
      </w:r>
      <w:r>
        <w:rPr>
          <w:rFonts w:ascii="方正仿宋_GBK" w:eastAsia="方正仿宋_GBK" w:cs="方正仿宋_GBK" w:hint="eastAsia"/>
          <w:color w:val="auto"/>
          <w:sz w:val="32"/>
          <w:szCs w:val="32"/>
          <w:shd w:val="clear" w:color="auto" w:fill="FFFFFF"/>
        </w:rPr>
        <w:t>突发公共卫生服务补助</w:t>
      </w:r>
      <w:r>
        <w:rPr>
          <w:rFonts w:ascii="方正仿宋_GBK" w:eastAsia="方正仿宋_GBK" w:cs="方正仿宋_GBK" w:hint="eastAsia"/>
          <w:color w:val="auto"/>
          <w:sz w:val="32"/>
          <w:szCs w:val="32"/>
          <w:shd w:val="clear" w:color="auto" w:fill="FFFFFF"/>
          <w:lang w:eastAsia="zh-CN"/>
        </w:rPr>
        <w:t>收入减少</w:t>
      </w:r>
      <w:r>
        <w:rPr>
          <w:rFonts w:ascii="方正仿宋_GBK" w:eastAsia="方正仿宋_GBK" w:cs="方正仿宋_GBK"/>
          <w:color w:val="auto"/>
          <w:sz w:val="32"/>
          <w:szCs w:val="32"/>
          <w:shd w:val="clear" w:color="auto" w:fill="FFFFFF"/>
        </w:rPr>
        <w:t>。较年初预算数增加409.77万元，增长288.8%。主要原因是</w:t>
      </w:r>
      <w:r>
        <w:rPr>
          <w:rFonts w:ascii="Times New Roman" w:eastAsia="方正仿宋_GBK" w:cs="方正仿宋_GBK" w:hAnsi="Times New Roman" w:hint="eastAsia"/>
          <w:b w:val="0"/>
          <w:bCs/>
          <w:i w:val="0"/>
          <w:caps w:val="0"/>
          <w:smallCaps w:val="0"/>
          <w:color w:val="auto"/>
          <w:spacing w:val="0"/>
          <w:sz w:val="32"/>
          <w:szCs w:val="32"/>
          <w:shd w:val="clear" w:color="auto" w:fill="FFFFFF"/>
        </w:rPr>
        <w:t>追加</w:t>
      </w:r>
      <w:r>
        <w:rPr>
          <w:rFonts w:ascii="Times New Roman" w:eastAsia="方正仿宋_GBK" w:cs="方正仿宋_GBK" w:hAnsi="Times New Roman" w:hint="eastAsia"/>
          <w:b w:val="0"/>
          <w:bCs/>
          <w:i w:val="0"/>
          <w:caps w:val="0"/>
          <w:smallCaps w:val="0"/>
          <w:color w:val="auto"/>
          <w:spacing w:val="0"/>
          <w:sz w:val="32"/>
          <w:szCs w:val="32"/>
          <w:shd w:val="clear" w:color="auto" w:fill="FFFFFF"/>
          <w:lang w:eastAsia="zh-CN"/>
        </w:rPr>
        <w:t>公共卫生经费</w:t>
      </w:r>
      <w:r>
        <w:rPr>
          <w:rFonts w:ascii="方正仿宋_GBK" w:eastAsia="方正仿宋_GBK" w:cs="方正仿宋_GBK"/>
          <w:color w:val="auto"/>
          <w:sz w:val="32"/>
          <w:szCs w:val="32"/>
          <w:shd w:val="clear" w:color="auto" w:fill="FFFFFF"/>
        </w:rPr>
        <w:t>。此外，年初财政拨款结转和结余</w:t>
      </w:r>
      <w:r>
        <w:rPr>
          <w:rFonts w:ascii="方正仿宋_GBK" w:eastAsia="方正仿宋_GBK" w:cs="方正仿宋_GBK"/>
          <w:color w:val="auto"/>
          <w:sz w:val="32"/>
          <w:szCs w:val="32"/>
        </w:rPr>
        <w:t>0.00</w:t>
      </w:r>
      <w:r>
        <w:rPr>
          <w:rFonts w:ascii="方正仿宋_GBK" w:eastAsia="方正仿宋_GBK" w:cs="方正仿宋_GBK"/>
          <w:color w:val="auto"/>
          <w:sz w:val="32"/>
          <w:szCs w:val="32"/>
          <w:shd w:val="clear" w:color="auto" w:fill="FFFFFF"/>
        </w:rPr>
        <w:t>万元。</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color w:val="auto"/>
          <w:sz w:val="32"/>
          <w:szCs w:val="32"/>
        </w:rPr>
      </w:pPr>
      <w:r>
        <w:rPr>
          <w:rStyle w:val="20"/>
          <w:rFonts w:ascii="方正仿宋_GBK" w:eastAsia="方正仿宋_GBK" w:cs="方正仿宋_GBK"/>
          <w:color w:val="auto"/>
          <w:sz w:val="32"/>
          <w:szCs w:val="32"/>
          <w:shd w:val="clear" w:color="auto" w:fill="FFFFFF"/>
        </w:rPr>
        <w:t>2.支出情况。</w:t>
      </w:r>
      <w:r>
        <w:rPr>
          <w:rFonts w:ascii="方正仿宋_GBK" w:eastAsia="方正仿宋_GBK" w:cs="方正仿宋_GBK"/>
          <w:color w:val="auto"/>
          <w:sz w:val="32"/>
          <w:szCs w:val="32"/>
          <w:shd w:val="clear" w:color="auto" w:fill="FFFFFF"/>
        </w:rPr>
        <w:t>2024年度一般公共预算财政拨款支出</w:t>
      </w:r>
      <w:r>
        <w:rPr>
          <w:rFonts w:ascii="方正仿宋_GBK" w:eastAsia="方正仿宋_GBK" w:cs="方正仿宋_GBK"/>
          <w:color w:val="auto"/>
          <w:sz w:val="32"/>
          <w:szCs w:val="32"/>
        </w:rPr>
        <w:t>551.68</w:t>
      </w:r>
      <w:r>
        <w:rPr>
          <w:rFonts w:ascii="方正仿宋_GBK" w:eastAsia="方正仿宋_GBK" w:cs="方正仿宋_GBK"/>
          <w:color w:val="auto"/>
          <w:sz w:val="32"/>
          <w:szCs w:val="32"/>
          <w:shd w:val="clear" w:color="auto" w:fill="FFFFFF"/>
        </w:rPr>
        <w:t>万元，与2023年度相比，减少194.64万元，下降26.1%。主要原因是</w:t>
      </w:r>
      <w:r>
        <w:rPr>
          <w:rFonts w:ascii="方正仿宋_GBK" w:eastAsia="方正仿宋_GBK" w:cs="方正仿宋_GBK" w:hint="eastAsia"/>
          <w:color w:val="auto"/>
          <w:sz w:val="32"/>
          <w:szCs w:val="32"/>
          <w:shd w:val="clear" w:color="auto" w:fill="FFFFFF"/>
        </w:rPr>
        <w:t>突发公共卫生服务补助</w:t>
      </w:r>
      <w:r>
        <w:rPr>
          <w:rFonts w:ascii="方正仿宋_GBK" w:eastAsia="方正仿宋_GBK" w:cs="方正仿宋_GBK" w:hint="eastAsia"/>
          <w:color w:val="auto"/>
          <w:sz w:val="32"/>
          <w:szCs w:val="32"/>
          <w:shd w:val="clear" w:color="auto" w:fill="FFFFFF"/>
          <w:lang w:eastAsia="zh-CN"/>
        </w:rPr>
        <w:t>经费支出减少</w:t>
      </w:r>
      <w:r>
        <w:rPr>
          <w:rFonts w:ascii="方正仿宋_GBK" w:eastAsia="方正仿宋_GBK" w:cs="方正仿宋_GBK"/>
          <w:color w:val="auto"/>
          <w:sz w:val="32"/>
          <w:szCs w:val="32"/>
          <w:shd w:val="clear" w:color="auto" w:fill="FFFFFF"/>
        </w:rPr>
        <w:t>。较年初预算数增加409.77万元，增长288.8%。主要原因是</w:t>
      </w:r>
      <w:r>
        <w:rPr>
          <w:rFonts w:ascii="Times New Roman" w:eastAsia="方正仿宋_GBK" w:cs="方正仿宋_GBK" w:hAnsi="Times New Roman" w:hint="eastAsia"/>
          <w:b w:val="0"/>
          <w:bCs/>
          <w:i w:val="0"/>
          <w:caps w:val="0"/>
          <w:smallCaps w:val="0"/>
          <w:color w:val="auto"/>
          <w:spacing w:val="0"/>
          <w:sz w:val="32"/>
          <w:szCs w:val="32"/>
          <w:shd w:val="clear" w:color="auto" w:fill="FFFFFF"/>
        </w:rPr>
        <w:t>追加</w:t>
      </w:r>
      <w:r>
        <w:rPr>
          <w:rFonts w:ascii="Times New Roman" w:eastAsia="方正仿宋_GBK" w:cs="方正仿宋_GBK" w:hAnsi="Times New Roman" w:hint="eastAsia"/>
          <w:b w:val="0"/>
          <w:bCs/>
          <w:i w:val="0"/>
          <w:caps w:val="0"/>
          <w:smallCaps w:val="0"/>
          <w:color w:val="auto"/>
          <w:spacing w:val="0"/>
          <w:sz w:val="32"/>
          <w:szCs w:val="32"/>
          <w:shd w:val="clear" w:color="auto" w:fill="FFFFFF"/>
          <w:lang w:eastAsia="zh-CN"/>
        </w:rPr>
        <w:t>公共卫生经费支出</w:t>
      </w:r>
      <w:r>
        <w:rPr>
          <w:rFonts w:ascii="方正仿宋_GBK" w:eastAsia="方正仿宋_GBK" w:cs="方正仿宋_GBK"/>
          <w:color w:val="auto"/>
          <w:sz w:val="32"/>
          <w:szCs w:val="32"/>
          <w:shd w:val="clear" w:color="auto" w:fill="FFFFFF"/>
        </w:rPr>
        <w:t>。</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hint="eastAsia"/>
          <w:color w:val="auto"/>
          <w:sz w:val="32"/>
          <w:szCs w:val="32"/>
          <w:lang w:eastAsia="zh-CN"/>
        </w:rPr>
      </w:pPr>
      <w:r>
        <w:rPr>
          <w:rStyle w:val="20"/>
          <w:rFonts w:ascii="方正仿宋_GBK" w:eastAsia="方正仿宋_GBK" w:cs="方正仿宋_GBK"/>
          <w:color w:val="auto"/>
          <w:sz w:val="32"/>
          <w:szCs w:val="32"/>
          <w:shd w:val="clear" w:color="auto" w:fill="FFFFFF"/>
        </w:rPr>
        <w:t>3.结转结余情况。</w:t>
      </w:r>
      <w:r>
        <w:rPr>
          <w:rFonts w:ascii="方正仿宋_GBK" w:eastAsia="方正仿宋_GBK" w:cs="方正仿宋_GBK"/>
          <w:color w:val="auto"/>
          <w:sz w:val="32"/>
          <w:szCs w:val="32"/>
          <w:shd w:val="clear" w:color="auto" w:fill="FFFFFF"/>
        </w:rPr>
        <w:t>2024年度年末一般公共预算财政拨款结转和结余</w:t>
      </w:r>
      <w:r>
        <w:rPr>
          <w:rFonts w:ascii="方正仿宋_GBK" w:eastAsia="方正仿宋_GBK" w:cs="方正仿宋_GBK"/>
          <w:color w:val="auto"/>
          <w:sz w:val="32"/>
          <w:szCs w:val="32"/>
        </w:rPr>
        <w:t>0.00</w:t>
      </w:r>
      <w:r>
        <w:rPr>
          <w:rFonts w:ascii="方正仿宋_GBK" w:eastAsia="方正仿宋_GBK" w:cs="方正仿宋_GBK"/>
          <w:color w:val="auto"/>
          <w:sz w:val="32"/>
          <w:szCs w:val="32"/>
          <w:shd w:val="clear" w:color="auto" w:fill="FFFFFF"/>
        </w:rPr>
        <w:t>万元，与2023年度相比，无增减</w:t>
      </w:r>
      <w:r>
        <w:rPr>
          <w:rFonts w:ascii="方正仿宋_GBK" w:eastAsia="方正仿宋_GBK" w:cs="方正仿宋_GBK" w:hint="eastAsia"/>
          <w:color w:val="auto"/>
          <w:sz w:val="32"/>
          <w:szCs w:val="32"/>
          <w:shd w:val="clear" w:color="auto" w:fill="FFFFFF"/>
          <w:lang w:eastAsia="zh-CN"/>
        </w:rPr>
        <w:t>。</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sz w:val="32"/>
          <w:szCs w:val="32"/>
          <w:shd w:val="clear" w:color="auto" w:fill="FFFFFF"/>
        </w:rPr>
      </w:pPr>
      <w:r>
        <w:rPr>
          <w:rStyle w:val="20"/>
          <w:rFonts w:ascii="方正仿宋_GBK" w:eastAsia="方正仿宋_GBK" w:cs="方正仿宋_GBK"/>
          <w:sz w:val="32"/>
          <w:szCs w:val="32"/>
          <w:shd w:val="clear" w:color="auto" w:fill="FFFFFF"/>
        </w:rPr>
        <w:t xml:space="preserve"> 4.比较情况。</w:t>
      </w:r>
      <w:r>
        <w:rPr>
          <w:rFonts w:ascii="方正仿宋_GBK" w:eastAsia="方正仿宋_GBK" w:cs="方正仿宋_GBK"/>
          <w:sz w:val="32"/>
          <w:szCs w:val="32"/>
          <w:shd w:val="clear" w:color="auto" w:fill="FFFFFF"/>
        </w:rPr>
        <w:t>本单位2024年度一般公共预算财政拨款支出主要用于以下几个方面：</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color w:val="auto"/>
          <w:sz w:val="32"/>
          <w:szCs w:val="32"/>
        </w:rPr>
      </w:pPr>
      <w:r>
        <w:rPr>
          <w:rFonts w:ascii="方正仿宋_GBK" w:eastAsia="方正仿宋_GBK" w:cs="方正仿宋_GBK"/>
          <w:sz w:val="32"/>
          <w:szCs w:val="32"/>
          <w:shd w:val="clear" w:color="auto" w:fill="FFFFFF"/>
        </w:rPr>
        <w:t>（</w:t>
      </w:r>
      <w:r>
        <w:rPr>
          <w:rFonts w:ascii="方正仿宋_GBK" w:eastAsia="方正仿宋_GBK" w:cs="方正仿宋_GBK" w:hint="eastAsia"/>
          <w:sz w:val="32"/>
          <w:szCs w:val="32"/>
          <w:shd w:val="clear" w:color="auto" w:fill="FFFFFF"/>
          <w:lang w:val="en-US" w:eastAsia="zh-CN"/>
        </w:rPr>
        <w:t>1</w:t>
      </w:r>
      <w:r>
        <w:rPr>
          <w:rFonts w:ascii="方正仿宋_GBK" w:eastAsia="方正仿宋_GBK" w:cs="方正仿宋_GBK"/>
          <w:sz w:val="32"/>
          <w:szCs w:val="32"/>
          <w:shd w:val="clear" w:color="auto" w:fill="FFFFFF"/>
        </w:rPr>
        <w:t>）社会保障与就业支出</w:t>
      </w:r>
      <w:r>
        <w:rPr>
          <w:rFonts w:ascii="方正仿宋_GBK" w:eastAsia="方正仿宋_GBK" w:cs="方正仿宋_GBK"/>
          <w:sz w:val="32"/>
          <w:szCs w:val="32"/>
        </w:rPr>
        <w:t>37.32</w:t>
      </w:r>
      <w:r>
        <w:rPr>
          <w:rFonts w:ascii="方正仿宋_GBK" w:eastAsia="方正仿宋_GBK" w:cs="方正仿宋_GBK"/>
          <w:color w:val="auto"/>
          <w:sz w:val="32"/>
          <w:szCs w:val="32"/>
          <w:shd w:val="clear" w:color="auto" w:fill="FFFFFF"/>
        </w:rPr>
        <w:t>万元，占</w:t>
      </w:r>
      <w:r>
        <w:rPr>
          <w:rFonts w:ascii="方正仿宋_GBK" w:eastAsia="方正仿宋_GBK" w:cs="方正仿宋_GBK"/>
          <w:color w:val="auto"/>
          <w:sz w:val="32"/>
          <w:szCs w:val="32"/>
        </w:rPr>
        <w:t>6.76</w:t>
      </w:r>
      <w:r>
        <w:rPr>
          <w:rFonts w:ascii="方正仿宋_GBK" w:eastAsia="方正仿宋_GBK" w:cs="方正仿宋_GBK"/>
          <w:color w:val="auto"/>
          <w:sz w:val="32"/>
          <w:szCs w:val="32"/>
          <w:shd w:val="clear" w:color="auto" w:fill="FFFFFF"/>
        </w:rPr>
        <w:t>%，较年初预算数增加7.25万元，增长24.1%，主要原因是</w:t>
      </w:r>
      <w:r>
        <w:rPr>
          <w:rFonts w:ascii="Times New Roman" w:eastAsia="方正仿宋_GBK" w:cs="方正仿宋_GBK" w:hAnsi="Times New Roman" w:hint="eastAsia"/>
          <w:color w:val="auto"/>
          <w:sz w:val="32"/>
          <w:szCs w:val="32"/>
          <w:shd w:val="clear" w:color="auto" w:fill="FFFFFF"/>
          <w:lang w:eastAsia="zh-CN"/>
        </w:rPr>
        <w:t>行政事业单位养老支出增加</w:t>
      </w:r>
      <w:r>
        <w:rPr>
          <w:rFonts w:ascii="方正仿宋_GBK" w:eastAsia="方正仿宋_GBK" w:cs="方正仿宋_GBK"/>
          <w:color w:val="auto"/>
          <w:sz w:val="32"/>
          <w:szCs w:val="32"/>
          <w:shd w:val="clear" w:color="auto" w:fill="FFFFFF"/>
        </w:rPr>
        <w:t>。</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color w:val="auto"/>
          <w:sz w:val="32"/>
          <w:szCs w:val="32"/>
        </w:rPr>
      </w:pPr>
      <w:r>
        <w:rPr>
          <w:rFonts w:ascii="方正仿宋_GBK" w:eastAsia="方正仿宋_GBK" w:cs="方正仿宋_GBK"/>
          <w:color w:val="auto"/>
          <w:sz w:val="32"/>
          <w:szCs w:val="32"/>
          <w:shd w:val="clear" w:color="auto" w:fill="FFFFFF"/>
        </w:rPr>
        <w:t>（</w:t>
      </w:r>
      <w:r>
        <w:rPr>
          <w:rFonts w:ascii="方正仿宋_GBK" w:eastAsia="方正仿宋_GBK" w:cs="方正仿宋_GBK" w:hint="eastAsia"/>
          <w:color w:val="auto"/>
          <w:sz w:val="32"/>
          <w:szCs w:val="32"/>
          <w:shd w:val="clear" w:color="auto" w:fill="FFFFFF"/>
          <w:lang w:val="en-US" w:eastAsia="zh-CN"/>
        </w:rPr>
        <w:t>2</w:t>
      </w:r>
      <w:r>
        <w:rPr>
          <w:rFonts w:ascii="方正仿宋_GBK" w:eastAsia="方正仿宋_GBK" w:cs="方正仿宋_GBK"/>
          <w:color w:val="auto"/>
          <w:sz w:val="32"/>
          <w:szCs w:val="32"/>
          <w:shd w:val="clear" w:color="auto" w:fill="FFFFFF"/>
        </w:rPr>
        <w:t>）卫生健康支出</w:t>
      </w:r>
      <w:r>
        <w:rPr>
          <w:rFonts w:ascii="方正仿宋_GBK" w:eastAsia="方正仿宋_GBK" w:cs="方正仿宋_GBK"/>
          <w:color w:val="auto"/>
          <w:sz w:val="32"/>
          <w:szCs w:val="32"/>
        </w:rPr>
        <w:t>511.56</w:t>
      </w:r>
      <w:r>
        <w:rPr>
          <w:rFonts w:ascii="方正仿宋_GBK" w:eastAsia="方正仿宋_GBK" w:cs="方正仿宋_GBK"/>
          <w:color w:val="auto"/>
          <w:sz w:val="32"/>
          <w:szCs w:val="32"/>
          <w:shd w:val="clear" w:color="auto" w:fill="FFFFFF"/>
        </w:rPr>
        <w:t>万元，占</w:t>
      </w:r>
      <w:r>
        <w:rPr>
          <w:rFonts w:ascii="方正仿宋_GBK" w:eastAsia="方正仿宋_GBK" w:cs="方正仿宋_GBK"/>
          <w:color w:val="auto"/>
          <w:sz w:val="32"/>
          <w:szCs w:val="32"/>
        </w:rPr>
        <w:t>92.73</w:t>
      </w:r>
      <w:r>
        <w:rPr>
          <w:rFonts w:ascii="方正仿宋_GBK" w:eastAsia="方正仿宋_GBK" w:cs="方正仿宋_GBK"/>
          <w:color w:val="auto"/>
          <w:sz w:val="32"/>
          <w:szCs w:val="32"/>
          <w:shd w:val="clear" w:color="auto" w:fill="FFFFFF"/>
        </w:rPr>
        <w:t>%，较年初预算数增加402.52万元，增长369.2%，主要原因是</w:t>
      </w:r>
      <w:r>
        <w:rPr>
          <w:rFonts w:ascii="Times New Roman" w:eastAsia="方正仿宋_GBK" w:cs="方正仿宋_GBK" w:hAnsi="Times New Roman" w:hint="eastAsia"/>
          <w:i w:val="0"/>
          <w:caps w:val="0"/>
          <w:smallCaps w:val="0"/>
          <w:color w:val="auto"/>
          <w:spacing w:val="0"/>
          <w:sz w:val="32"/>
          <w:szCs w:val="32"/>
          <w:shd w:val="clear" w:color="auto" w:fill="FFFFFF"/>
        </w:rPr>
        <w:t>追加</w:t>
      </w:r>
      <w:r>
        <w:rPr>
          <w:rFonts w:ascii="Times New Roman" w:eastAsia="方正仿宋_GBK" w:cs="方正仿宋_GBK" w:hAnsi="Times New Roman" w:hint="eastAsia"/>
          <w:i w:val="0"/>
          <w:caps w:val="0"/>
          <w:smallCaps w:val="0"/>
          <w:color w:val="auto"/>
          <w:spacing w:val="0"/>
          <w:sz w:val="32"/>
          <w:szCs w:val="32"/>
          <w:shd w:val="clear" w:color="auto" w:fill="FFFFFF"/>
          <w:lang w:eastAsia="zh-CN"/>
        </w:rPr>
        <w:t>公共卫生经费</w:t>
      </w:r>
      <w:r>
        <w:rPr>
          <w:rFonts w:ascii="方正仿宋_GBK" w:eastAsia="方正仿宋_GBK" w:cs="方正仿宋_GBK"/>
          <w:color w:val="auto"/>
          <w:sz w:val="32"/>
          <w:szCs w:val="32"/>
          <w:shd w:val="clear" w:color="auto" w:fill="FFFFFF"/>
        </w:rPr>
        <w:t>。</w:t>
      </w:r>
    </w:p>
    <w:p>
      <w:pPr>
        <w:keepNext w:val="0"/>
        <w:keepLines w:val="0"/>
        <w:pageBreakBefore w:val="0"/>
        <w:widowControl/>
        <w:kinsoku/>
        <w:wordWrap/>
        <w:overflowPunct/>
        <w:topLinePunct w:val="0"/>
        <w:autoSpaceDN/>
        <w:bidi w:val="0"/>
        <w:adjustRightInd/>
        <w:spacing w:beforeAutospacing="0" w:afterAutospacing="0" w:line="594" w:lineRule="exact"/>
        <w:ind w:firstLineChars="200" w:firstLine="640"/>
        <w:textAlignment w:val="auto"/>
        <w:rPr>
          <w:rFonts w:ascii="方正仿宋_GBK" w:eastAsia="方正仿宋_GBK" w:cs="方正仿宋_GBK" w:hint="eastAsia"/>
          <w:color w:val="auto"/>
          <w:sz w:val="32"/>
          <w:szCs w:val="32"/>
          <w:shd w:val="clear" w:color="auto" w:fill="FFFFFF"/>
          <w:lang w:eastAsia="zh-CN"/>
        </w:rPr>
      </w:pPr>
      <w:r>
        <w:rPr>
          <w:rFonts w:ascii="方正仿宋_GBK" w:eastAsia="方正仿宋_GBK" w:cs="方正仿宋_GBK"/>
          <w:color w:val="auto"/>
          <w:sz w:val="32"/>
          <w:szCs w:val="32"/>
          <w:shd w:val="clear" w:color="auto" w:fill="FFFFFF"/>
        </w:rPr>
        <w:t>（19）</w:t>
      </w:r>
      <w:r>
        <w:rPr>
          <w:rFonts w:ascii="方正仿宋_GBK" w:eastAsia="方正仿宋_GBK" w:cs="方正仿宋_GBK"/>
          <w:color w:val="auto"/>
          <w:sz w:val="32"/>
          <w:szCs w:val="32"/>
        </w:rPr>
        <w:t>住房保障支出2.80</w:t>
      </w:r>
      <w:r>
        <w:rPr>
          <w:rFonts w:ascii="方正仿宋_GBK" w:eastAsia="方正仿宋_GBK" w:cs="方正仿宋_GBK"/>
          <w:color w:val="auto"/>
          <w:sz w:val="32"/>
          <w:szCs w:val="32"/>
          <w:shd w:val="clear" w:color="auto" w:fill="FFFFFF"/>
        </w:rPr>
        <w:t>万元，占</w:t>
      </w:r>
      <w:r>
        <w:rPr>
          <w:rFonts w:ascii="方正仿宋_GBK" w:eastAsia="方正仿宋_GBK" w:cs="方正仿宋_GBK"/>
          <w:color w:val="auto"/>
          <w:sz w:val="32"/>
          <w:szCs w:val="32"/>
        </w:rPr>
        <w:t>0.51</w:t>
      </w:r>
      <w:r>
        <w:rPr>
          <w:rFonts w:ascii="方正仿宋_GBK" w:eastAsia="方正仿宋_GBK" w:cs="方正仿宋_GBK"/>
          <w:color w:val="auto"/>
          <w:sz w:val="32"/>
          <w:szCs w:val="32"/>
          <w:shd w:val="clear" w:color="auto" w:fill="FFFFFF"/>
        </w:rPr>
        <w:t>%，较年初预算数无增减</w:t>
      </w:r>
      <w:r>
        <w:rPr>
          <w:rFonts w:ascii="方正仿宋_GBK" w:eastAsia="方正仿宋_GBK" w:cs="方正仿宋_GBK" w:hint="eastAsia"/>
          <w:color w:val="auto"/>
          <w:sz w:val="32"/>
          <w:szCs w:val="32"/>
          <w:shd w:val="clear" w:color="auto" w:fill="FFFFFF"/>
          <w:lang w:eastAsia="zh-CN"/>
        </w:rPr>
        <w:t>。</w:t>
      </w:r>
    </w:p>
    <w:p>
      <w:pPr>
        <w:pStyle w:val="22"/>
        <w:keepNext w:val="0"/>
        <w:keepLines w:val="0"/>
        <w:pageBreakBefore w:val="0"/>
        <w:widowControl/>
        <w:kinsoku/>
        <w:wordWrap/>
        <w:overflowPunct/>
        <w:topLinePunct w:val="0"/>
        <w:autoSpaceDE w:val="0"/>
        <w:autoSpaceDN/>
        <w:bidi w:val="0"/>
        <w:adjustRightInd/>
        <w:spacing w:beforeAutospacing="0" w:afterAutospacing="0" w:line="594" w:lineRule="exact"/>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（四）一般公共预算财政拨款基本支出决算情况说明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hint="eastAsia"/>
          <w:color w:val="auto"/>
          <w:sz w:val="32"/>
          <w:szCs w:val="32"/>
          <w:lang w:eastAsia="zh-CN"/>
        </w:rPr>
      </w:pPr>
      <w:r>
        <w:rPr>
          <w:rFonts w:ascii="方正仿宋_GBK" w:eastAsia="方正仿宋_GBK" w:cs="方正仿宋_GBK"/>
          <w:sz w:val="32"/>
          <w:szCs w:val="32"/>
          <w:shd w:val="clear" w:color="auto" w:fill="FFFFFF"/>
        </w:rPr>
        <w:t> 2024年度一般公共财政拨款基本支出</w:t>
      </w:r>
      <w:r>
        <w:rPr>
          <w:rFonts w:ascii="方正仿宋_GBK" w:eastAsia="方正仿宋_GBK" w:cs="方正仿宋_GBK"/>
          <w:sz w:val="32"/>
          <w:szCs w:val="32"/>
        </w:rPr>
        <w:t>170.04</w:t>
      </w:r>
      <w:r>
        <w:rPr>
          <w:rFonts w:ascii="方正仿宋_GBK" w:eastAsia="方正仿宋_GBK" w:cs="方正仿宋_GBK"/>
          <w:sz w:val="32"/>
          <w:szCs w:val="32"/>
          <w:shd w:val="clear" w:color="auto" w:fill="FFFFFF"/>
        </w:rPr>
        <w:t>万元。其中：人员经</w:t>
      </w:r>
      <w:r>
        <w:rPr>
          <w:rFonts w:ascii="方正仿宋_GBK" w:eastAsia="方正仿宋_GBK" w:cs="方正仿宋_GBK"/>
          <w:color w:val="auto"/>
          <w:sz w:val="32"/>
          <w:szCs w:val="32"/>
          <w:shd w:val="clear" w:color="auto" w:fill="FFFFFF"/>
        </w:rPr>
        <w:t>费</w:t>
      </w:r>
      <w:r>
        <w:rPr>
          <w:rFonts w:ascii="方正仿宋_GBK" w:eastAsia="方正仿宋_GBK" w:cs="方正仿宋_GBK"/>
          <w:color w:val="auto"/>
          <w:sz w:val="32"/>
          <w:szCs w:val="32"/>
        </w:rPr>
        <w:t>170.04</w:t>
      </w:r>
      <w:r>
        <w:rPr>
          <w:rFonts w:ascii="方正仿宋_GBK" w:eastAsia="方正仿宋_GBK" w:cs="方正仿宋_GBK"/>
          <w:color w:val="auto"/>
          <w:sz w:val="32"/>
          <w:szCs w:val="32"/>
          <w:shd w:val="clear" w:color="auto" w:fill="FFFFFF"/>
        </w:rPr>
        <w:t>万元，与2023年度相比，增加23.89万元，增长16.4%，主要原因是</w:t>
      </w:r>
      <w:r>
        <w:rPr>
          <w:rFonts w:ascii="方正仿宋_GBK" w:eastAsia="方正仿宋_GBK" w:cs="方正仿宋_GBK" w:hint="eastAsia"/>
          <w:color w:val="auto"/>
          <w:sz w:val="32"/>
          <w:szCs w:val="32"/>
          <w:shd w:val="clear" w:color="auto" w:fill="FFFFFF"/>
          <w:lang w:eastAsia="zh-CN"/>
        </w:rPr>
        <w:t>人员增加</w:t>
      </w:r>
      <w:r>
        <w:rPr>
          <w:rFonts w:ascii="方正仿宋_GBK" w:eastAsia="方正仿宋_GBK" w:cs="方正仿宋_GBK"/>
          <w:color w:val="auto"/>
          <w:sz w:val="32"/>
          <w:szCs w:val="32"/>
          <w:shd w:val="clear" w:color="auto" w:fill="FFFFFF"/>
        </w:rPr>
        <w:t>。人员经费用途主要包括</w:t>
      </w:r>
      <w:r>
        <w:rPr>
          <w:rFonts w:ascii="Times New Roman" w:eastAsia="方正仿宋_GBK" w:cs="方正仿宋_GBK" w:hAnsi="Times New Roman" w:hint="eastAsia"/>
          <w:i w:val="0"/>
          <w:caps w:val="0"/>
          <w:smallCaps w:val="0"/>
          <w:color w:val="auto"/>
          <w:spacing w:val="0"/>
          <w:sz w:val="32"/>
          <w:szCs w:val="32"/>
          <w:shd w:val="clear" w:color="auto" w:fill="FFFFFF"/>
        </w:rPr>
        <w:t>基本工资、津贴补贴、绩效工资、社会保障缴费</w:t>
      </w:r>
      <w:r>
        <w:rPr>
          <w:rFonts w:ascii="Times New Roman" w:eastAsia="方正仿宋_GBK" w:cs="方正仿宋_GBK" w:hAnsi="Times New Roman" w:hint="eastAsia"/>
          <w:i w:val="0"/>
          <w:caps w:val="0"/>
          <w:smallCaps w:val="0"/>
          <w:color w:val="auto"/>
          <w:spacing w:val="0"/>
          <w:sz w:val="32"/>
          <w:szCs w:val="32"/>
          <w:shd w:val="clear" w:color="auto" w:fill="FFFFFF"/>
          <w:lang w:eastAsia="zh-CN"/>
        </w:rPr>
        <w:t>。</w:t>
      </w:r>
      <w:r>
        <w:rPr>
          <w:rFonts w:ascii="方正仿宋_GBK" w:eastAsia="方正仿宋_GBK" w:cs="方正仿宋_GBK"/>
          <w:color w:val="auto"/>
          <w:sz w:val="32"/>
          <w:szCs w:val="32"/>
          <w:shd w:val="clear" w:color="auto" w:fill="FFFFFF"/>
        </w:rPr>
        <w:t>公用经费</w:t>
      </w:r>
      <w:r>
        <w:rPr>
          <w:rFonts w:ascii="方正仿宋_GBK" w:eastAsia="方正仿宋_GBK" w:cs="方正仿宋_GBK"/>
          <w:color w:val="auto"/>
          <w:sz w:val="32"/>
          <w:szCs w:val="32"/>
        </w:rPr>
        <w:t>0.00</w:t>
      </w:r>
      <w:r>
        <w:rPr>
          <w:rFonts w:ascii="方正仿宋_GBK" w:eastAsia="方正仿宋_GBK" w:cs="方正仿宋_GBK"/>
          <w:color w:val="auto"/>
          <w:sz w:val="32"/>
          <w:szCs w:val="32"/>
          <w:shd w:val="clear" w:color="auto" w:fill="FFFFFF"/>
        </w:rPr>
        <w:t>万元，与2023年度相比，无增减</w:t>
      </w:r>
      <w:r>
        <w:rPr>
          <w:rFonts w:ascii="方正仿宋_GBK" w:eastAsia="方正仿宋_GBK" w:cs="方正仿宋_GBK" w:hint="eastAsia"/>
          <w:color w:val="auto"/>
          <w:sz w:val="32"/>
          <w:szCs w:val="32"/>
          <w:shd w:val="clear" w:color="auto" w:fill="FFFFFF"/>
          <w:lang w:eastAsia="zh-CN"/>
        </w:rPr>
        <w:t>。</w:t>
      </w:r>
    </w:p>
    <w:p>
      <w:pPr>
        <w:pStyle w:val="22"/>
        <w:keepNext w:val="0"/>
        <w:keepLines w:val="0"/>
        <w:pageBreakBefore w:val="0"/>
        <w:widowControl/>
        <w:kinsoku/>
        <w:wordWrap/>
        <w:overflowPunct/>
        <w:topLinePunct w:val="0"/>
        <w:autoSpaceDE w:val="0"/>
        <w:autoSpaceDN/>
        <w:bidi w:val="0"/>
        <w:adjustRightInd/>
        <w:spacing w:beforeAutospacing="0" w:afterAutospacing="0" w:line="594" w:lineRule="exact"/>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（五）政府性基金预算收支决算情况说明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本单位2024年度无政府性基金预算财政拨款收支。</w:t>
      </w:r>
    </w:p>
    <w:p>
      <w:pPr>
        <w:pStyle w:val="22"/>
        <w:keepNext w:val="0"/>
        <w:keepLines w:val="0"/>
        <w:pageBreakBefore w:val="0"/>
        <w:widowControl/>
        <w:kinsoku/>
        <w:wordWrap/>
        <w:overflowPunct/>
        <w:topLinePunct w:val="0"/>
        <w:autoSpaceDE w:val="0"/>
        <w:autoSpaceDN/>
        <w:bidi w:val="0"/>
        <w:adjustRightInd/>
        <w:spacing w:beforeAutospacing="0" w:afterAutospacing="0" w:line="594" w:lineRule="exact"/>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（六）国有资本经营预算财政拨款支出决算情况说明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 本单位2024年度无国有资本经营预算财政拨款支出。</w:t>
      </w:r>
    </w:p>
    <w:p>
      <w:pPr>
        <w:pStyle w:val="19"/>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Chars="200" w:firstLine="640"/>
        <w:textAlignment w:val="auto"/>
        <w:rPr>
          <w:rStyle w:val="20"/>
          <w:rFonts w:ascii="黑体" w:eastAsia="黑体" w:cs="黑体"/>
          <w:sz w:val="32"/>
          <w:szCs w:val="32"/>
          <w:shd w:val="clear" w:color="auto" w:fill="FFFFFF"/>
        </w:rPr>
      </w:pPr>
      <w:r>
        <w:rPr>
          <w:rStyle w:val="20"/>
          <w:rFonts w:ascii="黑体" w:eastAsia="黑体" w:cs="黑体"/>
          <w:sz w:val="32"/>
          <w:szCs w:val="32"/>
          <w:shd w:val="clear" w:color="auto" w:fill="FFFFFF"/>
        </w:rPr>
        <w:t>三、财政拨款“三公”经费情况说明</w:t>
      </w:r>
    </w:p>
    <w:p>
      <w:pPr>
        <w:pStyle w:val="22"/>
        <w:keepNext w:val="0"/>
        <w:keepLines w:val="0"/>
        <w:pageBreakBefore w:val="0"/>
        <w:widowControl/>
        <w:kinsoku/>
        <w:wordWrap/>
        <w:overflowPunct/>
        <w:topLinePunct w:val="0"/>
        <w:autoSpaceDE w:val="0"/>
        <w:autoSpaceDN/>
        <w:bidi w:val="0"/>
        <w:adjustRightInd/>
        <w:spacing w:beforeAutospacing="0" w:afterAutospacing="0" w:line="594" w:lineRule="exact"/>
        <w:ind w:left="0" w:firstLineChars="0" w:firstLine="0"/>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lang w:val="en-US" w:eastAsia="zh-CN"/>
        </w:rPr>
        <w:t xml:space="preserve">    </w:t>
      </w:r>
      <w:r>
        <w:rPr>
          <w:rFonts w:ascii="楷体" w:eastAsia="楷体" w:cs="楷体" w:hint="eastAsia"/>
          <w:b/>
          <w:bCs/>
          <w:sz w:val="32"/>
          <w:szCs w:val="32"/>
          <w:shd w:val="clear" w:color="auto" w:fill="FFFFFF"/>
        </w:rPr>
        <w:t>（一）“三公”经费支出总体情况说明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hint="eastAsia"/>
          <w:sz w:val="32"/>
          <w:szCs w:val="32"/>
          <w:lang w:eastAsia="zh-CN"/>
        </w:rPr>
      </w:pPr>
      <w:r>
        <w:rPr>
          <w:rFonts w:ascii="方正仿宋_GBK" w:eastAsia="方正仿宋_GBK" w:cs="方正仿宋_GBK"/>
          <w:sz w:val="32"/>
          <w:szCs w:val="32"/>
          <w:shd w:val="clear" w:color="auto" w:fill="FFFFFF"/>
        </w:rPr>
        <w:t>2024年度“三公”经费支出共计</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万元，较年初预算数无增减</w:t>
      </w:r>
      <w:r>
        <w:rPr>
          <w:rFonts w:ascii="方正仿宋_GBK" w:eastAsia="方正仿宋_GBK" w:cs="方正仿宋_GBK" w:hint="eastAsia"/>
          <w:sz w:val="32"/>
          <w:szCs w:val="32"/>
          <w:shd w:val="clear" w:color="auto" w:fill="FFFFFF"/>
          <w:lang w:eastAsia="zh-CN"/>
        </w:rPr>
        <w:t>。</w:t>
      </w:r>
      <w:r>
        <w:rPr>
          <w:rFonts w:ascii="方正仿宋_GBK" w:eastAsia="方正仿宋_GBK" w:cs="方正仿宋_GBK"/>
          <w:sz w:val="32"/>
          <w:szCs w:val="32"/>
          <w:shd w:val="clear" w:color="auto" w:fill="FFFFFF"/>
        </w:rPr>
        <w:t>较上年支出数无增减</w:t>
      </w:r>
      <w:r>
        <w:rPr>
          <w:rFonts w:ascii="方正仿宋_GBK" w:eastAsia="方正仿宋_GBK" w:cs="方正仿宋_GBK" w:hint="eastAsia"/>
          <w:sz w:val="32"/>
          <w:szCs w:val="32"/>
          <w:shd w:val="clear" w:color="auto" w:fill="FFFFFF"/>
          <w:lang w:eastAsia="zh-CN"/>
        </w:rPr>
        <w:t>。</w:t>
      </w:r>
      <w:r>
        <w:rPr>
          <w:rFonts w:ascii="Times New Roman" w:eastAsia="方正仿宋_GBK" w:cs="方正仿宋_GBK" w:hAnsi="Times New Roman"/>
          <w:color w:val="000000"/>
          <w:sz w:val="32"/>
          <w:szCs w:val="32"/>
          <w:shd w:val="clear" w:color="auto" w:fill="FFFFFF"/>
          <w14:textFill>
            <w14:solidFill>
              <w14:srgbClr w14:val="000000"/>
            </w14:solidFill>
          </w14:textFill>
        </w:rPr>
        <w:t>我单位属于</w:t>
      </w:r>
      <w:r>
        <w:rPr>
          <w:rFonts w:ascii="Times New Roman" w:eastAsia="方正仿宋_GBK" w:cs="方正仿宋_GBK" w:hAnsi="Times New Roman" w:hint="eastAsia"/>
          <w:color w:val="000000"/>
          <w:sz w:val="32"/>
          <w:szCs w:val="32"/>
          <w:shd w:val="clear" w:color="auto" w:fill="FFFFFF"/>
          <w14:textFill>
            <w14:solidFill>
              <w14:srgbClr w14:val="000000"/>
            </w14:solidFill>
          </w14:textFill>
          <w:lang w:eastAsia="zh-CN"/>
        </w:rPr>
        <w:t>差额拨款单位</w:t>
      </w:r>
      <w:r>
        <w:rPr>
          <w:rFonts w:ascii="Times New Roman" w:eastAsia="方正仿宋_GBK" w:cs="方正仿宋_GBK" w:hAnsi="Times New Roman"/>
          <w:color w:val="000000"/>
          <w:sz w:val="32"/>
          <w:szCs w:val="32"/>
          <w:shd w:val="clear" w:color="auto" w:fill="FFFFFF"/>
          <w14:textFill>
            <w14:solidFill>
              <w14:srgbClr w14:val="000000"/>
            </w14:solidFill>
          </w14:textFill>
        </w:rPr>
        <w:t>，财政未保障我单位“三公”经费。</w:t>
      </w:r>
    </w:p>
    <w:p>
      <w:pPr>
        <w:pStyle w:val="22"/>
        <w:keepNext w:val="0"/>
        <w:keepLines w:val="0"/>
        <w:pageBreakBefore w:val="0"/>
        <w:widowControl/>
        <w:kinsoku/>
        <w:wordWrap/>
        <w:overflowPunct/>
        <w:topLinePunct w:val="0"/>
        <w:autoSpaceDE w:val="0"/>
        <w:autoSpaceDN/>
        <w:bidi w:val="0"/>
        <w:adjustRightInd/>
        <w:spacing w:beforeAutospacing="0" w:afterAutospacing="0" w:line="594" w:lineRule="exact"/>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（二）“三公”经费分项支出情况</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color w:val="000000"/>
          <w:sz w:val="32"/>
          <w:szCs w:val="32"/>
          <w14:textFill>
            <w14:solidFill>
              <w14:srgbClr w14:val="000000"/>
            </w14:solidFill>
          </w14:textFill>
        </w:rPr>
      </w:pPr>
      <w:r>
        <w:rPr>
          <w:rFonts w:ascii="方正仿宋_GBK" w:eastAsia="方正仿宋_GBK" w:cs="方正仿宋_GBK"/>
          <w:color w:val="000000"/>
          <w:sz w:val="32"/>
          <w:szCs w:val="32"/>
          <w:shd w:val="clear" w:color="auto" w:fill="FFFFFF"/>
          <w14:textFill>
            <w14:solidFill>
              <w14:srgbClr w14:val="000000"/>
            </w14:solidFill>
          </w14:textFill>
        </w:rPr>
        <w:t>2024年度本单位因公出国（境）费用</w:t>
      </w:r>
      <w:r>
        <w:rPr>
          <w:rFonts w:ascii="方正仿宋_GBK" w:eastAsia="方正仿宋_GBK" w:cs="方正仿宋_GBK"/>
          <w:color w:val="000000"/>
          <w:sz w:val="32"/>
          <w:szCs w:val="32"/>
          <w14:textFill>
            <w14:solidFill>
              <w14:srgbClr w14:val="000000"/>
            </w14:solidFill>
          </w14:textFill>
        </w:rPr>
        <w:t>0.00</w:t>
      </w:r>
      <w:r>
        <w:rPr>
          <w:rFonts w:ascii="方正仿宋_GBK" w:eastAsia="方正仿宋_GBK" w:cs="方正仿宋_GBK"/>
          <w:color w:val="000000"/>
          <w:sz w:val="32"/>
          <w:szCs w:val="32"/>
          <w:shd w:val="clear" w:color="auto" w:fill="FFFFFF"/>
          <w14:textFill>
            <w14:solidFill>
              <w14:srgbClr w14:val="000000"/>
            </w14:solidFill>
          </w14:textFill>
        </w:rPr>
        <w:t>万元。费用支出较年初预算数无增减。较上年支出数无增减。</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color w:val="000000"/>
          <w:sz w:val="32"/>
          <w:szCs w:val="32"/>
          <w14:textFill>
            <w14:solidFill>
              <w14:srgbClr w14:val="000000"/>
            </w14:solidFill>
          </w14:textFill>
        </w:rPr>
      </w:pPr>
      <w:r>
        <w:rPr>
          <w:rFonts w:ascii="方正仿宋_GBK" w:eastAsia="方正仿宋_GBK" w:cs="方正仿宋_GBK"/>
          <w:color w:val="000000"/>
          <w:sz w:val="32"/>
          <w:szCs w:val="32"/>
          <w:shd w:val="clear" w:color="auto" w:fill="FFFFFF"/>
          <w14:textFill>
            <w14:solidFill>
              <w14:srgbClr w14:val="000000"/>
            </w14:solidFill>
          </w14:textFill>
        </w:rPr>
        <w:t>公务车购置费</w:t>
      </w:r>
      <w:r>
        <w:rPr>
          <w:rFonts w:ascii="方正仿宋_GBK" w:eastAsia="方正仿宋_GBK" w:cs="方正仿宋_GBK"/>
          <w:color w:val="000000"/>
          <w:sz w:val="32"/>
          <w:szCs w:val="32"/>
          <w14:textFill>
            <w14:solidFill>
              <w14:srgbClr w14:val="000000"/>
            </w14:solidFill>
          </w14:textFill>
        </w:rPr>
        <w:t>0.00</w:t>
      </w:r>
      <w:r>
        <w:rPr>
          <w:rFonts w:ascii="方正仿宋_GBK" w:eastAsia="方正仿宋_GBK" w:cs="方正仿宋_GBK"/>
          <w:color w:val="000000"/>
          <w:sz w:val="32"/>
          <w:szCs w:val="32"/>
          <w:shd w:val="clear" w:color="auto" w:fill="FFFFFF"/>
          <w14:textFill>
            <w14:solidFill>
              <w14:srgbClr w14:val="000000"/>
            </w14:solidFill>
          </w14:textFill>
        </w:rPr>
        <w:t>万元。费用支出较年初预算数无增减。较上年支出数无增减。</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color w:val="000000"/>
          <w:sz w:val="32"/>
          <w:szCs w:val="32"/>
          <w14:textFill>
            <w14:solidFill>
              <w14:srgbClr w14:val="000000"/>
            </w14:solidFill>
          </w14:textFill>
        </w:rPr>
      </w:pPr>
      <w:r>
        <w:rPr>
          <w:rFonts w:ascii="方正仿宋_GBK" w:eastAsia="方正仿宋_GBK" w:cs="方正仿宋_GBK"/>
          <w:color w:val="000000"/>
          <w:sz w:val="32"/>
          <w:szCs w:val="32"/>
          <w:shd w:val="clear" w:color="auto" w:fill="FFFFFF"/>
          <w14:textFill>
            <w14:solidFill>
              <w14:srgbClr w14:val="000000"/>
            </w14:solidFill>
          </w14:textFill>
        </w:rPr>
        <w:t>公务车运行维护费</w:t>
      </w:r>
      <w:r>
        <w:rPr>
          <w:rFonts w:ascii="方正仿宋_GBK" w:eastAsia="方正仿宋_GBK" w:cs="方正仿宋_GBK"/>
          <w:color w:val="000000"/>
          <w:sz w:val="32"/>
          <w:szCs w:val="32"/>
          <w14:textFill>
            <w14:solidFill>
              <w14:srgbClr w14:val="000000"/>
            </w14:solidFill>
          </w14:textFill>
        </w:rPr>
        <w:t>0.00</w:t>
      </w:r>
      <w:r>
        <w:rPr>
          <w:rFonts w:ascii="方正仿宋_GBK" w:eastAsia="方正仿宋_GBK" w:cs="方正仿宋_GBK"/>
          <w:color w:val="000000"/>
          <w:sz w:val="32"/>
          <w:szCs w:val="32"/>
          <w:shd w:val="clear" w:color="auto" w:fill="FFFFFF"/>
          <w14:textFill>
            <w14:solidFill>
              <w14:srgbClr w14:val="000000"/>
            </w14:solidFill>
          </w14:textFill>
        </w:rPr>
        <w:t>万元。费用支出较年初预算数无增减。较上年支出数无增减。</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hint="eastAsia"/>
          <w:color w:val="000000"/>
          <w:sz w:val="32"/>
          <w:szCs w:val="32"/>
          <w14:textFill>
            <w14:solidFill>
              <w14:srgbClr w14:val="000000"/>
            </w14:solidFill>
          </w14:textFill>
          <w:lang w:eastAsia="zh-CN"/>
        </w:rPr>
      </w:pPr>
      <w:r>
        <w:rPr>
          <w:rFonts w:ascii="方正仿宋_GBK" w:eastAsia="方正仿宋_GBK" w:cs="方正仿宋_GBK"/>
          <w:color w:val="000000"/>
          <w:sz w:val="32"/>
          <w:szCs w:val="32"/>
          <w:shd w:val="clear" w:color="auto" w:fill="FFFFFF"/>
          <w14:textFill>
            <w14:solidFill>
              <w14:srgbClr w14:val="000000"/>
            </w14:solidFill>
          </w14:textFill>
        </w:rPr>
        <w:t>公务接待费</w:t>
      </w:r>
      <w:r>
        <w:rPr>
          <w:rFonts w:ascii="方正仿宋_GBK" w:eastAsia="方正仿宋_GBK" w:cs="方正仿宋_GBK"/>
          <w:color w:val="000000"/>
          <w:sz w:val="32"/>
          <w:szCs w:val="32"/>
          <w14:textFill>
            <w14:solidFill>
              <w14:srgbClr w14:val="000000"/>
            </w14:solidFill>
          </w14:textFill>
        </w:rPr>
        <w:t>0.00</w:t>
      </w:r>
      <w:r>
        <w:rPr>
          <w:rFonts w:ascii="方正仿宋_GBK" w:eastAsia="方正仿宋_GBK" w:cs="方正仿宋_GBK"/>
          <w:color w:val="000000"/>
          <w:sz w:val="32"/>
          <w:szCs w:val="32"/>
          <w:shd w:val="clear" w:color="auto" w:fill="FFFFFF"/>
          <w14:textFill>
            <w14:solidFill>
              <w14:srgbClr w14:val="000000"/>
            </w14:solidFill>
          </w14:textFill>
        </w:rPr>
        <w:t>万元。费用支出较年初预算数无增减。较上年支出数无增减</w:t>
      </w:r>
      <w:r>
        <w:rPr>
          <w:rFonts w:ascii="方正仿宋_GBK" w:eastAsia="方正仿宋_GBK" w:cs="方正仿宋_GBK" w:hint="eastAsia"/>
          <w:color w:val="000000"/>
          <w:sz w:val="32"/>
          <w:szCs w:val="32"/>
          <w:shd w:val="clear" w:color="auto" w:fill="FFFFFF"/>
          <w14:textFill>
            <w14:solidFill>
              <w14:srgbClr w14:val="000000"/>
            </w14:solidFill>
          </w14:textFill>
          <w:lang w:eastAsia="zh-CN"/>
        </w:rPr>
        <w:t>。</w:t>
      </w:r>
    </w:p>
    <w:p>
      <w:pPr>
        <w:pStyle w:val="22"/>
        <w:keepNext w:val="0"/>
        <w:keepLines w:val="0"/>
        <w:pageBreakBefore w:val="0"/>
        <w:widowControl/>
        <w:kinsoku/>
        <w:wordWrap/>
        <w:overflowPunct/>
        <w:topLinePunct w:val="0"/>
        <w:autoSpaceDE w:val="0"/>
        <w:autoSpaceDN/>
        <w:bidi w:val="0"/>
        <w:adjustRightInd/>
        <w:spacing w:beforeAutospacing="0" w:afterAutospacing="0" w:line="594" w:lineRule="exact"/>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（三）“三公”经费实物量情况</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sz w:val="32"/>
          <w:szCs w:val="32"/>
        </w:rPr>
      </w:pPr>
      <w:r>
        <w:rPr>
          <w:rFonts w:ascii="方正仿宋_GBK" w:eastAsia="方正仿宋_GBK" w:cs="方正仿宋_GBK"/>
          <w:sz w:val="32"/>
          <w:szCs w:val="32"/>
          <w:shd w:val="clear" w:color="auto" w:fill="FFFFFF"/>
        </w:rPr>
        <w:t>  2024年度本单位因公出国（境）共计</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个团组，</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人；公务用车购置</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辆，公务车保有量为</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辆；国内公务接待</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批次</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人，其中：国内外事接待</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批次，</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人；国（境）外公务接待</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批次，</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人。2024年本单位人均接待费</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元，车均购置费</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万元，车均维护费</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万元。</w:t>
      </w:r>
    </w:p>
    <w:p>
      <w:pPr>
        <w:pStyle w:val="19"/>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Chars="200" w:firstLine="640"/>
        <w:textAlignment w:val="auto"/>
        <w:rPr>
          <w:rStyle w:val="20"/>
          <w:rFonts w:ascii="黑体" w:eastAsia="黑体" w:cs="黑体"/>
          <w:sz w:val="32"/>
          <w:szCs w:val="32"/>
          <w:shd w:val="clear" w:color="auto" w:fill="FFFFFF"/>
        </w:rPr>
      </w:pPr>
      <w:r>
        <w:rPr>
          <w:rStyle w:val="20"/>
          <w:rFonts w:ascii="黑体" w:eastAsia="黑体" w:cs="黑体"/>
          <w:sz w:val="32"/>
          <w:szCs w:val="32"/>
          <w:shd w:val="clear" w:color="auto" w:fill="FFFFFF"/>
        </w:rPr>
        <w:t>四、其他需要说明的事项</w:t>
      </w:r>
    </w:p>
    <w:p>
      <w:pPr>
        <w:pStyle w:val="22"/>
        <w:keepNext w:val="0"/>
        <w:keepLines w:val="0"/>
        <w:pageBreakBefore w:val="0"/>
        <w:widowControl/>
        <w:kinsoku/>
        <w:wordWrap/>
        <w:overflowPunct/>
        <w:topLinePunct w:val="0"/>
        <w:autoSpaceDE w:val="0"/>
        <w:autoSpaceDN/>
        <w:bidi w:val="0"/>
        <w:adjustRightInd/>
        <w:spacing w:beforeAutospacing="0" w:afterAutospacing="0" w:line="594" w:lineRule="exact"/>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 xml:space="preserve"> （一）财政拨款会议费和培训费情况说明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hint="eastAsia"/>
          <w:color w:val="auto"/>
          <w:sz w:val="32"/>
          <w:szCs w:val="32"/>
          <w:lang w:eastAsia="zh-CN"/>
        </w:rPr>
      </w:pPr>
      <w:r>
        <w:rPr>
          <w:rFonts w:ascii="方正仿宋_GBK" w:eastAsia="方正仿宋_GBK" w:cs="方正仿宋_GBK"/>
          <w:sz w:val="32"/>
          <w:szCs w:val="32"/>
          <w:shd w:val="clear" w:color="auto" w:fill="FFFFFF"/>
        </w:rPr>
        <w:t>本</w:t>
      </w:r>
      <w:r>
        <w:rPr>
          <w:rFonts w:ascii="方正仿宋_GBK" w:eastAsia="方正仿宋_GBK" w:cs="方正仿宋_GBK"/>
          <w:color w:val="auto"/>
          <w:sz w:val="32"/>
          <w:szCs w:val="32"/>
          <w:shd w:val="clear" w:color="auto" w:fill="FFFFFF"/>
        </w:rPr>
        <w:t>年度会议费支出</w:t>
      </w:r>
      <w:r>
        <w:rPr>
          <w:rFonts w:ascii="方正仿宋_GBK" w:eastAsia="方正仿宋_GBK" w:cs="方正仿宋_GBK"/>
          <w:color w:val="auto"/>
          <w:sz w:val="32"/>
          <w:szCs w:val="32"/>
        </w:rPr>
        <w:t>0.00</w:t>
      </w:r>
      <w:r>
        <w:rPr>
          <w:rFonts w:ascii="方正仿宋_GBK" w:eastAsia="方正仿宋_GBK" w:cs="方正仿宋_GBK"/>
          <w:color w:val="auto"/>
          <w:sz w:val="32"/>
          <w:szCs w:val="32"/>
          <w:shd w:val="clear" w:color="auto" w:fill="FFFFFF"/>
        </w:rPr>
        <w:t>万元，与2023年度相比，无增减。本年度培训费支出</w:t>
      </w:r>
      <w:r>
        <w:rPr>
          <w:rFonts w:ascii="方正仿宋_GBK" w:eastAsia="方正仿宋_GBK" w:cs="方正仿宋_GBK"/>
          <w:color w:val="auto"/>
          <w:sz w:val="32"/>
          <w:szCs w:val="32"/>
        </w:rPr>
        <w:t>0.00</w:t>
      </w:r>
      <w:r>
        <w:rPr>
          <w:rFonts w:ascii="方正仿宋_GBK" w:eastAsia="方正仿宋_GBK" w:cs="方正仿宋_GBK"/>
          <w:color w:val="auto"/>
          <w:sz w:val="32"/>
          <w:szCs w:val="32"/>
          <w:shd w:val="clear" w:color="auto" w:fill="FFFFFF"/>
        </w:rPr>
        <w:t>万元，与2023年度相比，减少0.10万元，下降100.0%，主要原因是</w:t>
      </w:r>
      <w:r>
        <w:rPr>
          <w:rFonts w:ascii="方正仿宋_GBK" w:eastAsia="方正仿宋_GBK" w:cs="方正仿宋_GBK" w:hint="eastAsia"/>
          <w:color w:val="auto"/>
          <w:sz w:val="32"/>
          <w:szCs w:val="32"/>
          <w:shd w:val="clear" w:color="auto" w:fill="FFFFFF"/>
          <w:lang w:eastAsia="zh-CN"/>
        </w:rPr>
        <w:t>我单位本年度无培训费。</w:t>
      </w:r>
    </w:p>
    <w:p>
      <w:pPr>
        <w:pStyle w:val="22"/>
        <w:keepNext w:val="0"/>
        <w:keepLines w:val="0"/>
        <w:pageBreakBefore w:val="0"/>
        <w:widowControl/>
        <w:kinsoku/>
        <w:wordWrap/>
        <w:overflowPunct/>
        <w:topLinePunct w:val="0"/>
        <w:autoSpaceDE w:val="0"/>
        <w:autoSpaceDN/>
        <w:bidi w:val="0"/>
        <w:adjustRightInd/>
        <w:spacing w:beforeAutospacing="0" w:afterAutospacing="0" w:line="594" w:lineRule="exact"/>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（二）机关运行经费情况说明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color w:val="000000"/>
          <w:sz w:val="32"/>
          <w:szCs w:val="32"/>
          <w14:textFill>
            <w14:solidFill>
              <w14:srgbClr w14:val="000000"/>
            </w14:solidFill>
          </w14:textFill>
        </w:rPr>
      </w:pPr>
      <w:r>
        <w:rPr>
          <w:rFonts w:ascii="方正仿宋_GBK" w:eastAsia="方正仿宋_GBK" w:cs="方正仿宋_GBK"/>
          <w:color w:val="000000"/>
          <w:sz w:val="32"/>
          <w:szCs w:val="32"/>
          <w:shd w:val="clear" w:color="auto" w:fill="FFFFFF"/>
          <w14:textFill>
            <w14:solidFill>
              <w14:srgbClr w14:val="000000"/>
            </w14:solidFill>
          </w14:textFill>
        </w:rPr>
        <w:t>2024年度本单位机关运行经费支出</w:t>
      </w:r>
      <w:r>
        <w:rPr>
          <w:rFonts w:ascii="方正仿宋_GBK" w:eastAsia="方正仿宋_GBK" w:cs="方正仿宋_GBK"/>
          <w:color w:val="000000"/>
          <w:sz w:val="32"/>
          <w:szCs w:val="32"/>
          <w14:textFill>
            <w14:solidFill>
              <w14:srgbClr w14:val="000000"/>
            </w14:solidFill>
          </w14:textFill>
        </w:rPr>
        <w:t>0.00</w:t>
      </w:r>
      <w:r>
        <w:rPr>
          <w:rFonts w:ascii="方正仿宋_GBK" w:eastAsia="方正仿宋_GBK" w:cs="方正仿宋_GBK"/>
          <w:color w:val="000000"/>
          <w:sz w:val="32"/>
          <w:szCs w:val="32"/>
          <w:shd w:val="clear" w:color="auto" w:fill="FFFFFF"/>
          <w14:textFill>
            <w14:solidFill>
              <w14:srgbClr w14:val="000000"/>
            </w14:solidFill>
          </w14:textFill>
        </w:rPr>
        <w:t>万元。机关运行经费较上年支出数无增减。</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jc w:val="both"/>
        <w:textAlignment w:val="auto"/>
        <w:rPr>
          <w:rFonts w:ascii="方正仿宋_GBK" w:eastAsia="方正仿宋_GBK" w:cs="方正仿宋_GBK"/>
          <w:color w:val="000000"/>
          <w:sz w:val="32"/>
          <w:szCs w:val="32"/>
          <w14:textFill>
            <w14:solidFill>
              <w14:srgbClr w14:val="000000"/>
            </w14:solidFill>
          </w14:textFill>
        </w:rPr>
      </w:pPr>
      <w:r>
        <w:rPr>
          <w:rFonts w:ascii="方正仿宋_GBK" w:eastAsia="方正仿宋_GBK" w:cs="方正仿宋_GBK" w:hint="eastAsia"/>
          <w:color w:val="000000"/>
          <w:sz w:val="32"/>
          <w:szCs w:val="32"/>
          <w14:textFill>
            <w14:solidFill>
              <w14:srgbClr w14:val="000000"/>
            </w14:solidFill>
          </w14:textFill>
          <w:lang w:val="en-US" w:eastAsia="zh-CN"/>
        </w:rPr>
        <w:t xml:space="preserve">    </w:t>
      </w:r>
      <w:r>
        <w:rPr>
          <w:rFonts w:ascii="方正仿宋_GBK" w:eastAsia="方正仿宋_GBK" w:cs="方正仿宋_GBK"/>
          <w:color w:val="000000"/>
          <w:sz w:val="32"/>
          <w:szCs w:val="32"/>
          <w14:textFill>
            <w14:solidFill>
              <w14:srgbClr w14:val="000000"/>
            </w14:solidFill>
          </w14:textFill>
        </w:rPr>
        <w:t>按照部门决算列报口径，我单位不在机关运行经费统计范围之内。</w:t>
      </w:r>
    </w:p>
    <w:p>
      <w:pPr>
        <w:pStyle w:val="22"/>
        <w:keepNext w:val="0"/>
        <w:keepLines w:val="0"/>
        <w:pageBreakBefore w:val="0"/>
        <w:widowControl/>
        <w:kinsoku/>
        <w:wordWrap/>
        <w:overflowPunct/>
        <w:topLinePunct w:val="0"/>
        <w:autoSpaceDE w:val="0"/>
        <w:autoSpaceDN/>
        <w:bidi w:val="0"/>
        <w:adjustRightInd/>
        <w:spacing w:beforeAutospacing="0" w:afterAutospacing="0" w:line="594" w:lineRule="exact"/>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（三）国有资产占用情况说明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color w:val="FF0000"/>
          <w:sz w:val="32"/>
          <w:szCs w:val="32"/>
        </w:rPr>
      </w:pPr>
      <w:r>
        <w:rPr>
          <w:rFonts w:ascii="方正仿宋_GBK" w:eastAsia="方正仿宋_GBK" w:cs="方正仿宋_GBK"/>
          <w:sz w:val="32"/>
          <w:szCs w:val="32"/>
          <w:shd w:val="clear" w:color="auto" w:fill="FFFFFF"/>
        </w:rPr>
        <w:t>截至2024年12月31日，本单位共有车辆</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辆，其中，副部（省）级及以上领导用车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辆、主要负责人用车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辆、机要通信用车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辆、应急保障用车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辆、执法执勤用车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辆，特种专业技术用车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辆，离退休干部用车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辆。单价100万元（含）以上专用设备</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台（套）。</w:t>
      </w:r>
    </w:p>
    <w:p>
      <w:pPr>
        <w:pStyle w:val="22"/>
        <w:keepNext w:val="0"/>
        <w:keepLines w:val="0"/>
        <w:pageBreakBefore w:val="0"/>
        <w:widowControl/>
        <w:kinsoku/>
        <w:wordWrap/>
        <w:overflowPunct/>
        <w:topLinePunct w:val="0"/>
        <w:autoSpaceDE w:val="0"/>
        <w:autoSpaceDN/>
        <w:bidi w:val="0"/>
        <w:adjustRightInd/>
        <w:spacing w:beforeAutospacing="0" w:afterAutospacing="0" w:line="594" w:lineRule="exact"/>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（四）政府采购支出情况说明</w:t>
      </w:r>
    </w:p>
    <w:p>
      <w:pPr>
        <w:pStyle w:val="19"/>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Chars="200" w:firstLine="640"/>
        <w:jc w:val="both"/>
        <w:textAlignment w:val="auto"/>
        <w:rPr>
          <w:rFonts w:ascii="方正仿宋_GBK" w:eastAsia="方正仿宋_GBK" w:cs="方正仿宋_GBK"/>
          <w:color w:val="auto"/>
          <w:sz w:val="32"/>
          <w:szCs w:val="32"/>
          <w:shd w:val="clear" w:color="auto" w:fill="FFFFFF"/>
        </w:rPr>
      </w:pPr>
      <w:r>
        <w:rPr>
          <w:rFonts w:ascii="方正仿宋_GBK" w:eastAsia="方正仿宋_GBK" w:cs="方正仿宋_GBK"/>
          <w:sz w:val="32"/>
          <w:szCs w:val="32"/>
          <w:shd w:val="clear" w:color="auto" w:fill="FFFFFF"/>
        </w:rPr>
        <w:t>2024年度本单位政府采购支出总额</w:t>
      </w:r>
      <w:r>
        <w:rPr>
          <w:rFonts w:ascii="方正仿宋_GBK" w:eastAsia="方正仿宋_GBK" w:cs="方正仿宋_GBK"/>
          <w:sz w:val="32"/>
          <w:szCs w:val="32"/>
        </w:rPr>
        <w:t>78.88</w:t>
      </w:r>
      <w:r>
        <w:rPr>
          <w:rFonts w:ascii="方正仿宋_GBK" w:eastAsia="方正仿宋_GBK" w:cs="方正仿宋_GBK"/>
          <w:sz w:val="32"/>
          <w:szCs w:val="32"/>
          <w:shd w:val="clear" w:color="auto" w:fill="FFFFFF"/>
        </w:rPr>
        <w:t>万元，其中：政府采购货物支出</w:t>
      </w:r>
      <w:r>
        <w:rPr>
          <w:rFonts w:ascii="方正仿宋_GBK" w:eastAsia="方正仿宋_GBK" w:cs="方正仿宋_GBK"/>
          <w:sz w:val="32"/>
          <w:szCs w:val="32"/>
        </w:rPr>
        <w:t>78.88</w:t>
      </w:r>
      <w:r>
        <w:rPr>
          <w:rFonts w:ascii="方正仿宋_GBK" w:eastAsia="方正仿宋_GBK" w:cs="方正仿宋_GBK"/>
          <w:sz w:val="32"/>
          <w:szCs w:val="32"/>
          <w:shd w:val="clear" w:color="auto" w:fill="FFFFFF"/>
        </w:rPr>
        <w:t>万元、政府采购工程支出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万元、政府采购服务支出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万元。授予中小企业合同金额</w:t>
      </w:r>
      <w:r>
        <w:rPr>
          <w:rFonts w:ascii="方正仿宋_GBK" w:eastAsia="方正仿宋_GBK" w:cs="方正仿宋_GBK"/>
          <w:sz w:val="32"/>
          <w:szCs w:val="32"/>
        </w:rPr>
        <w:t>78.88万</w:t>
      </w:r>
      <w:r>
        <w:rPr>
          <w:rFonts w:ascii="方正仿宋_GBK" w:eastAsia="方正仿宋_GBK" w:cs="方正仿宋_GBK"/>
          <w:sz w:val="32"/>
          <w:szCs w:val="32"/>
          <w:shd w:val="clear" w:color="auto" w:fill="FFFFFF"/>
        </w:rPr>
        <w:t>元，占政府采购支出总额的</w:t>
      </w:r>
      <w:r>
        <w:rPr>
          <w:rFonts w:ascii="方正仿宋_GBK" w:eastAsia="方正仿宋_GBK" w:cs="方正仿宋_GBK"/>
          <w:sz w:val="32"/>
          <w:szCs w:val="32"/>
        </w:rPr>
        <w:t>100.00</w:t>
      </w:r>
      <w:r>
        <w:rPr>
          <w:rFonts w:ascii="方正仿宋_GBK" w:eastAsia="方正仿宋_GBK" w:cs="方正仿宋_GBK"/>
          <w:sz w:val="32"/>
          <w:szCs w:val="32"/>
          <w:shd w:val="clear" w:color="auto" w:fill="FFFFFF"/>
        </w:rPr>
        <w:t>%，其中：授予小微企业合同金额</w:t>
      </w:r>
      <w:r>
        <w:rPr>
          <w:rFonts w:ascii="方正仿宋_GBK" w:eastAsia="方正仿宋_GBK" w:cs="方正仿宋_GBK"/>
          <w:sz w:val="32"/>
          <w:szCs w:val="32"/>
        </w:rPr>
        <w:t>78.88</w:t>
      </w:r>
      <w:r>
        <w:rPr>
          <w:rFonts w:ascii="方正仿宋_GBK" w:eastAsia="方正仿宋_GBK" w:cs="方正仿宋_GBK"/>
          <w:sz w:val="32"/>
          <w:szCs w:val="32"/>
          <w:shd w:val="clear" w:color="auto" w:fill="FFFFFF"/>
        </w:rPr>
        <w:t>万元，占政府采购支出总额的</w:t>
      </w:r>
      <w:r>
        <w:rPr>
          <w:rFonts w:ascii="方正仿宋_GBK" w:eastAsia="方正仿宋_GBK" w:cs="方正仿宋_GBK"/>
          <w:sz w:val="32"/>
          <w:szCs w:val="32"/>
        </w:rPr>
        <w:t>100.00</w:t>
      </w:r>
      <w:r>
        <w:rPr>
          <w:rFonts w:ascii="方正仿宋_GBK" w:eastAsia="方正仿宋_GBK" w:cs="方正仿宋_GBK"/>
          <w:sz w:val="32"/>
          <w:szCs w:val="32"/>
          <w:shd w:val="clear" w:color="auto" w:fill="FFFFFF"/>
        </w:rPr>
        <w:t xml:space="preserve"> %。主要用</w:t>
      </w:r>
      <w:r>
        <w:rPr>
          <w:rFonts w:ascii="方正仿宋_GBK" w:eastAsia="方正仿宋_GBK" w:cs="方正仿宋_GBK"/>
          <w:color w:val="auto"/>
          <w:sz w:val="32"/>
          <w:szCs w:val="32"/>
          <w:shd w:val="clear" w:color="auto" w:fill="FFFFFF"/>
        </w:rPr>
        <w:t>于采购</w:t>
      </w:r>
      <w:r>
        <w:rPr>
          <w:rFonts w:ascii="方正仿宋_GBK" w:eastAsia="方正仿宋_GBK" w:cs="方正仿宋_GBK" w:hint="eastAsia"/>
          <w:color w:val="auto"/>
          <w:sz w:val="32"/>
          <w:szCs w:val="32"/>
          <w:shd w:val="clear" w:color="auto" w:fill="FFFFFF"/>
          <w:lang w:eastAsia="zh-CN"/>
        </w:rPr>
        <w:t>医疗设备</w:t>
      </w:r>
      <w:r>
        <w:rPr>
          <w:rFonts w:ascii="方正仿宋_GBK" w:eastAsia="方正仿宋_GBK" w:cs="方正仿宋_GBK"/>
          <w:color w:val="auto"/>
          <w:sz w:val="32"/>
          <w:szCs w:val="32"/>
          <w:shd w:val="clear" w:color="auto" w:fill="FFFFFF"/>
        </w:rPr>
        <w:t>。</w:t>
      </w:r>
    </w:p>
    <w:p>
      <w:pPr>
        <w:pStyle w:val="23"/>
        <w:keepNext w:val="0"/>
        <w:keepLines w:val="0"/>
        <w:pageBreakBefore w:val="0"/>
        <w:widowControl/>
        <w:kinsoku/>
        <w:wordWrap/>
        <w:overflowPunct/>
        <w:topLinePunct w:val="0"/>
        <w:autoSpaceDN/>
        <w:bidi w:val="0"/>
        <w:adjustRightInd/>
        <w:spacing w:before="0" w:beforeAutospacing="0" w:after="0" w:afterAutospacing="0" w:line="594" w:lineRule="exact"/>
        <w:ind w:firstLineChars="200" w:firstLine="640"/>
        <w:textAlignment w:val="auto"/>
        <w:rPr>
          <w:rStyle w:val="20"/>
          <w:rFonts w:ascii="黑体" w:eastAsia="黑体" w:cs="黑体"/>
          <w:sz w:val="32"/>
          <w:szCs w:val="32"/>
          <w:shd w:val="clear" w:color="auto" w:fill="FFFFFF"/>
        </w:rPr>
      </w:pPr>
      <w:r>
        <w:rPr>
          <w:rStyle w:val="20"/>
          <w:rFonts w:ascii="黑体" w:eastAsia="黑体" w:cs="黑体" w:hint="eastAsia"/>
          <w:sz w:val="32"/>
          <w:szCs w:val="32"/>
          <w:shd w:val="clear" w:color="auto" w:fill="FFFFFF"/>
        </w:rPr>
        <w:t>五、2024年度预算绩效管理情况说明</w:t>
      </w:r>
    </w:p>
    <w:p>
      <w:pPr>
        <w:pStyle w:val="23"/>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Chars="200" w:firstLine="640"/>
        <w:textAlignment w:val="auto"/>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（一）单位自评情况</w:t>
      </w:r>
    </w:p>
    <w:p>
      <w:pPr>
        <w:pStyle w:val="26"/>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94" w:lineRule="exact"/>
        <w:textAlignment w:val="auto"/>
        <w:rPr>
          <w:rFonts w:ascii="Times New Roman" w:eastAsia="方正仿宋_GBK" w:hAnsi="Times New Roman"/>
          <w:sz w:val="32"/>
          <w:szCs w:val="32"/>
        </w:rPr>
      </w:pPr>
      <w:r>
        <w:rPr>
          <w:rFonts w:ascii="Times New Roman" w:eastAsia="方正仿宋_GBK" w:hAnsi="Times New Roman"/>
          <w:sz w:val="32"/>
          <w:szCs w:val="32"/>
        </w:rPr>
        <w:t>根根据预算绩效管理要求，我单位对部门整体和</w:t>
      </w:r>
      <w:r>
        <w:rPr>
          <w:rFonts w:ascii="Times New Roman" w:eastAsia="方正仿宋_GBK" w:hAnsi="Times New Roman" w:hint="eastAsia"/>
          <w:sz w:val="32"/>
          <w:szCs w:val="32"/>
          <w:lang w:val="en-US" w:eastAsia="zh-CN"/>
        </w:rPr>
        <w:t>9</w:t>
      </w:r>
      <w:r>
        <w:rPr>
          <w:rFonts w:ascii="Times New Roman" w:eastAsia="方正仿宋_GBK" w:hAnsi="Times New Roman"/>
          <w:sz w:val="32"/>
          <w:szCs w:val="32"/>
        </w:rPr>
        <w:t>个项目开展了绩效自评，涉及财政拨款项目支出资金</w:t>
      </w:r>
      <w:r>
        <w:rPr>
          <w:rFonts w:ascii="Times New Roman" w:eastAsia="方正仿宋_GBK" w:hAnsi="Times New Roman" w:hint="eastAsia"/>
          <w:sz w:val="32"/>
          <w:szCs w:val="32"/>
          <w:lang w:val="en-US" w:eastAsia="zh-CN"/>
        </w:rPr>
        <w:t>381.64</w:t>
      </w:r>
      <w:r>
        <w:rPr>
          <w:rFonts w:ascii="Times New Roman" w:eastAsia="方正仿宋_GBK" w:hAnsi="Times New Roman"/>
          <w:sz w:val="32"/>
          <w:szCs w:val="32"/>
        </w:rPr>
        <w:t>万元。</w:t>
      </w:r>
    </w:p>
    <w:p>
      <w:pPr>
        <w:pStyle w:val="23"/>
        <w:keepNext w:val="0"/>
        <w:keepLines w:val="0"/>
        <w:pageBreakBefore w:val="0"/>
        <w:widowControl/>
        <w:kinsoku/>
        <w:wordWrap/>
        <w:overflowPunct/>
        <w:topLinePunct w:val="0"/>
        <w:autoSpaceDE w:val="0"/>
        <w:autoSpaceDN/>
        <w:bidi w:val="0"/>
        <w:adjustRightInd/>
        <w:spacing w:before="0" w:beforeAutospacing="0" w:after="0" w:afterAutospacing="0" w:line="594" w:lineRule="exact"/>
        <w:textAlignment w:val="auto"/>
        <w:rPr>
          <w:rFonts w:ascii="方正仿宋_GBK" w:eastAsia="方正仿宋_GBK" w:cs="方正仿宋_GBK"/>
          <w:sz w:val="32"/>
          <w:szCs w:val="32"/>
        </w:rPr>
      </w:pPr>
      <w:r>
        <w:rPr>
          <w:rStyle w:val="24"/>
          <w:rFonts w:ascii="方正仿宋_GBK" w:eastAsia="方正仿宋_GBK" w:cs="方正仿宋_GBK" w:hint="eastAsia"/>
          <w:sz w:val="32"/>
          <w:szCs w:val="32"/>
          <w:shd w:val="clear" w:color="auto" w:fill="FFFFFF"/>
        </w:rPr>
        <w:t xml:space="preserve">   </w:t>
      </w:r>
      <w:r>
        <w:rPr>
          <w:rStyle w:val="20"/>
          <w:rFonts w:ascii="黑体" w:eastAsia="黑体" w:cs="黑体" w:hint="eastAsia"/>
          <w:sz w:val="32"/>
          <w:szCs w:val="32"/>
          <w:shd w:val="clear" w:color="auto" w:fill="FFFFFF"/>
        </w:rPr>
        <w:t xml:space="preserve"> 六、专业名词解释</w:t>
      </w:r>
    </w:p>
    <w:p>
      <w:pPr>
        <w:pStyle w:val="23"/>
        <w:keepNext w:val="0"/>
        <w:keepLines w:val="0"/>
        <w:pageBreakBefore w:val="0"/>
        <w:widowControl/>
        <w:kinsoku/>
        <w:wordWrap/>
        <w:overflowPunct/>
        <w:topLinePunct w:val="0"/>
        <w:autoSpaceDN/>
        <w:bidi w:val="0"/>
        <w:adjustRightInd/>
        <w:spacing w:before="0" w:beforeAutospacing="0" w:after="0" w:afterAutospacing="0" w:line="594" w:lineRule="exact"/>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（一）财政拨款收入：</w:t>
      </w:r>
      <w:r>
        <w:rPr>
          <w:rFonts w:ascii="方正仿宋_GBK" w:eastAsia="方正仿宋_GBK" w:cs="方正仿宋_GBK" w:hint="eastAsia"/>
          <w:sz w:val="32"/>
          <w:szCs w:val="32"/>
          <w:shd w:val="clear" w:color="auto" w:fill="FFFFFF"/>
        </w:rPr>
        <w:t>指本年度从本级财政部门取得的财政拨款，包括一般公共预算财政拨款和政府性基金预算财政拨款。</w:t>
      </w:r>
    </w:p>
    <w:p>
      <w:pPr>
        <w:pStyle w:val="23"/>
        <w:keepNext w:val="0"/>
        <w:keepLines w:val="0"/>
        <w:pageBreakBefore w:val="0"/>
        <w:widowControl/>
        <w:kinsoku/>
        <w:wordWrap/>
        <w:overflowPunct/>
        <w:topLinePunct w:val="0"/>
        <w:autoSpaceDN/>
        <w:bidi w:val="0"/>
        <w:adjustRightInd/>
        <w:spacing w:before="0" w:beforeAutospacing="0" w:after="0" w:afterAutospacing="0" w:line="594" w:lineRule="exact"/>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（二）事业收入：</w:t>
      </w:r>
      <w:r>
        <w:rPr>
          <w:rFonts w:ascii="方正仿宋_GBK" w:eastAsia="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pPr>
        <w:pStyle w:val="23"/>
        <w:keepNext w:val="0"/>
        <w:keepLines w:val="0"/>
        <w:pageBreakBefore w:val="0"/>
        <w:widowControl/>
        <w:kinsoku/>
        <w:wordWrap/>
        <w:overflowPunct/>
        <w:topLinePunct w:val="0"/>
        <w:autoSpaceDN/>
        <w:bidi w:val="0"/>
        <w:adjustRightInd/>
        <w:spacing w:before="0" w:beforeAutospacing="0" w:after="0" w:afterAutospacing="0" w:line="594" w:lineRule="exact"/>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（三）经营收入：</w:t>
      </w:r>
      <w:r>
        <w:rPr>
          <w:rFonts w:ascii="方正仿宋_GBK" w:eastAsia="方正仿宋_GBK" w:cs="方正仿宋_GBK" w:hint="eastAsia"/>
          <w:sz w:val="32"/>
          <w:szCs w:val="32"/>
          <w:shd w:val="clear" w:color="auto" w:fill="FFFFFF"/>
        </w:rPr>
        <w:t>指事业单位在专业业务活动及其辅助活动之外开展非独立核算经营活动取得的现金流入。</w:t>
      </w:r>
    </w:p>
    <w:p>
      <w:pPr>
        <w:pStyle w:val="23"/>
        <w:keepNext w:val="0"/>
        <w:keepLines w:val="0"/>
        <w:pageBreakBefore w:val="0"/>
        <w:widowControl/>
        <w:kinsoku/>
        <w:wordWrap/>
        <w:overflowPunct/>
        <w:topLinePunct w:val="0"/>
        <w:autoSpaceDN/>
        <w:bidi w:val="0"/>
        <w:adjustRightInd/>
        <w:spacing w:before="0" w:beforeAutospacing="0" w:after="0" w:afterAutospacing="0" w:line="594" w:lineRule="exact"/>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（四）其他收入：</w:t>
      </w:r>
      <w:r>
        <w:rPr>
          <w:rFonts w:ascii="方正仿宋_GBK" w:eastAsia="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3"/>
        <w:keepNext w:val="0"/>
        <w:keepLines w:val="0"/>
        <w:pageBreakBefore w:val="0"/>
        <w:widowControl/>
        <w:kinsoku/>
        <w:wordWrap/>
        <w:overflowPunct/>
        <w:topLinePunct w:val="0"/>
        <w:autoSpaceDN/>
        <w:bidi w:val="0"/>
        <w:adjustRightInd/>
        <w:spacing w:before="0" w:beforeAutospacing="0" w:after="0" w:afterAutospacing="0" w:line="594" w:lineRule="exact"/>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（五）使用非财政拨款结余：</w:t>
      </w:r>
      <w:r>
        <w:rPr>
          <w:rFonts w:ascii="方正仿宋_GBK" w:eastAsia="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23"/>
        <w:keepNext w:val="0"/>
        <w:keepLines w:val="0"/>
        <w:pageBreakBefore w:val="0"/>
        <w:widowControl/>
        <w:kinsoku/>
        <w:wordWrap/>
        <w:overflowPunct/>
        <w:topLinePunct w:val="0"/>
        <w:autoSpaceDN/>
        <w:bidi w:val="0"/>
        <w:adjustRightInd/>
        <w:spacing w:before="0" w:beforeAutospacing="0" w:after="0" w:afterAutospacing="0" w:line="594" w:lineRule="exact"/>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（六）年初结转和结余：</w:t>
      </w:r>
      <w:r>
        <w:rPr>
          <w:rFonts w:ascii="方正仿宋_GBK" w:eastAsia="方正仿宋_GBK" w:cs="方正仿宋_GBK" w:hint="eastAsia"/>
          <w:sz w:val="32"/>
          <w:szCs w:val="32"/>
          <w:shd w:val="clear" w:color="auto" w:fill="FFFFFF"/>
        </w:rPr>
        <w:t>指单位上年结转本年使用的基本支出结转、项目支出结转和结余、经营结余。</w:t>
      </w:r>
    </w:p>
    <w:p>
      <w:pPr>
        <w:pStyle w:val="23"/>
        <w:keepNext w:val="0"/>
        <w:keepLines w:val="0"/>
        <w:pageBreakBefore w:val="0"/>
        <w:widowControl/>
        <w:kinsoku/>
        <w:wordWrap/>
        <w:overflowPunct/>
        <w:topLinePunct w:val="0"/>
        <w:autoSpaceDN/>
        <w:bidi w:val="0"/>
        <w:adjustRightInd/>
        <w:spacing w:before="0" w:beforeAutospacing="0" w:after="0" w:afterAutospacing="0" w:line="594" w:lineRule="exact"/>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（七）结余分配：</w:t>
      </w:r>
      <w:r>
        <w:rPr>
          <w:rFonts w:ascii="方正仿宋_GBK" w:eastAsia="方正仿宋_GBK" w:cs="方正仿宋_GBK" w:hint="eastAsia"/>
          <w:sz w:val="32"/>
          <w:szCs w:val="32"/>
          <w:shd w:val="clear" w:color="auto" w:fill="FFFFFF"/>
        </w:rPr>
        <w:t>指单位按照国家有关规定，缴纳所得税、提取专用基金、转入非财政拨款结余等当年结余的分配情况。</w:t>
      </w:r>
    </w:p>
    <w:p>
      <w:pPr>
        <w:pStyle w:val="23"/>
        <w:keepNext w:val="0"/>
        <w:keepLines w:val="0"/>
        <w:pageBreakBefore w:val="0"/>
        <w:widowControl/>
        <w:kinsoku/>
        <w:wordWrap/>
        <w:overflowPunct/>
        <w:topLinePunct w:val="0"/>
        <w:autoSpaceDN/>
        <w:bidi w:val="0"/>
        <w:adjustRightInd/>
        <w:spacing w:before="0" w:beforeAutospacing="0" w:after="0" w:afterAutospacing="0" w:line="594" w:lineRule="exact"/>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（八）年末结转和结余：</w:t>
      </w:r>
      <w:r>
        <w:rPr>
          <w:rFonts w:ascii="方正仿宋_GBK" w:eastAsia="方正仿宋_GBK" w:cs="方正仿宋_GBK" w:hint="eastAsia"/>
          <w:sz w:val="32"/>
          <w:szCs w:val="32"/>
          <w:shd w:val="clear" w:color="auto" w:fill="FFFFFF"/>
        </w:rPr>
        <w:t>指单位结转下年的基本支出结转、项目支出结转和结余、经营结余。</w:t>
      </w:r>
    </w:p>
    <w:p>
      <w:pPr>
        <w:pStyle w:val="23"/>
        <w:keepNext w:val="0"/>
        <w:keepLines w:val="0"/>
        <w:pageBreakBefore w:val="0"/>
        <w:widowControl/>
        <w:kinsoku/>
        <w:wordWrap/>
        <w:overflowPunct/>
        <w:topLinePunct w:val="0"/>
        <w:autoSpaceDN/>
        <w:bidi w:val="0"/>
        <w:adjustRightInd/>
        <w:spacing w:before="0" w:beforeAutospacing="0" w:after="0" w:afterAutospacing="0" w:line="594" w:lineRule="exact"/>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（九）基本支出：</w:t>
      </w:r>
      <w:r>
        <w:rPr>
          <w:rFonts w:ascii="方正仿宋_GBK" w:eastAsia="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3"/>
        <w:keepNext w:val="0"/>
        <w:keepLines w:val="0"/>
        <w:pageBreakBefore w:val="0"/>
        <w:widowControl/>
        <w:kinsoku/>
        <w:wordWrap/>
        <w:overflowPunct/>
        <w:topLinePunct w:val="0"/>
        <w:autoSpaceDN/>
        <w:bidi w:val="0"/>
        <w:adjustRightInd/>
        <w:spacing w:before="0" w:beforeAutospacing="0" w:after="0" w:afterAutospacing="0" w:line="594" w:lineRule="exact"/>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（十）项目支出：</w:t>
      </w:r>
      <w:r>
        <w:rPr>
          <w:rFonts w:ascii="方正仿宋_GBK" w:eastAsia="方正仿宋_GBK" w:cs="方正仿宋_GBK" w:hint="eastAsia"/>
          <w:sz w:val="32"/>
          <w:szCs w:val="32"/>
          <w:shd w:val="clear" w:color="auto" w:fill="FFFFFF"/>
        </w:rPr>
        <w:t>指在基本支出之外为完成特定行政任务和事业发展目标所发生的支出。</w:t>
      </w:r>
    </w:p>
    <w:p>
      <w:pPr>
        <w:pStyle w:val="23"/>
        <w:keepNext w:val="0"/>
        <w:keepLines w:val="0"/>
        <w:pageBreakBefore w:val="0"/>
        <w:widowControl/>
        <w:kinsoku/>
        <w:wordWrap/>
        <w:overflowPunct/>
        <w:topLinePunct w:val="0"/>
        <w:autoSpaceDN/>
        <w:bidi w:val="0"/>
        <w:adjustRightInd/>
        <w:spacing w:before="0" w:beforeAutospacing="0" w:after="0" w:afterAutospacing="0" w:line="594" w:lineRule="exact"/>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（十一）经营支出：</w:t>
      </w:r>
      <w:r>
        <w:rPr>
          <w:rFonts w:ascii="方正仿宋_GBK" w:eastAsia="方正仿宋_GBK" w:cs="方正仿宋_GBK" w:hint="eastAsia"/>
          <w:sz w:val="32"/>
          <w:szCs w:val="32"/>
          <w:shd w:val="clear" w:color="auto" w:fill="FFFFFF"/>
        </w:rPr>
        <w:t>指事业单位在专业业务活动及其辅助活动之外开展非独立核算经营活动发生的支出。</w:t>
      </w:r>
    </w:p>
    <w:p>
      <w:pPr>
        <w:pStyle w:val="23"/>
        <w:keepNext w:val="0"/>
        <w:keepLines w:val="0"/>
        <w:pageBreakBefore w:val="0"/>
        <w:widowControl/>
        <w:kinsoku/>
        <w:wordWrap/>
        <w:overflowPunct/>
        <w:topLinePunct w:val="0"/>
        <w:autoSpaceDN/>
        <w:bidi w:val="0"/>
        <w:adjustRightInd/>
        <w:spacing w:before="0" w:beforeAutospacing="0" w:after="0" w:afterAutospacing="0" w:line="594" w:lineRule="exact"/>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（十二）“三公”经费：</w:t>
      </w:r>
      <w:r>
        <w:rPr>
          <w:rFonts w:ascii="方正仿宋_GBK" w:eastAsia="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3"/>
        <w:keepNext w:val="0"/>
        <w:keepLines w:val="0"/>
        <w:pageBreakBefore w:val="0"/>
        <w:widowControl/>
        <w:kinsoku/>
        <w:wordWrap/>
        <w:overflowPunct/>
        <w:topLinePunct w:val="0"/>
        <w:autoSpaceDN/>
        <w:bidi w:val="0"/>
        <w:adjustRightInd/>
        <w:spacing w:before="0" w:beforeAutospacing="0" w:after="0" w:afterAutospacing="0" w:line="594" w:lineRule="exact"/>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（十三）机关运行经费：</w:t>
      </w:r>
      <w:r>
        <w:rPr>
          <w:rFonts w:ascii="方正仿宋_GBK" w:eastAsia="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3"/>
        <w:keepNext w:val="0"/>
        <w:keepLines w:val="0"/>
        <w:pageBreakBefore w:val="0"/>
        <w:widowControl/>
        <w:kinsoku/>
        <w:wordWrap/>
        <w:overflowPunct/>
        <w:topLinePunct w:val="0"/>
        <w:autoSpaceDN/>
        <w:bidi w:val="0"/>
        <w:adjustRightInd/>
        <w:spacing w:before="0" w:beforeAutospacing="0" w:after="0" w:afterAutospacing="0" w:line="594" w:lineRule="exact"/>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（十四）工资福利支出（支出经济分类科目类级）：</w:t>
      </w:r>
      <w:r>
        <w:rPr>
          <w:rFonts w:ascii="方正仿宋_GBK" w:eastAsia="方正仿宋_GBK" w:cs="方正仿宋_GBK" w:hint="eastAsia"/>
          <w:sz w:val="32"/>
          <w:szCs w:val="32"/>
          <w:shd w:val="clear" w:color="auto" w:fill="FFFFFF"/>
        </w:rPr>
        <w:t>反映单位开支的在职职工和编制外长期聘用人员的各类劳动报酬，以及为上述人员缴纳的各项社会保险费等。</w:t>
      </w:r>
    </w:p>
    <w:p>
      <w:pPr>
        <w:pStyle w:val="23"/>
        <w:keepNext w:val="0"/>
        <w:keepLines w:val="0"/>
        <w:pageBreakBefore w:val="0"/>
        <w:widowControl/>
        <w:kinsoku/>
        <w:wordWrap/>
        <w:overflowPunct/>
        <w:topLinePunct w:val="0"/>
        <w:autoSpaceDN/>
        <w:bidi w:val="0"/>
        <w:adjustRightInd/>
        <w:spacing w:before="0" w:beforeAutospacing="0" w:after="0" w:afterAutospacing="0" w:line="594" w:lineRule="exact"/>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（十五）商品和服务支出（支出经济分类科目类级）：</w:t>
      </w:r>
      <w:r>
        <w:rPr>
          <w:rFonts w:ascii="方正仿宋_GBK" w:eastAsia="方正仿宋_GBK" w:cs="方正仿宋_GBK" w:hint="eastAsia"/>
          <w:sz w:val="32"/>
          <w:szCs w:val="32"/>
          <w:shd w:val="clear" w:color="auto" w:fill="FFFFFF"/>
        </w:rPr>
        <w:t>反映单位购买商品和服务的支出（不包括用于购置固定资产的支出、战略性和应急储备支出）。</w:t>
      </w:r>
    </w:p>
    <w:p>
      <w:pPr>
        <w:pStyle w:val="23"/>
        <w:keepNext w:val="0"/>
        <w:keepLines w:val="0"/>
        <w:pageBreakBefore w:val="0"/>
        <w:widowControl/>
        <w:kinsoku/>
        <w:wordWrap/>
        <w:overflowPunct/>
        <w:topLinePunct w:val="0"/>
        <w:autoSpaceDN/>
        <w:bidi w:val="0"/>
        <w:adjustRightInd/>
        <w:spacing w:before="0" w:beforeAutospacing="0" w:after="0" w:afterAutospacing="0" w:line="594" w:lineRule="exact"/>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（十六）对个人和家庭的补助（支出经济分类科目类级）：</w:t>
      </w:r>
      <w:r>
        <w:rPr>
          <w:rFonts w:ascii="方正仿宋_GBK" w:eastAsia="方正仿宋_GBK" w:cs="方正仿宋_GBK" w:hint="eastAsia"/>
          <w:sz w:val="32"/>
          <w:szCs w:val="32"/>
          <w:shd w:val="clear" w:color="auto" w:fill="FFFFFF"/>
        </w:rPr>
        <w:t>反映用于对个人和家庭的补助支出。</w:t>
      </w:r>
    </w:p>
    <w:p>
      <w:pPr>
        <w:pStyle w:val="23"/>
        <w:keepNext w:val="0"/>
        <w:keepLines w:val="0"/>
        <w:pageBreakBefore w:val="0"/>
        <w:widowControl/>
        <w:kinsoku/>
        <w:wordWrap/>
        <w:overflowPunct/>
        <w:topLinePunct w:val="0"/>
        <w:autoSpaceDN/>
        <w:bidi w:val="0"/>
        <w:adjustRightInd/>
        <w:spacing w:before="0" w:beforeAutospacing="0" w:after="0" w:afterAutospacing="0" w:line="594" w:lineRule="exact"/>
        <w:ind w:firstLineChars="200" w:firstLine="640"/>
        <w:textAlignment w:val="auto"/>
        <w:rPr>
          <w:rFonts w:ascii="方正仿宋_GBK" w:eastAsia="方正仿宋_GBK" w:cs="方正仿宋_GBK"/>
          <w:sz w:val="32"/>
          <w:szCs w:val="32"/>
        </w:rPr>
      </w:pPr>
      <w:r>
        <w:rPr>
          <w:rStyle w:val="20"/>
          <w:rFonts w:ascii="楷体" w:eastAsia="楷体" w:cs="楷体" w:hint="eastAsia"/>
          <w:sz w:val="32"/>
          <w:szCs w:val="32"/>
          <w:shd w:val="clear" w:color="auto" w:fill="FFFFFF"/>
        </w:rPr>
        <w:t>（十七）其他资本性支出（支出经济分类科目类级）：</w:t>
      </w:r>
      <w:r>
        <w:rPr>
          <w:rFonts w:ascii="方正仿宋_GBK" w:eastAsia="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23"/>
        <w:keepNext w:val="0"/>
        <w:keepLines w:val="0"/>
        <w:pageBreakBefore w:val="0"/>
        <w:widowControl/>
        <w:kinsoku/>
        <w:wordWrap/>
        <w:overflowPunct/>
        <w:topLinePunct w:val="0"/>
        <w:autoSpaceDN/>
        <w:bidi w:val="0"/>
        <w:adjustRightInd/>
        <w:spacing w:before="0" w:beforeAutospacing="0" w:after="0" w:afterAutospacing="0" w:line="594" w:lineRule="exact"/>
        <w:ind w:firstLineChars="200" w:firstLine="640"/>
        <w:textAlignment w:val="auto"/>
        <w:rPr>
          <w:rFonts w:ascii="方正仿宋_GBK" w:eastAsia="方正仿宋_GBK" w:cs="方正仿宋_GBK"/>
          <w:sz w:val="32"/>
          <w:szCs w:val="32"/>
        </w:rPr>
      </w:pPr>
      <w:r>
        <w:rPr>
          <w:rStyle w:val="20"/>
          <w:rFonts w:ascii="黑体" w:eastAsia="黑体" w:cs="黑体" w:hint="eastAsia"/>
          <w:sz w:val="32"/>
          <w:szCs w:val="32"/>
          <w:shd w:val="clear" w:color="auto" w:fill="FFFFFF"/>
        </w:rPr>
        <w:t>七、决算公开联系方式及信息反馈渠道</w:t>
      </w:r>
    </w:p>
    <w:p>
      <w:pPr>
        <w:pStyle w:val="23"/>
        <w:keepNext w:val="0"/>
        <w:keepLines w:val="0"/>
        <w:pageBreakBefore w:val="0"/>
        <w:widowControl/>
        <w:kinsoku/>
        <w:wordWrap/>
        <w:overflowPunct/>
        <w:topLinePunct w:val="0"/>
        <w:autoSpaceDN/>
        <w:bidi w:val="0"/>
        <w:adjustRightInd/>
        <w:spacing w:before="0" w:beforeAutospacing="0" w:after="0" w:afterAutospacing="0" w:line="594" w:lineRule="exact"/>
        <w:textAlignment w:val="auto"/>
        <w:rPr>
          <w:rFonts w:ascii="方正仿宋_GBK" w:eastAsia="方正仿宋_GBK" w:cs="方正仿宋_GBK"/>
          <w:sz w:val="32"/>
          <w:szCs w:val="32"/>
        </w:rPr>
      </w:pPr>
      <w:r>
        <w:rPr>
          <w:rFonts w:ascii="方正仿宋_GBK" w:eastAsia="方正仿宋_GBK" w:cs="方正仿宋_GBK" w:hint="eastAsia"/>
          <w:sz w:val="32"/>
          <w:szCs w:val="32"/>
          <w:shd w:val="clear" w:color="auto" w:fill="FFFFFF"/>
          <w:lang w:val="en-US" w:eastAsia="zh-CN"/>
        </w:rPr>
        <w:t xml:space="preserve">    </w:t>
      </w:r>
      <w:r>
        <w:rPr>
          <w:rFonts w:ascii="方正仿宋_GBK" w:eastAsia="方正仿宋_GBK" w:cs="方正仿宋_GBK" w:hint="eastAsia"/>
          <w:sz w:val="32"/>
          <w:szCs w:val="32"/>
          <w:shd w:val="clear" w:color="auto" w:fill="FFFFFF"/>
        </w:rPr>
        <w:t>本单位决算公开信息反馈和联系方式：渝中区南纪门街道社区卫生服务中心，邮箱：yangxiu526@163.com ,电话：</w:t>
      </w:r>
      <w:r>
        <w:rPr>
          <w:rFonts w:ascii="方正仿宋_GBK" w:eastAsia="方正仿宋_GBK" w:cs="方正仿宋_GBK"/>
          <w:sz w:val="32"/>
          <w:szCs w:val="32"/>
          <w:shd w:val="clear" w:color="auto" w:fill="FFFFFF"/>
        </w:rPr>
        <w:t>023－</w:t>
      </w:r>
      <w:bookmarkStart w:id="0" w:name="_GoBack"/>
      <w:bookmarkEnd w:id="0"/>
      <w:r>
        <w:rPr>
          <w:rFonts w:ascii="方正仿宋_GBK" w:eastAsia="方正仿宋_GBK" w:cs="方正仿宋_GBK" w:hint="eastAsia"/>
          <w:sz w:val="32"/>
          <w:szCs w:val="32"/>
          <w:shd w:val="clear" w:color="auto" w:fill="FFFFFF"/>
        </w:rPr>
        <w:t>63105861。</w:t>
      </w:r>
    </w:p>
    <w:p>
      <w:pPr>
        <w:pStyle w:val="22"/>
        <w:autoSpaceDE w:val="0"/>
        <w:spacing w:line="596" w:lineRule="exact"/>
        <w:jc w:val="both"/>
        <w:rPr>
          <w:rStyle w:val="20"/>
          <w:rFonts w:ascii="方正仿宋_GBK" w:eastAsia="方正仿宋_GBK" w:cs="方正仿宋_GBK"/>
          <w:sz w:val="32"/>
          <w:szCs w:val="32"/>
          <w:shd w:val="clear" w:color="auto" w:fill="FFFF00"/>
        </w:rPr>
        <w:sectPr>
          <w:footerReference w:type="default" r:id="rId2"/>
          <w:pgSz w:w="11915" w:h="16840"/>
          <w:pgMar w:top="1984" w:right="1446" w:bottom="1644" w:left="1446" w:header="851" w:footer="992" w:gutter="0"/>
          <w:pgNumType w:fmt="numberInDash"/>
          <w:docGrid w:type="lines" w:linePitch="312" w:charSpace="0"/>
        </w:sectPr>
      </w:pPr>
      <w:r>
        <w:rPr>
          <w:rFonts w:ascii="方正仿宋_GBK" w:eastAsia="方正仿宋_GBK" w:cs="方正仿宋_GBK" w:hint="eastAsia"/>
          <w:color w:val="FF0000"/>
          <w:sz w:val="32"/>
          <w:szCs w:val="32"/>
          <w:shd w:val="clear" w:color="auto" w:fill="FFFFFF"/>
          <w:lang w:val="en-US" w:eastAsia="zh-CN"/>
        </w:rPr>
        <w:t xml:space="preserve">    </w:t>
      </w:r>
    </w:p>
    <w:p>
      <w:pPr>
        <w:rPr>
          <w:sz w:val="18"/>
          <w:szCs w:val="18"/>
        </w:rPr>
      </w:pPr>
    </w:p>
    <w:sectPr>
      <w:headerReference w:type="default" r:id="rId3"/>
      <w:footerReference w:type="default" r:id="rId4"/>
      <w:pgSz w:w="16783" w:h="11850" w:orient="landscape"/>
      <w:pgMar w:top="567" w:right="454" w:bottom="567" w:left="1037" w:header="0" w:footer="283" w:gutter="0"/>
      <w:pgNumType w:fmt="numberInDash"/>
      <w:docGrid w:type="lines" w:linePitch="326"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00" w:usb3="00000000" w:csb0="00040000" w:csb1="00000000"/>
  </w:font>
  <w:font w:name="Times New Roman">
    <w:altName w:val="DejaVu Sans"/>
    <w:panose1 w:val="02020603050405020304"/>
    <w:charset w:val="00"/>
    <w:family w:val="roman"/>
    <w:pitch w:val="variable"/>
    <w:sig w:usb0="20007A87" w:usb1="80000000" w:usb2="00000008" w:usb3="00000000" w:csb0="000001FF" w:csb1="00000000"/>
  </w:font>
  <w:font w:name="方正黑体_GBK">
    <w:altName w:val="永中宋体"/>
    <w:panose1 w:val="03000509000000000000"/>
    <w:charset w:val="86"/>
    <w:family w:val="auto"/>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方正仿宋_GBK">
    <w:altName w:val="永中宋体"/>
    <w:panose1 w:val="03000509000000000000"/>
    <w:charset w:val="86"/>
    <w:family w:val="script"/>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153"/>
        <w:tab w:val="right" w:pos="8306"/>
      </w:tabs>
    </w:pPr>
    <w: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285750" cy="148018"/>
              <wp:effectExtent l="0" t="0" r="0" b="0"/>
              <wp:wrapNone/>
              <wp:docPr id="1" name="文本框 1"/>
              <wp:cNvGraphicFramePr>
                <a:graphicFrameLocks noChangeAspect="0"/>
              </wp:cNvGraphicFramePr>
              <a:graphic>
                <a:graphicData uri="http://schemas.microsoft.com/office/word/2010/wordprocessingShape">
                  <wps:wsp>
                    <wps:cNvSpPr/>
                    <wps:spPr>
                      <a:xfrm rot="0">
                        <a:off x="0" y="0"/>
                        <a:ext cx="285750" cy="148018"/>
                      </a:xfrm>
                      <a:prstGeom prst="rect"/>
                      <a:noFill/>
                      <a:ln w="6350" cmpd="sng" cap="flat">
                        <a:noFill/>
                        <a:prstDash val="solid"/>
                        <a:round/>
                      </a:ln>
                    </wps:spPr>
                    <wps:txbx id="2">
                      <w:txbxContent>
                        <w:p>
                          <w:pPr>
                            <w:pStyle w:val="16"/>
                            <w:tabs>
                              <w:tab w:val="center" w:pos="4153"/>
                              <w:tab w:val="right" w:pos="8306"/>
                            </w:tabs>
                          </w:pPr>
                          <w:r>
                            <w:fldChar w:fldCharType="begin"/>
                          </w:r>
                          <w:r>
                            <w:instrText xml:space="preserve"> PAGE  \* MERGEFORMAT </w:instrText>
                          </w:r>
                          <w:r>
                            <w:fldChar w:fldCharType="separate"/>
                          </w:r>
                          <w:r>
                            <w:t>- 23 -</w:t>
                          </w:r>
                          <w:r>
                            <w:fldChar w:fldCharType="end"/>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0.0pt;margin-top:0.0pt;width:22.5pt;height:11.655035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6"/>
                      <w:tabs>
                        <w:tab w:val="center" w:pos="4153"/>
                        <w:tab w:val="right" w:pos="8306"/>
                      </w:tabs>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153"/>
        <w:tab w:val="right" w:pos="8306"/>
      </w:tabs>
      <w:jc w:val="both"/>
    </w:pPr>
    <w:r>
      <mc:AlternateContent>
        <mc:Choice Requires="wps">
          <w:drawing>
            <wp:anchor distT="0" distB="0" distL="114298" distR="114298" simplePos="0" relativeHeight="14" behindDoc="0" locked="0" layoutInCell="1" hidden="0" allowOverlap="0">
              <wp:simplePos x="0" y="0"/>
              <wp:positionH relativeFrom="margin">
                <wp:align>center</wp:align>
              </wp:positionH>
              <wp:positionV relativeFrom="paragraph">
                <wp:posOffset>0</wp:posOffset>
              </wp:positionV>
              <wp:extent cx="400050" cy="148018"/>
              <wp:effectExtent l="0" t="0" r="0" b="0"/>
              <wp:wrapNone/>
              <wp:docPr id="4" name="文本框 127"/>
              <wp:cNvGraphicFramePr>
                <a:graphicFrameLocks noChangeAspect="0"/>
              </wp:cNvGraphicFramePr>
              <a:graphic>
                <a:graphicData uri="http://schemas.microsoft.com/office/word/2010/wordprocessingShape">
                  <wps:wsp>
                    <wps:cNvSpPr/>
                    <wps:spPr>
                      <a:xfrm rot="0">
                        <a:off x="0" y="0"/>
                        <a:ext cx="400050" cy="148018"/>
                      </a:xfrm>
                      <a:prstGeom prst="rect"/>
                      <a:noFill/>
                      <a:ln w="6350" cmpd="sng" cap="flat">
                        <a:noFill/>
                        <a:prstDash val="solid"/>
                        <a:round/>
                      </a:ln>
                    </wps:spPr>
                    <wps:txbx id="5">
                      <w:txbxContent>
                        <w:p>
                          <w:pPr>
                            <w:pStyle w:val="16"/>
                            <w:tabs>
                              <w:tab w:val="center" w:pos="4153"/>
                              <w:tab w:val="right" w:pos="8306"/>
                            </w:tabs>
                          </w:pPr>
                          <w:r>
                            <w:t xml:space="preserve"> </w:t>
                          </w:r>
                          <w:r>
                            <w:fldChar w:fldCharType="begin"/>
                          </w:r>
                          <w:r>
                            <w:instrText>PAGE   \* MERGEFORMAT</w:instrText>
                          </w:r>
                          <w:r>
                            <w:fldChar w:fldCharType="separate"/>
                          </w:r>
                          <w:r>
                            <w:rPr>
                              <w:lang w:val="zh-CN"/>
                            </w:rPr>
                            <w:t>-</w:t>
                          </w:r>
                          <w:r>
                            <w:t xml:space="preserve"> 32 -</w:t>
                          </w:r>
                          <w:r>
                            <w:fldChar w:fldCharType="end"/>
                          </w:r>
                          <w:r>
                            <w:t xml:space="preserve"> </w:t>
                          </w:r>
                        </w:p>
                      </w:txbxContent>
                    </wps:txbx>
                    <wps:bodyPr vert="horz" wrap="none" lIns="0" tIns="0" rIns="0" bIns="0" anchor="t" anchorCtr="0" upright="0">
                      <a:spAutoFit/>
                    </wps:bodyPr>
                  </wps:wsp>
                </a:graphicData>
              </a:graphic>
            </wp:anchor>
          </w:drawing>
        </mc:Choice>
        <mc:Fallback>
          <w:pict>
            <v:shape type="#_x0000_t202" id="文本框 127 6" o:spid="_x0000_s6" filled="f" stroked="f" strokeweight="0.5pt" o:allowoverlap="f" style="position:absolute;margin-left:0.0pt;margin-top:0.0pt;width:31.500023pt;height:11.654989pt;z-index:14;mso-position-horizontal:center;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6"/>
                      <w:tabs>
                        <w:tab w:val="center" w:pos="4153"/>
                        <w:tab w:val="right" w:pos="8306"/>
                      </w:tabs>
                    </w:pPr>
                    <w:r>
                      <w:t xml:space="preserve"> </w:t>
                    </w:r>
                    <w:r>
                      <w:fldChar w:fldCharType="begin"/>
                    </w:r>
                    <w:r>
                      <w:instrText>PAGE   \* MERGEFORMAT</w:instrText>
                    </w:r>
                    <w:r>
                      <w:fldChar w:fldCharType="separate"/>
                    </w:r>
                    <w:r>
                      <w:rPr>
                        <w:lang w:val="zh-CN"/>
                      </w:rPr>
                      <w:t>-</w:t>
                    </w:r>
                    <w:r>
                      <w:t xml:space="preserve"> 32 -</w:t>
                    </w:r>
                    <w:r>
                      <w:fldChar w:fldCharType="end"/>
                    </w:r>
                    <w:r>
                      <w:t xml:space="preserve"> </w:t>
                    </w:r>
                  </w:p>
                </w:txbxContent>
              </v:textbox>
            </v:shape>
          </w:pict>
        </mc:Fallback>
      </mc:AlternateContent>
    </w:r>
    <w:r>
      <mc:AlternateContent>
        <mc:Choice Requires="wps">
          <w:drawing>
            <wp:anchor distT="0" distB="0" distL="114298" distR="114298" simplePos="0" relativeHeight="13" behindDoc="0" locked="0" layoutInCell="1" hidden="0" allowOverlap="0">
              <wp:simplePos x="0" y="0"/>
              <wp:positionH relativeFrom="margin">
                <wp:align>center</wp:align>
              </wp:positionH>
              <wp:positionV relativeFrom="page">
                <wp:posOffset>14737081</wp:posOffset>
              </wp:positionV>
              <wp:extent cx="581024" cy="220979"/>
              <wp:effectExtent l="0" t="0" r="0" b="0"/>
              <wp:wrapNone/>
              <wp:docPr id="7" name="文本框 126"/>
              <wp:cNvGraphicFramePr>
                <a:graphicFrameLocks noChangeAspect="0"/>
              </wp:cNvGraphicFramePr>
              <a:graphic>
                <a:graphicData uri="http://schemas.microsoft.com/office/word/2010/wordprocessingShape">
                  <wps:wsp>
                    <wps:cNvSpPr/>
                    <wps:spPr>
                      <a:xfrm rot="0">
                        <a:off x="0" y="0"/>
                        <a:ext cx="581024" cy="220979"/>
                      </a:xfrm>
                      <a:prstGeom prst="rect"/>
                      <a:noFill/>
                      <a:ln w="6350" cmpd="sng" cap="flat">
                        <a:noFill/>
                        <a:prstDash val="solid"/>
                        <a:round/>
                      </a:ln>
                    </wps:spPr>
                    <wps:txbx id="8">
                      <w:txbxContent>
                        <w:p>
                          <w:pPr>
                            <w:pStyle w:val="16"/>
                            <w:tabs>
                              <w:tab w:val="center" w:pos="4153"/>
                              <w:tab w:val="right" w:pos="8306"/>
                            </w:tabs>
                            <w:jc w:val="both"/>
                            <w:rPr>
                              <w:rFonts w:cs="宋体"/>
                            </w:rPr>
                          </w:pPr>
                          <w:r>
                            <w:rPr>
                              <w:rFonts w:cs="宋体"/>
                            </w:rPr>
                            <w:t>— 27.1 —</w:t>
                          </w:r>
                        </w:p>
                      </w:txbxContent>
                    </wps:txbx>
                    <wps:bodyPr vert="horz" wrap="none" lIns="0" tIns="0" rIns="0" bIns="0" anchor="t" anchorCtr="0" upright="0">
                      <a:noAutofit/>
                    </wps:bodyPr>
                  </wps:wsp>
                </a:graphicData>
              </a:graphic>
            </wp:anchor>
          </w:drawing>
        </mc:Choice>
        <mc:Fallback>
          <w:pict>
            <v:shape type="#_x0000_t202" id="文本框 126 9" o:spid="_x0000_s9" filled="f" stroked="f" strokeweight="0.5pt" o:allowoverlap="f" style="position:absolute;margin-left:0.0pt;margin-top:1160.4pt;width:45.74999pt;height:17.399973pt;z-index:13;mso-position-horizontal:center;mso-position-horizontal-relative:margin;mso-position-vertical:absolute;mso-position-vertical-relative:page;mso-wrap-distance-left:8.999863pt;mso-wrap-distance-right:8.999863pt;mso-wrap-style:none;">
              <v:stroke color="#000000"/>
              <v:textbox id="850" inset="0mm,0mm,0mm,0mm" o:insetmode="custom" style="layout-flow:horizontal;v-text-anchor:top;">
                <w:txbxContent>
                  <w:p>
                    <w:pPr>
                      <w:pStyle w:val="16"/>
                      <w:tabs>
                        <w:tab w:val="center" w:pos="4153"/>
                        <w:tab w:val="right" w:pos="8306"/>
                      </w:tabs>
                      <w:jc w:val="both"/>
                      <w:rPr>
                        <w:rFonts w:cs="宋体"/>
                      </w:rPr>
                    </w:pPr>
                    <w:r>
                      <w:rPr>
                        <w:rFonts w:cs="宋体"/>
                      </w:rPr>
                      <w:t>— 27.1 —</w:t>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tabs>
        <w:tab w:val="clear" w:pos="4153"/>
        <w:tab w:val="clear" w:pos="8306"/>
        <w:tab w:val="left" w:pos="1758"/>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efaultTabStop w:val="420"/>
  <w:drawingGridHorizontalSpacing w:val="120"/>
  <w:drawingGridVerticalSpacing w:val="163"/>
  <w:displayHorizontalDrawingGridEvery w:val="0"/>
  <w:displayVerticalDrawingGridEvery w:val="1"/>
  <w:noPunctuationKerning/>
  <w:characterSpacingControl w:val="compressPunctuation"/>
  <w:compat>
    <w:spaceForUL/>
    <w:balanceSingleByteDoubleByteWidth/>
    <w:ulTrailSpace/>
    <w:doNotExpandShiftReturn/>
    <w:adjustLineHeightInTable/>
    <w:growAutofit/>
    <w:compatSetting w:name="compatibilityMode" w:uri="http://schemas.microsoft.com/office/word" w:val="14"/>
  </w:compat>
  <w:docVars>
    <w:docVar w:name="commondata" w:val="eyJoZGlkIjoiMWQzMDM4YjFkNjE5NDZiYzU2NjQzYjhkODMyMzFjNmE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autoRedefine/>
    <w:rPr>
      <w:rFonts w:ascii="宋体" w:eastAsia="宋体" w:cs="Times New Roman"/>
      <w:sz w:val="24"/>
      <w:szCs w:val="24"/>
      <w:lang w:val="en-US" w:eastAsia="zh-CN" w:bidi="ar-SA"/>
    </w:rPr>
  </w:style>
  <w:style w:type="character" w:default="1" w:styleId="10">
    <w:name w:val="Default Paragraph Font"/>
    <w:autoRedefine/>
  </w:style>
  <w:style w:type="paragraph" w:styleId="15">
    <w:name w:val="Balloon Text"/>
    <w:basedOn w:val="0"/>
    <w:autoRedefine/>
    <w:rPr>
      <w:sz w:val="18"/>
      <w:szCs w:val="18"/>
    </w:rPr>
  </w:style>
  <w:style w:type="paragraph" w:styleId="16">
    <w:name w:val="footer"/>
    <w:basedOn w:val="0"/>
    <w:autoRedefine/>
    <w:pPr>
      <w:tabs>
        <w:tab w:val="center" w:pos="4153"/>
        <w:tab w:val="right" w:pos="8306"/>
      </w:tabs>
      <w:snapToGrid w:val="0"/>
    </w:pPr>
    <w:rPr>
      <w:sz w:val="18"/>
      <w:szCs w:val="18"/>
    </w:rPr>
  </w:style>
  <w:style w:type="paragraph" w:styleId="17">
    <w:name w:val="header"/>
    <w:basedOn w:val="0"/>
    <w:autoRedefine/>
    <w:pPr>
      <w:tabs>
        <w:tab w:val="center" w:pos="4153"/>
        <w:tab w:val="right" w:pos="8306"/>
      </w:tabs>
      <w:snapToGrid w:val="0"/>
      <w:jc w:val="center"/>
    </w:pPr>
    <w:rPr>
      <w:sz w:val="18"/>
      <w:szCs w:val="18"/>
    </w:rPr>
  </w:style>
  <w:style w:type="paragraph" w:styleId="18">
    <w:name w:val="HTML Preformatted"/>
    <w:basedOn w:val="0"/>
    <w:autoRedefin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9">
    <w:name w:val="Normal (Web)"/>
    <w:basedOn w:val="0"/>
    <w:autoRedefine/>
    <w:pPr>
      <w:spacing w:before="100" w:beforeAutospacing="1" w:after="100" w:afterAutospacing="1"/>
    </w:pPr>
  </w:style>
  <w:style w:type="character" w:styleId="20">
    <w:name w:val="Strong"/>
    <w:autoRedefine/>
    <w:rPr>
      <w:b/>
    </w:rPr>
  </w:style>
  <w:style w:type="character" w:styleId="21">
    <w:name w:val="Hyperlink"/>
    <w:basedOn w:val="10"/>
    <w:rPr>
      <w:color w:val="0000FF"/>
      <w:u w:val="single"/>
    </w:rPr>
  </w:style>
  <w:style w:type="paragraph" w:customStyle="1" w:styleId="22">
    <w:name w:val="列出段落1"/>
    <w:basedOn w:val="0"/>
    <w:autoRedefine/>
    <w:pPr>
      <w:ind w:firstLineChars="200" w:firstLine="200"/>
    </w:pPr>
  </w:style>
  <w:style w:type="paragraph" w:customStyle="1" w:styleId="23">
    <w:name w:val="普通(网站) Char"/>
    <w:autoRedefine/>
    <w:pPr>
      <w:spacing w:before="100" w:beforeAutospacing="1" w:after="100" w:afterAutospacing="1"/>
    </w:pPr>
    <w:rPr>
      <w:rFonts w:ascii="宋体" w:eastAsia="宋体" w:cs="Times New Roman"/>
      <w:sz w:val="24"/>
      <w:szCs w:val="24"/>
      <w:lang w:val="en-US" w:eastAsia="zh-CN" w:bidi="ar-SA"/>
    </w:rPr>
  </w:style>
  <w:style w:type="character" w:customStyle="1" w:styleId="24">
    <w:name w:val="21"/>
    <w:basedOn w:val="10"/>
    <w:autoRedefine/>
    <w:rPr>
      <w:rFonts w:ascii="Wingdings" w:cs="Wingdings" w:hAnsi="Wingdings"/>
      <w:b/>
      <w:bCs/>
    </w:rPr>
  </w:style>
  <w:style w:type="paragraph" w:customStyle="1" w:styleId="25">
    <w:name w:val="列出段落2"/>
    <w:autoRedefine/>
    <w:pPr>
      <w:ind w:firstLineChars="200" w:firstLine="200"/>
    </w:pPr>
    <w:rPr>
      <w:rFonts w:ascii="宋体" w:eastAsia="宋体" w:cs="Times New Roman"/>
      <w:sz w:val="24"/>
      <w:szCs w:val="24"/>
      <w:lang w:val="en-US" w:eastAsia="zh-CN" w:bidi="ar-SA"/>
    </w:rPr>
  </w:style>
  <w:style w:type="paragraph" w:customStyle="1" w:styleId="26">
    <w:name w:val="列出段落3"/>
    <w:basedOn w:val="0"/>
    <w:autoRedefine/>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18</TotalTime>
  <Application>Yozo_Office</Application>
  <Pages>10</Pages>
  <Words>3884</Words>
  <Characters>4354</Characters>
  <Lines>183</Lines>
  <Paragraphs>72</Paragraphs>
  <CharactersWithSpaces>4385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xg</cp:lastModifiedBy>
  <cp:revision>21</cp:revision>
  <dcterms:created xsi:type="dcterms:W3CDTF">2024-07-11T02:00:00Z</dcterms:created>
  <dcterms:modified xsi:type="dcterms:W3CDTF">2025-10-17T07:27:46Z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ICV">
    <vt:lpwstr>D8F7762D8D814F6E8DD645CC7E2DF5EC_13</vt:lpwstr>
  </property>
  <property fmtid="{D5CDD505-2E9C-101B-9397-08002B2CF9AE}" pid="4" name="KSOTemplateDocerSaveRecord">
    <vt:lpwstr>eyJoZGlkIjoiYzQ4ZDg5ZTM4OWUzOTIxZjJmOWY1YzRhZjQ5ZTU0MTkiLCJ1c2VySWQiOiIxNjIwNzQyNzI3In0=</vt:lpwstr>
  </property>
</Properties>
</file>