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9"/>
        <w:spacing w:before="0" w:beforeAutospacing="0" w:after="0" w:afterAutospacing="0" w:line="596" w:lineRule="exact"/>
        <w:jc w:val="center"/>
        <w:rPr>
          <w:rFonts w:ascii="方正小标宋_GBK" w:eastAsia="方正小标宋_GBK" w:cs="方正小标宋_GBK"/>
          <w:sz w:val="44"/>
          <w:szCs w:val="44"/>
        </w:rPr>
      </w:pPr>
      <w:r>
        <w:rPr>
          <w:rFonts w:ascii="方正小标宋_GBK" w:eastAsia="方正小标宋_GBK" w:cs="方正小标宋_GBK"/>
          <w:sz w:val="44"/>
          <w:szCs w:val="44"/>
        </w:rPr>
        <w:t>重庆市渝中区</w:t>
      </w:r>
    </w:p>
    <w:p>
      <w:pPr>
        <w:pStyle w:val="19"/>
        <w:spacing w:before="0" w:beforeAutospacing="0" w:after="0" w:afterAutospacing="0" w:line="596" w:lineRule="exact"/>
        <w:jc w:val="center"/>
        <w:rPr>
          <w:rFonts w:ascii="方正小标宋_GBK" w:eastAsia="方正小标宋_GBK" w:cs="方正小标宋_GBK"/>
          <w:sz w:val="44"/>
          <w:szCs w:val="44"/>
        </w:rPr>
      </w:pPr>
      <w:r>
        <w:rPr>
          <w:rFonts w:ascii="方正小标宋_GBK" w:eastAsia="方正小标宋_GBK" w:cs="方正小标宋_GBK"/>
          <w:sz w:val="44"/>
          <w:szCs w:val="44"/>
        </w:rPr>
        <w:t>大溪沟街道社区卫生服务中心</w:t>
      </w:r>
    </w:p>
    <w:p>
      <w:pPr>
        <w:pStyle w:val="19"/>
        <w:spacing w:before="0" w:beforeAutospacing="0" w:after="0" w:afterAutospacing="0" w:line="596" w:lineRule="exact"/>
        <w:jc w:val="center"/>
        <w:rPr>
          <w:rFonts w:ascii="方正小标宋_GBK" w:eastAsia="方正小标宋_GBK" w:cs="方正小标宋_GBK"/>
          <w:sz w:val="44"/>
          <w:szCs w:val="44"/>
          <w:shd w:val="clear" w:color="auto" w:fill="FFFFFF"/>
        </w:rPr>
      </w:pPr>
      <w:r>
        <w:rPr>
          <w:rFonts w:ascii="Times New Roman" w:eastAsia="方正小标宋_GBK" w:hAnsi="Times New Roman"/>
          <w:sz w:val="44"/>
          <w:szCs w:val="44"/>
          <w:shd w:val="clear" w:color="auto" w:fill="FFFFFF"/>
        </w:rPr>
        <w:t>2024</w:t>
      </w:r>
      <w:r>
        <w:rPr>
          <w:rFonts w:ascii="方正小标宋_GBK" w:eastAsia="方正小标宋_GBK" w:cs="方正小标宋_GBK"/>
          <w:sz w:val="44"/>
          <w:szCs w:val="44"/>
          <w:shd w:val="clear" w:color="auto" w:fill="FFFFFF"/>
        </w:rPr>
        <w:t>年度决算公开说明</w:t>
      </w:r>
    </w:p>
    <w:p>
      <w:pPr>
        <w:pStyle w:val="19"/>
        <w:shd w:val="clear" w:color="auto" w:fill="FFFFFF"/>
        <w:spacing w:before="0" w:beforeAutospacing="0" w:after="0" w:afterAutospacing="0" w:line="596" w:lineRule="exact"/>
        <w:ind w:firstLineChars="200" w:firstLine="640"/>
        <w:rPr>
          <w:rStyle w:val="20"/>
          <w:rFonts w:ascii="黑体" w:eastAsia="黑体" w:cs="黑体"/>
          <w:sz w:val="32"/>
          <w:szCs w:val="32"/>
          <w:shd w:val="clear" w:color="auto" w:fill="FFFFFF"/>
        </w:rPr>
      </w:pPr>
      <w:r>
        <w:rPr>
          <w:rStyle w:val="20"/>
          <w:rFonts w:ascii="黑体" w:eastAsia="黑体" w:cs="黑体"/>
          <w:sz w:val="32"/>
          <w:szCs w:val="32"/>
          <w:shd w:val="clear" w:color="auto" w:fill="FFFFFF"/>
        </w:rPr>
        <w:t>一、单位基本情况</w:t>
      </w:r>
    </w:p>
    <w:p>
      <w:pPr>
        <w:pStyle w:val="19"/>
        <w:shd w:val="clear" w:color="auto" w:fill="FFFFFF"/>
        <w:ind w:firstLine="420"/>
        <w:rPr>
          <w:rFonts w:ascii="方正仿宋_GBK" w:eastAsia="方正仿宋_GBK" w:cs="方正仿宋_GBK"/>
          <w:sz w:val="32"/>
          <w:szCs w:val="32"/>
        </w:rPr>
      </w:pPr>
      <w:r>
        <w:rPr>
          <w:rStyle w:val="20"/>
          <w:rFonts w:ascii="楷体" w:eastAsia="楷体" w:cs="楷体"/>
          <w:sz w:val="32"/>
          <w:szCs w:val="32"/>
          <w:shd w:val="clear" w:color="auto" w:fill="FFFFFF"/>
        </w:rPr>
        <w:t>（一）职能职责</w:t>
      </w:r>
    </w:p>
    <w:p>
      <w:pPr>
        <w:pStyle w:val="26"/>
        <w:tabs>
          <w:tab w:val="center" w:pos="4153"/>
          <w:tab w:val="left" w:pos="7275"/>
        </w:tabs>
        <w:jc w:val="left"/>
        <w:rPr>
          <w:rFonts w:ascii="仿宋_GB2312" w:eastAsia="仿宋_GB2312" w:cs="仿宋_GB2312" w:hint="eastAsia"/>
          <w:sz w:val="32"/>
        </w:rPr>
      </w:pPr>
      <w:r>
        <w:rPr>
          <w:rFonts w:ascii="仿宋_GB2312" w:eastAsia="仿宋_GB2312" w:cs="仿宋_GB2312" w:hint="eastAsia"/>
          <w:sz w:val="32"/>
        </w:rPr>
        <w:t>重庆市渝中区大溪沟街道社区卫生服务中心为重庆市渝中区卫生健康委员会直属事业单位，是政府主办的集医疗、预防、保健、康复、养老、教学为一体的非盈利性基层医疗机构，是重庆市示范社区卫生服务中心。主要职责是：</w:t>
      </w:r>
    </w:p>
    <w:p>
      <w:pPr>
        <w:pStyle w:val="26"/>
        <w:tabs>
          <w:tab w:val="center" w:pos="4153"/>
          <w:tab w:val="left" w:pos="7275"/>
        </w:tabs>
        <w:jc w:val="left"/>
        <w:rPr>
          <w:rFonts w:ascii="仿宋_GB2312" w:eastAsia="仿宋_GB2312" w:cs="仿宋_GB2312" w:hint="eastAsia"/>
          <w:sz w:val="32"/>
        </w:rPr>
      </w:pPr>
      <w:r>
        <w:rPr>
          <w:rFonts w:ascii="仿宋_GB2312" w:eastAsia="仿宋_GB2312" w:cs="仿宋_GB2312" w:hint="eastAsia"/>
          <w:sz w:val="32"/>
        </w:rPr>
        <w:t>1.贯彻执行国民健康和卫生健康事业发展的法规、规章、政策、标准。</w:t>
      </w:r>
    </w:p>
    <w:p>
      <w:pPr>
        <w:pStyle w:val="26"/>
        <w:tabs>
          <w:tab w:val="center" w:pos="4153"/>
          <w:tab w:val="left" w:pos="7275"/>
        </w:tabs>
        <w:jc w:val="left"/>
        <w:rPr>
          <w:rFonts w:ascii="仿宋_GB2312" w:eastAsia="仿宋_GB2312" w:cs="仿宋_GB2312" w:hint="eastAsia"/>
          <w:sz w:val="32"/>
        </w:rPr>
      </w:pPr>
      <w:r>
        <w:rPr>
          <w:rFonts w:ascii="仿宋_GB2312" w:eastAsia="仿宋_GB2312" w:cs="仿宋_GB2312" w:hint="eastAsia"/>
          <w:sz w:val="32"/>
        </w:rPr>
        <w:t>2.负责辖区内预防服务：包括传染病、非传染病和突发事件的防控。一是传染病的预防即社区一般病因预防、二级五早预防和三级预后康复预防。二是非传染病预防即一般危险因素预防、二级早期疾病干预、三级</w:t>
      </w:r>
      <w:r>
        <w:rPr>
          <w:rFonts w:ascii="仿宋_GB2312" w:eastAsia="仿宋_GB2312" w:cs="仿宋_GB2312" w:hint="eastAsia"/>
          <w:sz w:val="32"/>
          <w:lang w:eastAsia="zh-CN"/>
        </w:rPr>
        <w:t>伤残</w:t>
      </w:r>
      <w:r>
        <w:rPr>
          <w:rFonts w:ascii="仿宋_GB2312" w:eastAsia="仿宋_GB2312" w:cs="仿宋_GB2312" w:hint="eastAsia"/>
          <w:sz w:val="32"/>
        </w:rPr>
        <w:t>预防。三是突发事件的预防，是指隐藏在“健康人群”内的，且能突发严重卫生问题的监测预防。</w:t>
      </w:r>
    </w:p>
    <w:p>
      <w:pPr>
        <w:pStyle w:val="26"/>
        <w:tabs>
          <w:tab w:val="center" w:pos="4153"/>
          <w:tab w:val="left" w:pos="7275"/>
        </w:tabs>
        <w:jc w:val="left"/>
        <w:rPr>
          <w:rFonts w:ascii="仿宋_GB2312" w:eastAsia="仿宋_GB2312" w:cs="仿宋_GB2312" w:hint="eastAsia"/>
          <w:sz w:val="32"/>
        </w:rPr>
      </w:pPr>
      <w:r>
        <w:rPr>
          <w:rFonts w:ascii="仿宋_GB2312" w:eastAsia="仿宋_GB2312" w:cs="仿宋_GB2312" w:hint="eastAsia"/>
          <w:sz w:val="32"/>
        </w:rPr>
        <w:t>3.医疗服务：除在医院开展门诊和住院服务外，如中西医全科、康复科、妇科、儿童保健科、药剂科等医疗临床业务外，重要的是根据社区居民的需要，开展家庭治疗、家庭康复、临终关怀等医疗服务。</w:t>
      </w:r>
    </w:p>
    <w:p>
      <w:pPr>
        <w:pStyle w:val="26"/>
        <w:tabs>
          <w:tab w:val="center" w:pos="4153"/>
          <w:tab w:val="left" w:pos="7275"/>
        </w:tabs>
        <w:jc w:val="left"/>
        <w:rPr>
          <w:rFonts w:ascii="仿宋_GB2312" w:eastAsia="仿宋_GB2312" w:cs="仿宋_GB2312" w:hint="eastAsia"/>
          <w:sz w:val="32"/>
        </w:rPr>
      </w:pPr>
      <w:r>
        <w:rPr>
          <w:rFonts w:ascii="仿宋_GB2312" w:eastAsia="仿宋_GB2312" w:cs="仿宋_GB2312" w:hint="eastAsia"/>
          <w:sz w:val="32"/>
        </w:rPr>
        <w:t>4.保健服务：对社区居民进行保健合同制的管理，并定期进行健康保健管理。</w:t>
      </w:r>
    </w:p>
    <w:p>
      <w:pPr>
        <w:pStyle w:val="26"/>
        <w:tabs>
          <w:tab w:val="center" w:pos="4153"/>
          <w:tab w:val="left" w:pos="7275"/>
        </w:tabs>
        <w:jc w:val="left"/>
        <w:rPr>
          <w:rFonts w:ascii="仿宋_GB2312" w:eastAsia="仿宋_GB2312" w:cs="仿宋_GB2312" w:hint="eastAsia"/>
          <w:sz w:val="32"/>
        </w:rPr>
      </w:pPr>
      <w:r>
        <w:rPr>
          <w:rFonts w:ascii="仿宋_GB2312" w:eastAsia="仿宋_GB2312" w:cs="仿宋_GB2312" w:hint="eastAsia"/>
          <w:sz w:val="32"/>
        </w:rPr>
        <w:t>5.健康教育：健康教育是实施预防传染病、非传染病和突发事件的重要手段。</w:t>
      </w:r>
    </w:p>
    <w:p>
      <w:pPr>
        <w:pStyle w:val="26"/>
        <w:tabs>
          <w:tab w:val="center" w:pos="4153"/>
          <w:tab w:val="left" w:pos="7275"/>
        </w:tabs>
        <w:jc w:val="left"/>
        <w:rPr>
          <w:rFonts w:ascii="仿宋_GB2312" w:eastAsia="仿宋_GB2312" w:cs="仿宋_GB2312" w:hint="eastAsia"/>
          <w:sz w:val="32"/>
        </w:rPr>
      </w:pPr>
      <w:r>
        <w:rPr>
          <w:rFonts w:ascii="仿宋_GB2312" w:eastAsia="仿宋_GB2312" w:cs="仿宋_GB2312" w:hint="eastAsia"/>
          <w:sz w:val="32"/>
        </w:rPr>
        <w:t>6.负责大溪沟辖区8个居委会约6万余居民提供基本医疗、基本公共卫生服务，比如65岁老年人健康体检、孕产妇随访、新生儿上门随访、儿童预防保健、家庭医生等项目。</w:t>
      </w:r>
    </w:p>
    <w:p>
      <w:pPr>
        <w:pStyle w:val="26"/>
        <w:tabs>
          <w:tab w:val="center" w:pos="4153"/>
          <w:tab w:val="left" w:pos="7275"/>
        </w:tabs>
        <w:jc w:val="left"/>
        <w:rPr>
          <w:rFonts w:ascii="仿宋_GB2312" w:eastAsia="仿宋_GB2312" w:cs="仿宋_GB2312" w:hint="eastAsia"/>
          <w:sz w:val="32"/>
        </w:rPr>
      </w:pPr>
      <w:r>
        <w:rPr>
          <w:rFonts w:ascii="仿宋_GB2312" w:eastAsia="仿宋_GB2312" w:cs="仿宋_GB2312" w:hint="eastAsia"/>
          <w:sz w:val="32"/>
        </w:rPr>
        <w:t>7.组织协调落实应对人口老龄化改革措施，负责推进辖区老年健康服务体系建设和医养结合工作，为辖区6万余人及社区养老服务</w:t>
      </w:r>
      <w:r>
        <w:rPr>
          <w:rFonts w:ascii="仿宋_GB2312" w:eastAsia="仿宋_GB2312" w:cs="仿宋_GB2312" w:hint="eastAsia"/>
          <w:sz w:val="32"/>
          <w:lang w:eastAsia="zh-CN"/>
        </w:rPr>
        <w:t>提供支持。</w:t>
      </w:r>
    </w:p>
    <w:p>
      <w:pPr>
        <w:pStyle w:val="26"/>
        <w:tabs>
          <w:tab w:val="center" w:pos="4153"/>
          <w:tab w:val="left" w:pos="7275"/>
        </w:tabs>
        <w:jc w:val="left"/>
        <w:rPr>
          <w:rFonts w:ascii="Times New Roman" w:eastAsia="方正仿宋_GBK" w:cs="仿宋_GB2312" w:hAnsi="Times New Roman"/>
          <w:sz w:val="32"/>
          <w:lang w:val="en-US" w:eastAsia="zh-CN"/>
        </w:rPr>
      </w:pPr>
      <w:r>
        <w:rPr>
          <w:rFonts w:ascii="仿宋_GB2312" w:eastAsia="仿宋_GB2312" w:cs="仿宋_GB2312" w:hint="eastAsia"/>
          <w:sz w:val="32"/>
        </w:rPr>
        <w:t>8.完成上级单位交办的其他任务。</w:t>
      </w:r>
    </w:p>
    <w:p>
      <w:pPr>
        <w:pStyle w:val="19"/>
        <w:shd w:val="clear" w:color="auto" w:fill="FFFFFF"/>
        <w:ind w:firstLine="420"/>
        <w:rPr>
          <w:rFonts w:ascii="楷体" w:eastAsia="楷体" w:cs="楷体"/>
          <w:sz w:val="32"/>
          <w:szCs w:val="32"/>
        </w:rPr>
      </w:pPr>
      <w:r>
        <w:rPr>
          <w:rStyle w:val="20"/>
          <w:rFonts w:ascii="楷体" w:eastAsia="楷体" w:cs="楷体"/>
          <w:sz w:val="32"/>
          <w:szCs w:val="32"/>
          <w:shd w:val="clear" w:color="auto" w:fill="FFFFFF"/>
        </w:rPr>
        <w:t>（二）机构设置</w:t>
      </w:r>
    </w:p>
    <w:p>
      <w:pPr>
        <w:pStyle w:val="19"/>
        <w:shd w:val="clear" w:color="auto" w:fill="FFFFFF"/>
        <w:ind w:firstLineChars="200" w:firstLine="640"/>
        <w:rPr>
          <w:rFonts w:ascii="方正仿宋_GBK" w:eastAsia="方正仿宋_GBK" w:cs="方正仿宋_GBK"/>
          <w:sz w:val="32"/>
          <w:szCs w:val="32"/>
        </w:rPr>
      </w:pPr>
      <w:r>
        <w:rPr>
          <w:rFonts w:ascii="仿宋_GB2312" w:eastAsia="仿宋_GB2312" w:cs="仿宋_GB2312" w:hint="eastAsia"/>
          <w:sz w:val="32"/>
        </w:rPr>
        <w:t>中心设置预防保健科、全科医疗、儿科、眼科、精神科、口腔科、内科、康复理疗科（中医）、医学检验科、医学影像科、中医科、妇女保健科。</w:t>
      </w:r>
    </w:p>
    <w:p>
      <w:pPr>
        <w:pStyle w:val="19"/>
        <w:shd w:val="clear" w:color="auto" w:fill="FFFFFF"/>
        <w:spacing w:before="0" w:beforeAutospacing="0" w:after="0" w:afterAutospacing="0" w:line="596" w:lineRule="exact"/>
        <w:ind w:firstLineChars="200" w:firstLine="640"/>
        <w:rPr>
          <w:rStyle w:val="20"/>
          <w:rFonts w:ascii="黑体" w:eastAsia="黑体" w:cs="黑体"/>
          <w:sz w:val="32"/>
          <w:szCs w:val="32"/>
          <w:shd w:val="clear" w:color="auto" w:fill="FFFFFF"/>
        </w:rPr>
      </w:pPr>
      <w:r>
        <w:rPr>
          <w:rStyle w:val="20"/>
          <w:rFonts w:ascii="黑体" w:eastAsia="黑体" w:cs="黑体"/>
          <w:sz w:val="32"/>
          <w:szCs w:val="32"/>
          <w:shd w:val="clear" w:color="auto" w:fill="FFFFFF"/>
        </w:rPr>
        <w:t>二、单位决算收支情况说明</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（一）收入支出决算总体情况说明。</w:t>
      </w:r>
    </w:p>
    <w:p>
      <w:pPr>
        <w:pStyle w:val="19"/>
        <w:shd w:val="clear" w:color="auto" w:fill="FFFFFF"/>
        <w:ind w:firstLineChars="200" w:firstLine="640"/>
        <w:rPr>
          <w:rFonts w:ascii="方正仿宋_GBK" w:eastAsia="方正仿宋_GBK" w:cs="方正仿宋_GBK" w:hint="eastAsia"/>
          <w:sz w:val="32"/>
          <w:szCs w:val="32"/>
          <w:lang w:eastAsia="zh-CN"/>
        </w:rPr>
      </w:pPr>
      <w:r>
        <w:rPr>
          <w:rStyle w:val="20"/>
          <w:rFonts w:ascii="方正仿宋_GBK" w:eastAsia="方正仿宋_GBK" w:cs="方正仿宋_GBK"/>
          <w:sz w:val="32"/>
          <w:szCs w:val="32"/>
          <w:shd w:val="clear" w:color="auto" w:fill="FFFFFF"/>
        </w:rPr>
        <w:t>1.总体情况。</w:t>
      </w:r>
      <w:r>
        <w:rPr>
          <w:rFonts w:ascii="方正仿宋_GBK" w:eastAsia="方正仿宋_GBK" w:cs="方正仿宋_GBK"/>
          <w:sz w:val="32"/>
          <w:szCs w:val="32"/>
          <w:shd w:val="clear" w:color="auto" w:fill="FFFFFF"/>
        </w:rPr>
        <w:t>2024年度收入总计4900.37万元，支出总计</w:t>
      </w:r>
      <w:r>
        <w:rPr>
          <w:rFonts w:ascii="方正仿宋_GBK" w:eastAsia="方正仿宋_GBK" w:cs="方正仿宋_GBK"/>
          <w:sz w:val="32"/>
          <w:szCs w:val="32"/>
        </w:rPr>
        <w:t>4900.37</w:t>
      </w:r>
      <w:r>
        <w:rPr>
          <w:rFonts w:ascii="方正仿宋_GBK" w:eastAsia="方正仿宋_GBK" w:cs="方正仿宋_GBK"/>
          <w:sz w:val="32"/>
          <w:szCs w:val="32"/>
          <w:shd w:val="clear" w:color="auto" w:fill="FFFFFF"/>
        </w:rPr>
        <w:t>万元。收、支与2023年度相比，减少501.94万元，下降9.3%，主要原因是</w:t>
      </w:r>
      <w:r>
        <w:rPr>
          <w:rFonts w:ascii="方正仿宋_GBK" w:eastAsia="方正仿宋_GBK" w:cs="方正仿宋_GBK" w:hint="eastAsia"/>
          <w:sz w:val="32"/>
          <w:szCs w:val="32"/>
          <w:shd w:val="clear" w:color="auto" w:fill="FFFFFF"/>
        </w:rPr>
        <w:t>受2024年7、8、9、10月连续高温影响，期间大量居民外出避暑，</w:t>
      </w:r>
      <w:r>
        <w:rPr>
          <w:rFonts w:ascii="方正仿宋_GBK" w:eastAsia="方正仿宋_GBK" w:cs="方正仿宋_GBK" w:hint="eastAsia"/>
          <w:sz w:val="32"/>
          <w:szCs w:val="32"/>
          <w:shd w:val="clear" w:color="auto" w:fill="FFFFFF"/>
          <w:lang w:val="en-US" w:eastAsia="zh-CN"/>
        </w:rPr>
        <w:t>开药人数降低，药品费用及药品收入相应降低</w:t>
      </w:r>
      <w:r>
        <w:rPr>
          <w:rFonts w:ascii="方正仿宋_GBK" w:eastAsia="方正仿宋_GBK" w:cs="方正仿宋_GBK" w:hint="eastAsia"/>
          <w:sz w:val="32"/>
          <w:szCs w:val="32"/>
          <w:shd w:val="clear" w:color="auto" w:fill="FFFFFF"/>
        </w:rPr>
        <w:t>。</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shd w:val="clear" w:color="auto" w:fill="FFFFFF"/>
        </w:rPr>
      </w:pPr>
      <w:r>
        <w:rPr>
          <w:rStyle w:val="20"/>
          <w:rFonts w:ascii="方正仿宋_GBK" w:eastAsia="方正仿宋_GBK" w:cs="方正仿宋_GBK"/>
          <w:sz w:val="32"/>
          <w:szCs w:val="32"/>
          <w:shd w:val="clear" w:color="auto" w:fill="FFFFFF"/>
        </w:rPr>
        <w:t>2.收入情况。</w:t>
      </w:r>
      <w:r>
        <w:rPr>
          <w:rFonts w:ascii="方正仿宋_GBK" w:eastAsia="方正仿宋_GBK" w:cs="方正仿宋_GBK"/>
          <w:sz w:val="32"/>
          <w:szCs w:val="32"/>
          <w:shd w:val="clear" w:color="auto" w:fill="FFFFFF"/>
        </w:rPr>
        <w:t>2024年度收入合计4382.32万元，与2023年度相</w:t>
      </w:r>
      <w:r>
        <w:rPr>
          <w:rFonts w:ascii="仿宋_GB2312" w:eastAsia="仿宋_GB2312" w:cs="仿宋_GB2312" w:hint="eastAsia"/>
          <w:sz w:val="32"/>
        </w:rPr>
        <w:t>比，减少1019.99万元，下降18.9%，主要原因是受2024年7、8、9、10月连续高温影响，期间大量居民外出避暑，导致医疗收入减少。其中：财政拨款收入955.44万元，占21.80%；事业收入3394.47万元，占77.46</w:t>
      </w:r>
      <w:r>
        <w:rPr>
          <w:rFonts w:ascii="方正仿宋_GBK" w:eastAsia="方正仿宋_GBK" w:cs="方正仿宋_GBK"/>
          <w:sz w:val="32"/>
          <w:szCs w:val="32"/>
          <w:shd w:val="clear" w:color="auto" w:fill="FFFFFF"/>
        </w:rPr>
        <w:t>%；经营收入</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万元，占0.00%；其他收入</w:t>
      </w:r>
      <w:r>
        <w:rPr>
          <w:rFonts w:ascii="方正仿宋_GBK" w:eastAsia="方正仿宋_GBK" w:cs="方正仿宋_GBK"/>
          <w:sz w:val="32"/>
          <w:szCs w:val="32"/>
        </w:rPr>
        <w:t>32.41</w:t>
      </w:r>
      <w:r>
        <w:rPr>
          <w:rFonts w:ascii="方正仿宋_GBK" w:eastAsia="方正仿宋_GBK" w:cs="方正仿宋_GBK"/>
          <w:sz w:val="32"/>
          <w:szCs w:val="32"/>
          <w:shd w:val="clear" w:color="auto" w:fill="FFFFFF"/>
        </w:rPr>
        <w:t>万元，占0.74%。此外，使用非财政拨款结余和专用结余</w:t>
      </w:r>
      <w:r>
        <w:rPr>
          <w:rFonts w:ascii="方正仿宋_GBK" w:eastAsia="方正仿宋_GBK" w:cs="方正仿宋_GBK"/>
          <w:sz w:val="32"/>
          <w:szCs w:val="32"/>
        </w:rPr>
        <w:t>518.06</w:t>
      </w:r>
      <w:r>
        <w:rPr>
          <w:rFonts w:ascii="方正仿宋_GBK" w:eastAsia="方正仿宋_GBK" w:cs="方正仿宋_GBK"/>
          <w:sz w:val="32"/>
          <w:szCs w:val="32"/>
          <w:shd w:val="clear" w:color="auto" w:fill="FFFFFF"/>
        </w:rPr>
        <w:t>万元，年初结转和结余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shd w:val="clear" w:color="auto" w:fill="FFFFFF"/>
        </w:rPr>
      </w:pPr>
      <w:r>
        <w:rPr>
          <w:rStyle w:val="20"/>
          <w:rFonts w:ascii="方正仿宋_GBK" w:eastAsia="方正仿宋_GBK" w:cs="方正仿宋_GBK"/>
          <w:sz w:val="32"/>
          <w:szCs w:val="32"/>
          <w:shd w:val="clear" w:color="auto" w:fill="FFFFFF"/>
        </w:rPr>
        <w:t>3.支出情况。</w:t>
      </w:r>
      <w:r>
        <w:rPr>
          <w:rFonts w:ascii="方正仿宋_GBK" w:eastAsia="方正仿宋_GBK" w:cs="方正仿宋_GBK"/>
          <w:sz w:val="32"/>
          <w:szCs w:val="32"/>
          <w:shd w:val="clear" w:color="auto" w:fill="FFFFFF"/>
        </w:rPr>
        <w:t>2024年度支出合计</w:t>
      </w:r>
      <w:r>
        <w:rPr>
          <w:rFonts w:ascii="方正仿宋_GBK" w:eastAsia="方正仿宋_GBK" w:cs="方正仿宋_GBK"/>
          <w:sz w:val="32"/>
          <w:szCs w:val="32"/>
        </w:rPr>
        <w:t>4900.37</w:t>
      </w:r>
      <w:r>
        <w:rPr>
          <w:rFonts w:ascii="方正仿宋_GBK" w:eastAsia="方正仿宋_GBK" w:cs="方正仿宋_GBK"/>
          <w:sz w:val="32"/>
          <w:szCs w:val="32"/>
          <w:shd w:val="clear" w:color="auto" w:fill="FFFFFF"/>
        </w:rPr>
        <w:t>万元，与2023年度相比，减少256.</w:t>
      </w:r>
      <w:r>
        <w:rPr>
          <w:rFonts w:ascii="仿宋_GB2312" w:eastAsia="仿宋_GB2312" w:cs="仿宋_GB2312" w:hint="eastAsia"/>
          <w:sz w:val="32"/>
        </w:rPr>
        <w:t>00万元，下降5.0%，主要原因是受2024年7、8、9、10月连续高温影响，期间大量居民外出避暑，导致</w:t>
      </w:r>
      <w:r>
        <w:rPr>
          <w:rFonts w:ascii="仿宋_GB2312" w:eastAsia="仿宋_GB2312" w:cs="仿宋_GB2312" w:hint="eastAsia"/>
          <w:sz w:val="32"/>
          <w:lang w:val="en-US" w:eastAsia="zh-CN"/>
        </w:rPr>
        <w:t>药品收入</w:t>
      </w:r>
      <w:r>
        <w:rPr>
          <w:rFonts w:ascii="仿宋_GB2312" w:eastAsia="仿宋_GB2312" w:cs="仿宋_GB2312" w:hint="eastAsia"/>
          <w:sz w:val="32"/>
        </w:rPr>
        <w:t>减少</w:t>
      </w:r>
      <w:r>
        <w:rPr>
          <w:rFonts w:ascii="仿宋_GB2312" w:eastAsia="仿宋_GB2312" w:cs="仿宋_GB2312" w:hint="eastAsia"/>
          <w:sz w:val="32"/>
          <w:lang w:eastAsia="zh-CN"/>
        </w:rPr>
        <w:t>，</w:t>
      </w:r>
      <w:r>
        <w:rPr>
          <w:rFonts w:ascii="仿宋_GB2312" w:eastAsia="仿宋_GB2312" w:cs="仿宋_GB2312" w:hint="eastAsia"/>
          <w:sz w:val="32"/>
          <w:lang w:val="en-US" w:eastAsia="zh-CN"/>
        </w:rPr>
        <w:t>药品费用相应减少</w:t>
      </w:r>
      <w:r>
        <w:rPr>
          <w:rFonts w:ascii="仿宋_GB2312" w:eastAsia="仿宋_GB2312" w:cs="仿宋_GB2312" w:hint="eastAsia"/>
          <w:sz w:val="32"/>
        </w:rPr>
        <w:t>。其中：基本支出4139.60万元，占84.48%；项目支出760.78万元，占15.52%；经营支出0.00万元，占0.00%。此外，结余分</w:t>
      </w:r>
      <w:r>
        <w:rPr>
          <w:rFonts w:ascii="方正仿宋_GBK" w:eastAsia="方正仿宋_GBK" w:cs="方正仿宋_GBK"/>
          <w:sz w:val="32"/>
          <w:szCs w:val="32"/>
          <w:shd w:val="clear" w:color="auto" w:fill="FFFFFF"/>
        </w:rPr>
        <w:t>配</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lang w:val="en-US" w:eastAsia="zh-CN"/>
        </w:rPr>
      </w:pPr>
      <w:r>
        <w:rPr>
          <w:rStyle w:val="20"/>
          <w:rFonts w:ascii="方正仿宋_GBK" w:eastAsia="方正仿宋_GBK" w:cs="方正仿宋_GBK"/>
          <w:sz w:val="32"/>
          <w:szCs w:val="32"/>
          <w:shd w:val="clear" w:color="auto" w:fill="FFFFFF"/>
        </w:rPr>
        <w:t>4.结转结余情况。</w:t>
      </w:r>
      <w:r>
        <w:rPr>
          <w:rFonts w:ascii="方正仿宋_GBK" w:eastAsia="方正仿宋_GBK" w:cs="方正仿宋_GBK"/>
          <w:sz w:val="32"/>
          <w:szCs w:val="32"/>
          <w:shd w:val="clear" w:color="auto" w:fill="FFFFFF"/>
        </w:rPr>
        <w:t>2024年度年末结转和结余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万元，与2023年度相比，无增减，主要原因是</w:t>
      </w:r>
      <w:r>
        <w:rPr>
          <w:rFonts w:ascii="方正仿宋_GBK" w:eastAsia="方正仿宋_GBK" w:cs="方正仿宋_GBK" w:hint="eastAsia"/>
          <w:sz w:val="32"/>
          <w:szCs w:val="32"/>
          <w:shd w:val="clear" w:color="auto" w:fill="FFFFFF"/>
          <w:lang w:val="en-US" w:eastAsia="zh-CN"/>
        </w:rPr>
        <w:t>本年收入和支出减量基本集中在药品和疫苗，成本和收入相等，并不会引起结余变动。</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（二）财政拨款收入支出决算总体情况说明</w:t>
      </w:r>
    </w:p>
    <w:p>
      <w:pPr>
        <w:pStyle w:val="19"/>
        <w:snapToGrid w:val="0"/>
        <w:spacing w:before="0" w:beforeAutospacing="0" w:after="0" w:afterAutospacing="0" w:line="600" w:lineRule="exact"/>
        <w:ind w:firstLineChars="200" w:firstLine="640"/>
        <w:jc w:val="both"/>
        <w:rPr>
          <w:rFonts w:ascii="方正仿宋_GBK" w:eastAsia="方正仿宋_GBK" w:cs="方正仿宋_GBK" w:hint="eastAsia"/>
          <w:sz w:val="32"/>
          <w:szCs w:val="32"/>
          <w:shd w:val="clear" w:color="auto" w:fill="FFFFFF"/>
        </w:rPr>
      </w:pPr>
      <w:r>
        <w:rPr>
          <w:rFonts w:ascii="方正仿宋_GBK" w:eastAsia="方正仿宋_GBK" w:cs="方正仿宋_GBK"/>
          <w:sz w:val="32"/>
          <w:szCs w:val="32"/>
          <w:shd w:val="clear" w:color="auto" w:fill="FFFFFF"/>
        </w:rPr>
        <w:t>2024年度财政拨款收、支总计955.44万元。与2023年相比，财政拨款收、支总计各减少217.96万元，下降18.6%。主要原因是</w:t>
      </w:r>
      <w:r>
        <w:rPr>
          <w:rFonts w:ascii="方正仿宋_GBK" w:eastAsia="方正仿宋_GBK" w:cs="方正仿宋_GBK" w:hint="eastAsia"/>
          <w:sz w:val="32"/>
          <w:szCs w:val="32"/>
          <w:shd w:val="clear" w:color="auto" w:fill="FFFFFF"/>
        </w:rPr>
        <w:t>本年无疫情发生，无疫情相关款项下拨。</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（三）一般公共预算财政拨款收入支出决算情况说明</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Style w:val="20"/>
          <w:rFonts w:ascii="方正仿宋_GBK" w:eastAsia="方正仿宋_GBK" w:cs="方正仿宋_GBK"/>
          <w:sz w:val="32"/>
          <w:szCs w:val="32"/>
          <w:shd w:val="clear" w:color="auto" w:fill="FFFFFF"/>
        </w:rPr>
        <w:t>1.收入情况。</w:t>
      </w:r>
      <w:r>
        <w:rPr>
          <w:rFonts w:ascii="方正仿宋_GBK" w:eastAsia="方正仿宋_GBK" w:cs="方正仿宋_GBK"/>
          <w:sz w:val="32"/>
          <w:szCs w:val="32"/>
          <w:shd w:val="clear" w:color="auto" w:fill="FFFFFF"/>
        </w:rPr>
        <w:t>2024年度一般公共预算财政拨款收入955.44万元，与2023年度相比，减少217.96万元，下降18.6%。主要原因是</w:t>
      </w:r>
      <w:r>
        <w:rPr>
          <w:rFonts w:ascii="方正仿宋_GBK" w:eastAsia="方正仿宋_GBK" w:cs="方正仿宋_GBK" w:hint="eastAsia"/>
          <w:sz w:val="32"/>
          <w:szCs w:val="32"/>
          <w:shd w:val="clear" w:color="auto" w:fill="FFFFFF"/>
        </w:rPr>
        <w:t>本年无疫情发生，无疫情相关款项下拨。</w:t>
      </w:r>
      <w:r>
        <w:rPr>
          <w:rFonts w:ascii="方正仿宋_GBK" w:eastAsia="方正仿宋_GBK" w:cs="方正仿宋_GBK"/>
          <w:sz w:val="32"/>
          <w:szCs w:val="32"/>
          <w:shd w:val="clear" w:color="auto" w:fill="FFFFFF"/>
        </w:rPr>
        <w:t>较年初预算数增加775.01万元，增长429.5%。主要原因</w:t>
      </w:r>
      <w:r>
        <w:rPr>
          <w:rFonts w:ascii="方正仿宋_GBK" w:eastAsia="方正仿宋_GBK" w:cs="方正仿宋_GBK" w:hint="eastAsia"/>
          <w:sz w:val="32"/>
          <w:szCs w:val="32"/>
          <w:shd w:val="clear" w:color="auto" w:fill="FFFFFF"/>
          <w:lang w:val="en-US" w:eastAsia="zh-CN"/>
        </w:rPr>
        <w:t>是年初填报预算不包括项目经费。</w:t>
      </w:r>
      <w:r>
        <w:rPr>
          <w:rFonts w:ascii="方正仿宋_GBK" w:eastAsia="方正仿宋_GBK" w:cs="方正仿宋_GBK"/>
          <w:sz w:val="32"/>
          <w:szCs w:val="32"/>
          <w:shd w:val="clear" w:color="auto" w:fill="FFFFFF"/>
        </w:rPr>
        <w:t>此外，年初财政拨款结转和结余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shd w:val="clear" w:color="auto" w:fill="FFFFFF"/>
        </w:rPr>
      </w:pPr>
      <w:r>
        <w:rPr>
          <w:rStyle w:val="20"/>
          <w:rFonts w:ascii="方正仿宋_GBK" w:eastAsia="方正仿宋_GBK" w:cs="方正仿宋_GBK"/>
          <w:sz w:val="32"/>
          <w:szCs w:val="32"/>
          <w:shd w:val="clear" w:color="auto" w:fill="FFFFFF"/>
        </w:rPr>
        <w:t>2.支出情况。</w:t>
      </w:r>
      <w:r>
        <w:rPr>
          <w:rFonts w:ascii="方正仿宋_GBK" w:eastAsia="方正仿宋_GBK" w:cs="方正仿宋_GBK"/>
          <w:sz w:val="32"/>
          <w:szCs w:val="32"/>
          <w:shd w:val="clear" w:color="auto" w:fill="FFFFFF"/>
        </w:rPr>
        <w:t>2024年度一般公共预算财政拨款支出</w:t>
      </w:r>
      <w:r>
        <w:rPr>
          <w:rFonts w:ascii="方正仿宋_GBK" w:eastAsia="方正仿宋_GBK" w:cs="方正仿宋_GBK"/>
          <w:sz w:val="32"/>
          <w:szCs w:val="32"/>
        </w:rPr>
        <w:t>955.44</w:t>
      </w:r>
      <w:r>
        <w:rPr>
          <w:rFonts w:ascii="方正仿宋_GBK" w:eastAsia="方正仿宋_GBK" w:cs="方正仿宋_GBK"/>
          <w:sz w:val="32"/>
          <w:szCs w:val="32"/>
          <w:shd w:val="clear" w:color="auto" w:fill="FFFFFF"/>
        </w:rPr>
        <w:t>万元，与2023年度相比，减少217.96万元，下降18.6%。主要原因是</w:t>
      </w:r>
      <w:r>
        <w:rPr>
          <w:rFonts w:ascii="方正仿宋_GBK" w:eastAsia="方正仿宋_GBK" w:cs="方正仿宋_GBK" w:hint="eastAsia"/>
          <w:sz w:val="32"/>
          <w:szCs w:val="32"/>
          <w:shd w:val="clear" w:color="auto" w:fill="FFFFFF"/>
        </w:rPr>
        <w:t>本年无疫情发生，无疫情相关款项下拨。</w:t>
      </w:r>
      <w:r>
        <w:rPr>
          <w:rFonts w:ascii="方正仿宋_GBK" w:eastAsia="方正仿宋_GBK" w:cs="方正仿宋_GBK"/>
          <w:sz w:val="32"/>
          <w:szCs w:val="32"/>
          <w:shd w:val="clear" w:color="auto" w:fill="FFFFFF"/>
        </w:rPr>
        <w:t>较年初预算数增加775.01万元，增长429.5%。主要原因</w:t>
      </w:r>
      <w:r>
        <w:rPr>
          <w:rFonts w:ascii="方正仿宋_GBK" w:eastAsia="方正仿宋_GBK" w:cs="方正仿宋_GBK" w:hint="eastAsia"/>
          <w:sz w:val="32"/>
          <w:szCs w:val="32"/>
          <w:shd w:val="clear" w:color="auto" w:fill="FFFFFF"/>
          <w:lang w:val="en-US" w:eastAsia="zh-CN"/>
        </w:rPr>
        <w:t>是年初填报预算不包括项目经费</w:t>
      </w:r>
      <w:r>
        <w:rPr>
          <w:rFonts w:ascii="方正仿宋_GBK" w:eastAsia="方正仿宋_GBK" w:cs="方正仿宋_GBK"/>
          <w:sz w:val="32"/>
          <w:szCs w:val="32"/>
          <w:shd w:val="clear" w:color="auto" w:fill="FFFFFF"/>
        </w:rPr>
        <w:t>。</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Style w:val="20"/>
          <w:rFonts w:ascii="方正仿宋_GBK" w:eastAsia="方正仿宋_GBK" w:cs="方正仿宋_GBK"/>
          <w:sz w:val="32"/>
          <w:szCs w:val="32"/>
          <w:shd w:val="clear" w:color="auto" w:fill="FFFFFF"/>
        </w:rPr>
        <w:t>3.结转结余情况。</w:t>
      </w:r>
      <w:r>
        <w:rPr>
          <w:rFonts w:ascii="方正仿宋_GBK" w:eastAsia="方正仿宋_GBK" w:cs="方正仿宋_GBK"/>
          <w:sz w:val="32"/>
          <w:szCs w:val="32"/>
          <w:shd w:val="clear" w:color="auto" w:fill="FFFFFF"/>
        </w:rPr>
        <w:t>2024年度年末一般公共预算财政拨款结转和结余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万元，与2023年度相比，无增减，主要原因</w:t>
      </w:r>
      <w:r>
        <w:rPr>
          <w:rFonts w:ascii="方正仿宋_GBK" w:eastAsia="方正仿宋_GBK" w:cs="方正仿宋_GBK" w:hint="eastAsia"/>
          <w:sz w:val="32"/>
          <w:szCs w:val="32"/>
          <w:shd w:val="clear" w:color="auto" w:fill="FFFFFF"/>
          <w:lang w:eastAsia="zh-CN"/>
        </w:rPr>
        <w:t>是</w:t>
      </w:r>
      <w:r>
        <w:rPr>
          <w:rFonts w:ascii="方正仿宋_GBK" w:eastAsia="方正仿宋_GBK" w:cs="方正仿宋_GBK" w:hint="eastAsia"/>
          <w:sz w:val="32"/>
          <w:szCs w:val="32"/>
          <w:shd w:val="clear" w:color="auto" w:fill="FFFFFF"/>
          <w:lang w:val="en-US" w:eastAsia="zh-CN"/>
        </w:rPr>
        <w:t>财政拨款收入与支出相等，不应当存在结余。</w:t>
      </w:r>
    </w:p>
    <w:p>
      <w:pPr>
        <w:pStyle w:val="19"/>
        <w:snapToGrid w:val="0"/>
        <w:spacing w:before="0" w:beforeAutospacing="0" w:after="0" w:afterAutospacing="0" w:line="600" w:lineRule="exact"/>
        <w:ind w:firstLineChars="200" w:firstLine="640"/>
        <w:jc w:val="both"/>
        <w:rPr>
          <w:rFonts w:ascii="方正仿宋_GBK" w:eastAsia="方正仿宋_GBK" w:cs="方正仿宋_GBK"/>
          <w:color w:val="FF0000"/>
          <w:sz w:val="32"/>
          <w:szCs w:val="32"/>
          <w:shd w:val="clear" w:color="auto" w:fill="FFFFFF"/>
          <w:highlight w:val="cyan"/>
        </w:rPr>
      </w:pPr>
      <w:r>
        <w:rPr>
          <w:rStyle w:val="20"/>
          <w:rFonts w:ascii="方正仿宋_GBK" w:eastAsia="方正仿宋_GBK" w:cs="方正仿宋_GBK"/>
          <w:sz w:val="32"/>
          <w:szCs w:val="32"/>
          <w:shd w:val="clear" w:color="auto" w:fill="FFFFFF"/>
        </w:rPr>
        <w:t xml:space="preserve"> 4.比较情况。</w:t>
      </w:r>
      <w:r>
        <w:rPr>
          <w:rFonts w:ascii="方正仿宋_GBK" w:eastAsia="方正仿宋_GBK" w:cs="方正仿宋_GBK"/>
          <w:sz w:val="32"/>
          <w:szCs w:val="32"/>
          <w:shd w:val="clear" w:color="auto" w:fill="FFFFFF"/>
        </w:rPr>
        <w:t>本单位2024年度一般公共预算财政拨款支出主要用于以下几个方面：</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lang w:val="en-US" w:eastAsia="zh-CN"/>
        </w:rPr>
      </w:pPr>
      <w:r>
        <w:rPr>
          <w:rFonts w:ascii="方正仿宋_GBK" w:eastAsia="方正仿宋_GBK" w:cs="方正仿宋_GBK"/>
          <w:sz w:val="32"/>
          <w:szCs w:val="32"/>
          <w:shd w:val="clear" w:color="auto" w:fill="FFFFFF"/>
        </w:rPr>
        <w:t>（</w:t>
      </w:r>
      <w:r>
        <w:rPr>
          <w:rFonts w:ascii="方正仿宋_GBK" w:eastAsia="方正仿宋_GBK" w:cs="方正仿宋_GBK" w:hint="eastAsia"/>
          <w:sz w:val="32"/>
          <w:szCs w:val="32"/>
          <w:shd w:val="clear" w:color="auto" w:fill="FFFFFF"/>
          <w:lang w:val="en-US" w:eastAsia="zh-CN"/>
        </w:rPr>
        <w:t>1</w:t>
      </w:r>
      <w:r>
        <w:rPr>
          <w:rFonts w:ascii="方正仿宋_GBK" w:eastAsia="方正仿宋_GBK" w:cs="方正仿宋_GBK"/>
          <w:sz w:val="32"/>
          <w:szCs w:val="32"/>
          <w:shd w:val="clear" w:color="auto" w:fill="FFFFFF"/>
        </w:rPr>
        <w:t>）社会保障与就业支出</w:t>
      </w:r>
      <w:r>
        <w:rPr>
          <w:rFonts w:ascii="方正仿宋_GBK" w:eastAsia="方正仿宋_GBK" w:cs="方正仿宋_GBK"/>
          <w:sz w:val="32"/>
          <w:szCs w:val="32"/>
        </w:rPr>
        <w:t>35.25</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3.69</w:t>
      </w:r>
      <w:r>
        <w:rPr>
          <w:rFonts w:ascii="方正仿宋_GBK" w:eastAsia="方正仿宋_GBK" w:cs="方正仿宋_GBK"/>
          <w:sz w:val="32"/>
          <w:szCs w:val="32"/>
          <w:shd w:val="clear" w:color="auto" w:fill="FFFFFF"/>
        </w:rPr>
        <w:t>%，较年初预算数增加5.41万元，增长18.1%，主要原因是</w:t>
      </w:r>
      <w:r>
        <w:rPr>
          <w:rFonts w:ascii="方正仿宋_GBK" w:eastAsia="方正仿宋_GBK" w:cs="方正仿宋_GBK" w:hint="eastAsia"/>
          <w:sz w:val="32"/>
          <w:szCs w:val="32"/>
          <w:shd w:val="clear" w:color="auto" w:fill="FFFFFF"/>
          <w:lang w:val="en-US" w:eastAsia="zh-CN"/>
        </w:rPr>
        <w:t>根据社保政策，本单位社保缴纳金额有所调整。</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w:t>
      </w:r>
      <w:r>
        <w:rPr>
          <w:rFonts w:ascii="方正仿宋_GBK" w:eastAsia="方正仿宋_GBK" w:cs="方正仿宋_GBK" w:hint="eastAsia"/>
          <w:sz w:val="32"/>
          <w:szCs w:val="32"/>
          <w:shd w:val="clear" w:color="auto" w:fill="FFFFFF"/>
          <w:lang w:val="en-US" w:eastAsia="zh-CN"/>
        </w:rPr>
        <w:t>2</w:t>
      </w:r>
      <w:r>
        <w:rPr>
          <w:rFonts w:ascii="方正仿宋_GBK" w:eastAsia="方正仿宋_GBK" w:cs="方正仿宋_GBK"/>
          <w:sz w:val="32"/>
          <w:szCs w:val="32"/>
          <w:shd w:val="clear" w:color="auto" w:fill="FFFFFF"/>
        </w:rPr>
        <w:t>）卫生健康支出</w:t>
      </w:r>
      <w:r>
        <w:rPr>
          <w:rFonts w:ascii="方正仿宋_GBK" w:eastAsia="方正仿宋_GBK" w:cs="方正仿宋_GBK"/>
          <w:sz w:val="32"/>
          <w:szCs w:val="32"/>
        </w:rPr>
        <w:t>917.40</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96.02</w:t>
      </w:r>
      <w:r>
        <w:rPr>
          <w:rFonts w:ascii="方正仿宋_GBK" w:eastAsia="方正仿宋_GBK" w:cs="方正仿宋_GBK"/>
          <w:sz w:val="32"/>
          <w:szCs w:val="32"/>
          <w:shd w:val="clear" w:color="auto" w:fill="FFFFFF"/>
        </w:rPr>
        <w:t>%，较年初预算数增加766.82万元，增长509.2%，主要原因</w:t>
      </w:r>
      <w:r>
        <w:rPr>
          <w:rFonts w:ascii="方正仿宋_GBK" w:eastAsia="方正仿宋_GBK" w:cs="方正仿宋_GBK" w:hint="eastAsia"/>
          <w:sz w:val="32"/>
          <w:szCs w:val="32"/>
          <w:shd w:val="clear" w:color="auto" w:fill="FFFFFF"/>
          <w:lang w:val="en-US" w:eastAsia="zh-CN"/>
        </w:rPr>
        <w:t>是年初填报预算不包括项目经费。</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（四）一般公共预算财政拨款基本支出决算情况说明</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 2024年度一般公共财政拨款基本支出</w:t>
      </w:r>
      <w:r>
        <w:rPr>
          <w:rFonts w:ascii="方正仿宋_GBK" w:eastAsia="方正仿宋_GBK" w:cs="方正仿宋_GBK"/>
          <w:sz w:val="32"/>
          <w:szCs w:val="32"/>
        </w:rPr>
        <w:t>194.66</w:t>
      </w:r>
      <w:r>
        <w:rPr>
          <w:rFonts w:ascii="方正仿宋_GBK" w:eastAsia="方正仿宋_GBK" w:cs="方正仿宋_GBK"/>
          <w:sz w:val="32"/>
          <w:szCs w:val="32"/>
          <w:shd w:val="clear" w:color="auto" w:fill="FFFFFF"/>
        </w:rPr>
        <w:t>万元。其中：人员经费</w:t>
      </w:r>
      <w:r>
        <w:rPr>
          <w:rFonts w:ascii="方正仿宋_GBK" w:eastAsia="方正仿宋_GBK" w:cs="方正仿宋_GBK"/>
          <w:sz w:val="32"/>
          <w:szCs w:val="32"/>
        </w:rPr>
        <w:t>194.66</w:t>
      </w:r>
      <w:r>
        <w:rPr>
          <w:rFonts w:ascii="方正仿宋_GBK" w:eastAsia="方正仿宋_GBK" w:cs="方正仿宋_GBK"/>
          <w:sz w:val="32"/>
          <w:szCs w:val="32"/>
          <w:shd w:val="clear" w:color="auto" w:fill="FFFFFF"/>
        </w:rPr>
        <w:t>万元，与2023年度相比，增加3.14万元，增长1.6%，主要原因是</w:t>
      </w:r>
      <w:r>
        <w:rPr>
          <w:rFonts w:ascii="方正仿宋_GBK" w:eastAsia="方正仿宋_GBK" w:cs="方正仿宋_GBK" w:hint="eastAsia"/>
          <w:sz w:val="32"/>
          <w:szCs w:val="32"/>
          <w:shd w:val="clear" w:color="auto" w:fill="FFFFFF"/>
          <w:lang w:val="en-US" w:eastAsia="zh-CN"/>
        </w:rPr>
        <w:t>根据社保政策，本单位社保缴纳金额有所调整</w:t>
      </w:r>
      <w:r>
        <w:rPr>
          <w:rFonts w:ascii="方正仿宋_GBK" w:eastAsia="方正仿宋_GBK" w:cs="方正仿宋_GBK"/>
          <w:sz w:val="32"/>
          <w:szCs w:val="32"/>
          <w:shd w:val="clear" w:color="auto" w:fill="FFFFFF"/>
        </w:rPr>
        <w:t>。人员经费用途主要包括</w:t>
      </w:r>
      <w:r>
        <w:rPr>
          <w:rFonts w:ascii="方正仿宋_GBK" w:eastAsia="方正仿宋_GBK" w:cs="方正仿宋_GBK" w:hint="eastAsia"/>
          <w:sz w:val="32"/>
          <w:szCs w:val="32"/>
          <w:shd w:val="clear" w:color="auto" w:fill="FFFFFF"/>
          <w:lang w:val="en-US" w:eastAsia="zh-CN"/>
        </w:rPr>
        <w:t>基本工资、津贴补贴、社保。</w:t>
      </w:r>
      <w:r>
        <w:rPr>
          <w:rFonts w:ascii="方正仿宋_GBK" w:eastAsia="方正仿宋_GBK" w:cs="方正仿宋_GBK"/>
          <w:sz w:val="32"/>
          <w:szCs w:val="32"/>
          <w:shd w:val="clear" w:color="auto" w:fill="FFFFFF"/>
        </w:rPr>
        <w:t>公用经费0.00万元，与2023年度相比，无增减，主要原因是</w:t>
      </w:r>
      <w:r>
        <w:rPr>
          <w:rFonts w:ascii="方正仿宋_GBK" w:eastAsia="方正仿宋_GBK" w:cs="方正仿宋_GBK" w:hint="eastAsia"/>
          <w:sz w:val="32"/>
          <w:szCs w:val="32"/>
          <w:shd w:val="clear" w:color="auto" w:fill="FFFFFF"/>
          <w:lang w:val="en-US" w:eastAsia="zh-CN"/>
        </w:rPr>
        <w:t>未发生相关支出</w:t>
      </w:r>
      <w:r>
        <w:rPr>
          <w:rFonts w:ascii="方正仿宋_GBK" w:eastAsia="方正仿宋_GBK" w:cs="方正仿宋_GBK"/>
          <w:sz w:val="32"/>
          <w:szCs w:val="32"/>
          <w:shd w:val="clear" w:color="auto" w:fill="FFFFFF"/>
        </w:rPr>
        <w:t>。</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（五）政府性基金预算收支决算情况说明</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202</w:t>
      </w:r>
      <w:r>
        <w:rPr>
          <w:rFonts w:ascii="方正仿宋_GBK" w:eastAsia="方正仿宋_GBK" w:cs="方正仿宋_GBK" w:hint="eastAsia"/>
          <w:sz w:val="32"/>
          <w:szCs w:val="32"/>
          <w:shd w:val="clear" w:color="auto" w:fill="FFFFFF"/>
          <w:lang w:val="en-US" w:eastAsia="zh-CN"/>
        </w:rPr>
        <w:t>4</w:t>
      </w:r>
      <w:r>
        <w:rPr>
          <w:rFonts w:ascii="方正仿宋_GBK" w:eastAsia="方正仿宋_GBK" w:cs="方正仿宋_GBK"/>
          <w:sz w:val="32"/>
          <w:szCs w:val="32"/>
          <w:shd w:val="clear" w:color="auto" w:fill="FFFFFF"/>
        </w:rPr>
        <w:t>年度政府性基金预算财政拨款年初结转结余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万元，年末结转结余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万元。本年收入</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万元，较上年决算数无增减，主要原因</w:t>
      </w:r>
      <w:r>
        <w:rPr>
          <w:rFonts w:ascii="方正仿宋_GBK" w:eastAsia="方正仿宋_GBK" w:cs="方正仿宋_GBK" w:hint="eastAsia"/>
          <w:sz w:val="32"/>
          <w:szCs w:val="32"/>
          <w:shd w:val="clear" w:color="auto" w:fill="FFFFFF"/>
          <w:lang w:val="en-US" w:eastAsia="zh-CN"/>
        </w:rPr>
        <w:t>是本单位本年度无相关结余。</w:t>
      </w:r>
      <w:r>
        <w:rPr>
          <w:rFonts w:ascii="方正仿宋_GBK" w:eastAsia="方正仿宋_GBK" w:cs="方正仿宋_GBK"/>
          <w:sz w:val="32"/>
          <w:szCs w:val="32"/>
          <w:shd w:val="clear" w:color="auto" w:fill="FFFFFF"/>
        </w:rPr>
        <w:t>本年支出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万元，较上年决算数无增减，主要原因</w:t>
      </w:r>
      <w:r>
        <w:rPr>
          <w:rFonts w:ascii="方正仿宋_GBK" w:eastAsia="方正仿宋_GBK" w:cs="方正仿宋_GBK" w:hint="eastAsia"/>
          <w:sz w:val="32"/>
          <w:szCs w:val="32"/>
          <w:shd w:val="clear" w:color="auto" w:fill="FFFFFF"/>
          <w:lang w:eastAsia="zh-CN"/>
        </w:rPr>
        <w:t>是</w:t>
      </w:r>
      <w:r>
        <w:rPr>
          <w:rFonts w:ascii="方正仿宋_GBK" w:eastAsia="方正仿宋_GBK" w:cs="方正仿宋_GBK" w:hint="eastAsia"/>
          <w:sz w:val="32"/>
          <w:szCs w:val="32"/>
          <w:shd w:val="clear" w:color="auto" w:fill="FFFFFF"/>
          <w:lang w:val="en-US" w:eastAsia="zh-CN"/>
        </w:rPr>
        <w:t>本单位本年度未发生相关支出。</w:t>
      </w:r>
      <w:r>
        <w:rPr>
          <w:rFonts w:ascii="方正仿宋_GBK" w:eastAsia="方正仿宋_GBK" w:cs="方正仿宋_GBK"/>
          <w:sz w:val="32"/>
          <w:szCs w:val="32"/>
          <w:shd w:val="clear" w:color="auto" w:fill="FFFFFF"/>
        </w:rPr>
        <w:t>本部门202</w:t>
      </w:r>
      <w:r>
        <w:rPr>
          <w:rFonts w:ascii="方正仿宋_GBK" w:eastAsia="方正仿宋_GBK" w:cs="方正仿宋_GBK" w:hint="eastAsia"/>
          <w:sz w:val="32"/>
          <w:szCs w:val="32"/>
          <w:shd w:val="clear" w:color="auto" w:fill="FFFFFF"/>
          <w:lang w:val="en-US" w:eastAsia="zh-CN"/>
        </w:rPr>
        <w:t>4</w:t>
      </w:r>
      <w:r>
        <w:rPr>
          <w:rFonts w:ascii="方正仿宋_GBK" w:eastAsia="方正仿宋_GBK" w:cs="方正仿宋_GBK"/>
          <w:sz w:val="32"/>
          <w:szCs w:val="32"/>
          <w:shd w:val="clear" w:color="auto" w:fill="FFFFFF"/>
        </w:rPr>
        <w:t>年度无政府性基金预算财政拨款收支。</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（六）国有资本经营预算财政拨款支出决算情况说明</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 202</w:t>
      </w:r>
      <w:r>
        <w:rPr>
          <w:rFonts w:ascii="方正仿宋_GBK" w:eastAsia="方正仿宋_GBK" w:cs="方正仿宋_GBK" w:hint="eastAsia"/>
          <w:sz w:val="32"/>
          <w:szCs w:val="32"/>
          <w:shd w:val="clear" w:color="auto" w:fill="FFFFFF"/>
          <w:lang w:val="en-US" w:eastAsia="zh-CN"/>
        </w:rPr>
        <w:t>4</w:t>
      </w:r>
      <w:r>
        <w:rPr>
          <w:rFonts w:ascii="方正仿宋_GBK" w:eastAsia="方正仿宋_GBK" w:cs="方正仿宋_GBK"/>
          <w:sz w:val="32"/>
          <w:szCs w:val="32"/>
          <w:shd w:val="clear" w:color="auto" w:fill="FFFFFF"/>
        </w:rPr>
        <w:t>年度国有资本经营预算财政拨本年支出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万元，基本支出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万元，项目支出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万元，主要用途用</w:t>
      </w:r>
      <w:r>
        <w:rPr>
          <w:rFonts w:ascii="方正仿宋_GBK" w:eastAsia="方正仿宋_GBK" w:cs="方正仿宋_GBK" w:hint="eastAsia"/>
          <w:sz w:val="32"/>
          <w:szCs w:val="32"/>
          <w:shd w:val="clear" w:color="auto" w:fill="FFFFFF"/>
          <w:lang w:val="en-US" w:eastAsia="zh-CN"/>
        </w:rPr>
        <w:t>于无。</w:t>
      </w:r>
      <w:r>
        <w:rPr>
          <w:rFonts w:ascii="方正仿宋_GBK" w:eastAsia="方正仿宋_GBK" w:cs="方正仿宋_GBK"/>
          <w:sz w:val="32"/>
          <w:szCs w:val="32"/>
          <w:shd w:val="clear" w:color="auto" w:fill="FFFFFF"/>
        </w:rPr>
        <w:t>本部门202</w:t>
      </w:r>
      <w:r>
        <w:rPr>
          <w:rFonts w:ascii="方正仿宋_GBK" w:eastAsia="方正仿宋_GBK" w:cs="方正仿宋_GBK" w:hint="eastAsia"/>
          <w:sz w:val="32"/>
          <w:szCs w:val="32"/>
          <w:shd w:val="clear" w:color="auto" w:fill="FFFFFF"/>
          <w:lang w:val="en-US" w:eastAsia="zh-CN"/>
        </w:rPr>
        <w:t>4</w:t>
      </w:r>
      <w:r>
        <w:rPr>
          <w:rFonts w:ascii="方正仿宋_GBK" w:eastAsia="方正仿宋_GBK" w:cs="方正仿宋_GBK"/>
          <w:sz w:val="32"/>
          <w:szCs w:val="32"/>
          <w:shd w:val="clear" w:color="auto" w:fill="FFFFFF"/>
        </w:rPr>
        <w:t>年度无国有资本经营预算财政拨款支出。</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p>
    <w:p>
      <w:pPr>
        <w:pStyle w:val="19"/>
        <w:shd w:val="clear" w:color="auto" w:fill="FFFFFF"/>
        <w:spacing w:before="0" w:beforeAutospacing="0" w:after="0" w:afterAutospacing="0" w:line="596" w:lineRule="exact"/>
        <w:ind w:firstLineChars="200" w:firstLine="640"/>
        <w:rPr>
          <w:rStyle w:val="20"/>
          <w:rFonts w:ascii="黑体" w:eastAsia="黑体" w:cs="黑体"/>
          <w:sz w:val="32"/>
          <w:szCs w:val="32"/>
          <w:shd w:val="clear" w:color="auto" w:fill="FFFFFF"/>
        </w:rPr>
      </w:pPr>
      <w:r>
        <w:rPr>
          <w:rStyle w:val="20"/>
          <w:rFonts w:ascii="黑体" w:eastAsia="黑体" w:cs="黑体"/>
          <w:sz w:val="32"/>
          <w:szCs w:val="32"/>
          <w:shd w:val="clear" w:color="auto" w:fill="FFFFFF"/>
        </w:rPr>
        <w:t>三、财政拨款“三公”经费情况说明</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 xml:space="preserve"> （一）“三公”经费支出总体情况说明</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我单位属于</w:t>
      </w:r>
      <w:r>
        <w:rPr>
          <w:rFonts w:ascii="方正仿宋_GBK" w:eastAsia="方正仿宋_GBK" w:cs="方正仿宋_GBK" w:hint="eastAsia"/>
          <w:sz w:val="32"/>
          <w:szCs w:val="32"/>
          <w:shd w:val="clear" w:color="auto" w:fill="FFFFFF"/>
          <w:lang w:val="en-US" w:eastAsia="zh-CN"/>
        </w:rPr>
        <w:t>基层医疗卫生机构</w:t>
      </w:r>
      <w:r>
        <w:rPr>
          <w:rFonts w:ascii="方正仿宋_GBK" w:eastAsia="方正仿宋_GBK" w:cs="方正仿宋_GBK"/>
          <w:sz w:val="32"/>
          <w:szCs w:val="32"/>
          <w:shd w:val="clear" w:color="auto" w:fill="FFFFFF"/>
        </w:rPr>
        <w:t>，财政未保障我单位“三公”经费。</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（二）“三公”经费分项支出情况</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我单位属于</w:t>
      </w:r>
      <w:r>
        <w:rPr>
          <w:rFonts w:ascii="方正仿宋_GBK" w:eastAsia="方正仿宋_GBK" w:cs="方正仿宋_GBK" w:hint="eastAsia"/>
          <w:sz w:val="32"/>
          <w:szCs w:val="32"/>
          <w:shd w:val="clear" w:color="auto" w:fill="FFFFFF"/>
          <w:lang w:val="en-US" w:eastAsia="zh-CN"/>
        </w:rPr>
        <w:t>基层医疗卫生机构</w:t>
      </w:r>
      <w:r>
        <w:rPr>
          <w:rFonts w:ascii="方正仿宋_GBK" w:eastAsia="方正仿宋_GBK" w:cs="方正仿宋_GBK"/>
          <w:sz w:val="32"/>
          <w:szCs w:val="32"/>
          <w:shd w:val="clear" w:color="auto" w:fill="FFFFFF"/>
        </w:rPr>
        <w:t>，财政未保障我单位“三公”经费。</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（三）“三公”经费实物量情况</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 我单位属于</w:t>
      </w:r>
      <w:r>
        <w:rPr>
          <w:rFonts w:ascii="方正仿宋_GBK" w:eastAsia="方正仿宋_GBK" w:cs="方正仿宋_GBK" w:hint="eastAsia"/>
          <w:sz w:val="32"/>
          <w:szCs w:val="32"/>
          <w:shd w:val="clear" w:color="auto" w:fill="FFFFFF"/>
          <w:lang w:val="en-US" w:eastAsia="zh-CN"/>
        </w:rPr>
        <w:t>基层医疗卫生机构</w:t>
      </w:r>
      <w:r>
        <w:rPr>
          <w:rFonts w:ascii="方正仿宋_GBK" w:eastAsia="方正仿宋_GBK" w:cs="方正仿宋_GBK"/>
          <w:sz w:val="32"/>
          <w:szCs w:val="32"/>
          <w:shd w:val="clear" w:color="auto" w:fill="FFFFFF"/>
        </w:rPr>
        <w:t>，财政未保障我单位“三公”经费。</w:t>
      </w:r>
    </w:p>
    <w:p>
      <w:pPr>
        <w:pStyle w:val="19"/>
        <w:shd w:val="clear" w:color="auto" w:fill="FFFFFF"/>
        <w:spacing w:before="0" w:beforeAutospacing="0" w:after="0" w:afterAutospacing="0" w:line="596" w:lineRule="exact"/>
        <w:ind w:firstLineChars="200" w:firstLine="640"/>
        <w:rPr>
          <w:rStyle w:val="20"/>
          <w:rFonts w:ascii="黑体" w:eastAsia="黑体" w:cs="黑体"/>
          <w:sz w:val="32"/>
          <w:szCs w:val="32"/>
          <w:shd w:val="clear" w:color="auto" w:fill="FFFFFF"/>
        </w:rPr>
      </w:pPr>
      <w:r>
        <w:rPr>
          <w:rStyle w:val="20"/>
          <w:rFonts w:ascii="黑体" w:eastAsia="黑体" w:cs="黑体"/>
          <w:sz w:val="32"/>
          <w:szCs w:val="32"/>
          <w:shd w:val="clear" w:color="auto" w:fill="FFFFFF"/>
        </w:rPr>
        <w:t>四、其他需要说明的事项</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 xml:space="preserve"> （一）财政拨款会议费和培训费情况说明</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本年度会议费支出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万元，与2023年度相比，无增减，主要原因是</w:t>
      </w:r>
      <w:r>
        <w:rPr>
          <w:rFonts w:ascii="方正仿宋_GBK" w:eastAsia="方正仿宋_GBK" w:cs="方正仿宋_GBK" w:hint="eastAsia"/>
          <w:sz w:val="32"/>
          <w:szCs w:val="32"/>
          <w:shd w:val="clear" w:color="auto" w:fill="FFFFFF"/>
          <w:lang w:val="en-US" w:eastAsia="zh-CN"/>
        </w:rPr>
        <w:t>本年度未发生相关支出</w:t>
      </w:r>
      <w:r>
        <w:rPr>
          <w:rFonts w:ascii="方正仿宋_GBK" w:eastAsia="方正仿宋_GBK" w:cs="方正仿宋_GBK"/>
          <w:sz w:val="32"/>
          <w:szCs w:val="32"/>
          <w:shd w:val="clear" w:color="auto" w:fill="FFFFFF"/>
        </w:rPr>
        <w:t>。本年度培训费支出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万元，与2023年度相比，减少0.46万元，下降100.0%，主要原因是</w:t>
      </w:r>
      <w:r>
        <w:rPr>
          <w:rFonts w:ascii="方正仿宋_GBK" w:eastAsia="方正仿宋_GBK" w:cs="方正仿宋_GBK" w:hint="eastAsia"/>
          <w:sz w:val="32"/>
          <w:szCs w:val="32"/>
          <w:shd w:val="clear" w:color="auto" w:fill="FFFFFF"/>
          <w:lang w:val="en-US" w:eastAsia="zh-CN"/>
        </w:rPr>
        <w:t>本年度未发生相关支出</w:t>
      </w:r>
      <w:r>
        <w:rPr>
          <w:rFonts w:ascii="方正仿宋_GBK" w:eastAsia="方正仿宋_GBK" w:cs="方正仿宋_GBK"/>
          <w:sz w:val="32"/>
          <w:szCs w:val="32"/>
          <w:shd w:val="clear" w:color="auto" w:fill="FFFFFF"/>
        </w:rPr>
        <w:t>。</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（二）机关运行经费情况说明</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shd w:val="clear" w:color="auto" w:fill="FFFFFF"/>
          <w:lang w:val="en-US" w:eastAsia="zh-CN"/>
        </w:rPr>
      </w:pPr>
      <w:r>
        <w:rPr>
          <w:rFonts w:ascii="方正仿宋_GBK" w:eastAsia="方正仿宋_GBK" w:cs="方正仿宋_GBK"/>
          <w:sz w:val="32"/>
          <w:szCs w:val="32"/>
          <w:shd w:val="clear" w:color="auto" w:fill="FFFFFF"/>
        </w:rPr>
        <w:t>202</w:t>
      </w:r>
      <w:r>
        <w:rPr>
          <w:rFonts w:ascii="方正仿宋_GBK" w:eastAsia="方正仿宋_GBK" w:cs="方正仿宋_GBK" w:hint="eastAsia"/>
          <w:sz w:val="32"/>
          <w:szCs w:val="32"/>
          <w:shd w:val="clear" w:color="auto" w:fill="FFFFFF"/>
          <w:lang w:val="en-US" w:eastAsia="zh-CN"/>
        </w:rPr>
        <w:t>4</w:t>
      </w:r>
      <w:r>
        <w:rPr>
          <w:rFonts w:ascii="方正仿宋_GBK" w:eastAsia="方正仿宋_GBK" w:cs="方正仿宋_GBK"/>
          <w:sz w:val="32"/>
          <w:szCs w:val="32"/>
          <w:shd w:val="clear" w:color="auto" w:fill="FFFFFF"/>
        </w:rPr>
        <w:t>年度本部门机关运行经费支出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万元，机关运行经费主要用于开支</w:t>
      </w:r>
      <w:r>
        <w:rPr>
          <w:rFonts w:ascii="方正仿宋_GBK" w:eastAsia="方正仿宋_GBK" w:cs="方正仿宋_GBK"/>
          <w:sz w:val="32"/>
          <w:szCs w:val="32"/>
          <w:shd w:val="clear" w:color="auto" w:fill="FFFFFF"/>
        </w:rPr>
        <w:t>按照部门决算列报口径，我单位不在机关运行经费统计范围之内。</w:t>
      </w:r>
      <w:r>
        <w:rPr>
          <w:rFonts w:ascii="方正仿宋_GBK" w:eastAsia="方正仿宋_GBK" w:cs="方正仿宋_GBK"/>
          <w:sz w:val="32"/>
          <w:szCs w:val="32"/>
          <w:shd w:val="clear" w:color="auto" w:fill="FFFFFF"/>
        </w:rPr>
        <w:t>机关运行经费较上年支出数无增减，主要原因是</w:t>
      </w:r>
      <w:r>
        <w:rPr>
          <w:rFonts w:ascii="方正仿宋_GBK" w:eastAsia="方正仿宋_GBK" w:cs="方正仿宋_GBK"/>
          <w:sz w:val="32"/>
          <w:szCs w:val="32"/>
          <w:shd w:val="clear" w:color="auto" w:fill="FFFFFF"/>
        </w:rPr>
        <w:t>按照部门决算列报口径，我单位不在机关运行经费统计范围之内。</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（三）国有资产占用情况说明</w:t>
      </w:r>
    </w:p>
    <w:p>
      <w:pPr>
        <w:pStyle w:val="19"/>
        <w:snapToGrid w:val="0"/>
        <w:spacing w:before="0" w:beforeAutospacing="0" w:after="0" w:afterAutospacing="0" w:line="600" w:lineRule="exact"/>
        <w:ind w:firstLineChars="200" w:firstLine="640"/>
        <w:jc w:val="both"/>
        <w:rPr>
          <w:rFonts w:ascii="方正仿宋_GBK" w:eastAsia="方正仿宋_GBK" w:cs="方正仿宋_GBK"/>
          <w:sz w:val="32"/>
          <w:szCs w:val="32"/>
        </w:rPr>
      </w:pPr>
      <w:r>
        <w:rPr>
          <w:rFonts w:ascii="方正仿宋_GBK" w:eastAsia="方正仿宋_GBK" w:cs="方正仿宋_GBK"/>
          <w:sz w:val="32"/>
          <w:szCs w:val="32"/>
          <w:shd w:val="clear" w:color="auto" w:fill="FFFFFF"/>
        </w:rPr>
        <w:t>截至2024年12月31日，本单位共有车辆</w:t>
      </w:r>
      <w:r>
        <w:rPr>
          <w:rFonts w:ascii="方正仿宋_GBK" w:eastAsia="方正仿宋_GBK" w:cs="方正仿宋_GBK"/>
          <w:sz w:val="32"/>
          <w:szCs w:val="32"/>
        </w:rPr>
        <w:t>1</w:t>
      </w:r>
      <w:r>
        <w:rPr>
          <w:rFonts w:ascii="方正仿宋_GBK" w:eastAsia="方正仿宋_GBK" w:cs="方正仿宋_GBK"/>
          <w:sz w:val="32"/>
          <w:szCs w:val="32"/>
          <w:shd w:val="clear" w:color="auto" w:fill="FFFFFF"/>
        </w:rPr>
        <w:t>辆，其中，副部（省）级及以上领导用车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辆、主要负责人用车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辆、机要通信用车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辆、应急保障用车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辆、执法执勤用车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辆，特种专业技术用车</w:t>
      </w:r>
      <w:r>
        <w:rPr>
          <w:rFonts w:ascii="方正仿宋_GBK" w:eastAsia="方正仿宋_GBK" w:cs="方正仿宋_GBK"/>
          <w:sz w:val="32"/>
          <w:szCs w:val="32"/>
        </w:rPr>
        <w:t>1</w:t>
      </w:r>
      <w:r>
        <w:rPr>
          <w:rFonts w:ascii="方正仿宋_GBK" w:eastAsia="方正仿宋_GBK" w:cs="方正仿宋_GBK"/>
          <w:sz w:val="32"/>
          <w:szCs w:val="32"/>
          <w:shd w:val="clear" w:color="auto" w:fill="FFFFFF"/>
        </w:rPr>
        <w:t>辆，离退休干部用车</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辆。单价100万元（含）以上专用设备</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台（套）。</w:t>
      </w:r>
    </w:p>
    <w:p>
      <w:pPr>
        <w:pStyle w:val="21"/>
        <w:autoSpaceDE w:val="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（四）政府采购支出情况说明</w:t>
      </w:r>
    </w:p>
    <w:p>
      <w:pPr>
        <w:pStyle w:val="19"/>
        <w:snapToGrid w:val="0"/>
        <w:spacing w:before="0" w:beforeAutospacing="0" w:after="0" w:afterAutospacing="0" w:line="600" w:lineRule="exact"/>
        <w:ind w:firstLineChars="400" w:firstLine="1280"/>
        <w:jc w:val="both"/>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2024年度本单位政府采购支出总额</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万元，其中：政府采购货物支出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万元、政府采购工程支出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万元、政府采购服务支出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万元。授予中小企业合同金额</w:t>
      </w:r>
      <w:r>
        <w:rPr>
          <w:rFonts w:ascii="方正仿宋_GBK" w:eastAsia="方正仿宋_GBK" w:cs="方正仿宋_GBK"/>
          <w:sz w:val="32"/>
          <w:szCs w:val="32"/>
        </w:rPr>
        <w:t>0.00万</w:t>
      </w:r>
      <w:r>
        <w:rPr>
          <w:rFonts w:ascii="方正仿宋_GBK" w:eastAsia="方正仿宋_GBK" w:cs="方正仿宋_GBK"/>
          <w:sz w:val="32"/>
          <w:szCs w:val="32"/>
          <w:shd w:val="clear" w:color="auto" w:fill="FFFFFF"/>
        </w:rPr>
        <w:t>元，占政府采购支出总额的</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%，其中：授予小微企业合同金额</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万元，占政府采购支出总额的</w:t>
      </w:r>
      <w:r>
        <w:rPr>
          <w:rFonts w:ascii="方正仿宋_GBK" w:eastAsia="方正仿宋_GBK" w:cs="方正仿宋_GBK"/>
          <w:sz w:val="32"/>
          <w:szCs w:val="32"/>
        </w:rPr>
        <w:t>0</w:t>
      </w:r>
      <w:r>
        <w:rPr>
          <w:rFonts w:ascii="方正仿宋_GBK" w:eastAsia="方正仿宋_GBK" w:cs="方正仿宋_GBK"/>
          <w:sz w:val="32"/>
          <w:szCs w:val="32"/>
          <w:shd w:val="clear" w:color="auto" w:fill="FFFFFF"/>
        </w:rPr>
        <w:t xml:space="preserve"> %。2024年度我单位未发生政府采购事项，无相关经费支出。</w:t>
      </w:r>
    </w:p>
    <w:p>
      <w:pPr>
        <w:pStyle w:val="19"/>
        <w:snapToGrid w:val="0"/>
        <w:spacing w:before="0" w:beforeAutospacing="0" w:after="0" w:afterAutospacing="0" w:line="600" w:lineRule="exact"/>
        <w:ind w:firstLineChars="400" w:firstLine="1280"/>
        <w:jc w:val="both"/>
        <w:rPr>
          <w:rFonts w:ascii="方正仿宋_GBK" w:eastAsia="方正仿宋_GBK" w:cs="方正仿宋_GBK"/>
          <w:sz w:val="32"/>
          <w:szCs w:val="32"/>
          <w:shd w:val="clear" w:color="auto" w:fill="FFFFFF"/>
        </w:rPr>
      </w:pPr>
    </w:p>
    <w:p>
      <w:pPr>
        <w:pStyle w:val="22"/>
        <w:spacing w:before="0" w:beforeAutospacing="0" w:after="0" w:afterAutospacing="0" w:line="596" w:lineRule="exact"/>
        <w:ind w:firstLineChars="200" w:firstLine="640"/>
        <w:rPr>
          <w:rStyle w:val="20"/>
          <w:rFonts w:ascii="黑体" w:eastAsia="黑体" w:cs="黑体"/>
          <w:sz w:val="32"/>
          <w:szCs w:val="32"/>
          <w:shd w:val="clear" w:color="auto" w:fill="FFFFFF"/>
        </w:rPr>
      </w:pPr>
      <w:r>
        <w:rPr>
          <w:rStyle w:val="20"/>
          <w:rFonts w:ascii="黑体" w:eastAsia="黑体" w:cs="黑体" w:hint="eastAsia"/>
          <w:sz w:val="32"/>
          <w:szCs w:val="32"/>
          <w:shd w:val="clear" w:color="auto" w:fill="FFFFFF"/>
        </w:rPr>
        <w:t>五、2024年度预算绩效管理情况说明</w:t>
      </w:r>
    </w:p>
    <w:p>
      <w:pPr>
        <w:pStyle w:val="22"/>
        <w:autoSpaceDE w:val="0"/>
        <w:spacing w:before="0" w:beforeAutospacing="0" w:after="0" w:afterAutospacing="0" w:line="596" w:lineRule="exact"/>
        <w:ind w:firstLineChars="200" w:firstLine="640"/>
        <w:rPr>
          <w:rFonts w:ascii="楷体" w:eastAsia="楷体" w:cs="楷体"/>
          <w:b/>
          <w:bCs/>
          <w:sz w:val="32"/>
          <w:szCs w:val="32"/>
          <w:shd w:val="clear" w:color="auto" w:fill="FFFFFF"/>
        </w:rPr>
      </w:pPr>
      <w:r>
        <w:rPr>
          <w:rFonts w:ascii="楷体" w:eastAsia="楷体" w:cs="楷体" w:hint="eastAsia"/>
          <w:b/>
          <w:bCs/>
          <w:sz w:val="32"/>
          <w:szCs w:val="32"/>
          <w:shd w:val="clear" w:color="auto" w:fill="FFFFFF"/>
        </w:rPr>
        <w:t>（一）单位自评情况</w:t>
      </w:r>
    </w:p>
    <w:p>
      <w:pPr>
        <w:pStyle w:val="22"/>
        <w:autoSpaceDE w:val="0"/>
        <w:spacing w:before="0" w:beforeAutospacing="0" w:line="600" w:lineRule="exact"/>
        <w:ind w:firstLineChars="200" w:firstLine="640"/>
        <w:rPr>
          <w:rFonts w:ascii="方正仿宋_GBK" w:eastAsia="方正仿宋_GBK" w:cs="方正仿宋_GBK"/>
          <w:sz w:val="32"/>
          <w:szCs w:val="32"/>
          <w:shd w:val="clear" w:color="auto" w:fill="FFFFFF"/>
          <w:lang w:val="en-US" w:eastAsia="zh-CN"/>
          <w:highlight w:val="yellow"/>
        </w:rPr>
      </w:pPr>
      <w:r>
        <w:rPr>
          <w:rFonts w:ascii="方正仿宋_GBK" w:eastAsia="方正仿宋_GBK" w:cs="方正仿宋_GBK" w:hint="eastAsia"/>
          <w:sz w:val="32"/>
          <w:szCs w:val="32"/>
          <w:shd w:val="clear" w:color="auto" w:fill="FFFFFF"/>
        </w:rPr>
        <w:t>根据预算绩效管理要求，我单位对</w:t>
      </w:r>
      <w:r>
        <w:rPr>
          <w:rFonts w:ascii="方正仿宋_GBK" w:eastAsia="方正仿宋_GBK" w:cs="方正仿宋_GBK" w:hint="eastAsia"/>
          <w:sz w:val="32"/>
          <w:szCs w:val="32"/>
          <w:shd w:val="clear" w:color="auto" w:fill="FFFFFF"/>
          <w:lang w:val="en-US" w:eastAsia="zh-CN"/>
        </w:rPr>
        <w:t>10</w:t>
      </w:r>
      <w:r>
        <w:rPr>
          <w:rFonts w:ascii="方正仿宋_GBK" w:eastAsia="方正仿宋_GBK" w:cs="方正仿宋_GBK" w:hint="eastAsia"/>
          <w:sz w:val="32"/>
          <w:szCs w:val="32"/>
          <w:shd w:val="clear" w:color="auto" w:fill="FFFFFF"/>
        </w:rPr>
        <w:t>个二级项目开展了绩效自评，涉及财政拨款项目支出资金</w:t>
      </w:r>
      <w:r>
        <w:rPr>
          <w:rFonts w:ascii="方正仿宋_GBK" w:eastAsia="方正仿宋_GBK" w:cs="方正仿宋_GBK" w:hint="eastAsia"/>
          <w:sz w:val="32"/>
          <w:szCs w:val="32"/>
          <w:shd w:val="clear" w:color="auto" w:fill="FFFFFF"/>
          <w:lang w:val="en-US" w:eastAsia="zh-CN"/>
        </w:rPr>
        <w:t>955.44</w:t>
      </w:r>
      <w:r>
        <w:rPr>
          <w:rFonts w:ascii="方正仿宋_GBK" w:eastAsia="方正仿宋_GBK" w:cs="方正仿宋_GBK" w:hint="eastAsia"/>
          <w:sz w:val="32"/>
          <w:szCs w:val="32"/>
          <w:shd w:val="clear" w:color="auto" w:fill="FFFFFF"/>
        </w:rPr>
        <w:t>万元</w:t>
      </w:r>
      <w:r>
        <w:rPr>
          <w:rFonts w:ascii="方正仿宋_GBK" w:eastAsia="方正仿宋_GBK" w:cs="方正仿宋_GBK" w:hint="eastAsia"/>
          <w:sz w:val="32"/>
          <w:szCs w:val="32"/>
          <w:shd w:val="clear" w:color="auto" w:fill="FFFFFF"/>
          <w:lang w:eastAsia="zh-CN"/>
        </w:rPr>
        <w:t>。</w:t>
      </w:r>
    </w:p>
    <w:p>
      <w:pPr>
        <w:pStyle w:val="22"/>
        <w:autoSpaceDE w:val="0"/>
        <w:spacing w:before="0" w:beforeAutospacing="0" w:after="0" w:afterAutospacing="0" w:line="596" w:lineRule="exact"/>
        <w:rPr>
          <w:rFonts w:ascii="方正仿宋_GBK" w:eastAsia="方正仿宋_GBK" w:cs="方正仿宋_GBK"/>
          <w:sz w:val="32"/>
          <w:szCs w:val="32"/>
        </w:rPr>
      </w:pPr>
      <w:r>
        <w:rPr>
          <w:rStyle w:val="23"/>
          <w:rFonts w:ascii="方正仿宋_GBK" w:eastAsia="方正仿宋_GBK" w:cs="方正仿宋_GBK" w:hint="eastAsia"/>
          <w:sz w:val="32"/>
          <w:szCs w:val="32"/>
          <w:shd w:val="clear" w:color="auto" w:fill="FFFFFF"/>
        </w:rPr>
        <w:t xml:space="preserve">   </w:t>
      </w:r>
      <w:r>
        <w:rPr>
          <w:rStyle w:val="20"/>
          <w:rFonts w:ascii="黑体" w:eastAsia="黑体" w:cs="黑体" w:hint="eastAsia"/>
          <w:sz w:val="32"/>
          <w:szCs w:val="32"/>
          <w:shd w:val="clear" w:color="auto" w:fill="FFFFFF"/>
        </w:rPr>
        <w:t xml:space="preserve"> 六、专业名词解释</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（一）财政拨款收入：</w:t>
      </w:r>
      <w:r>
        <w:rPr>
          <w:rFonts w:ascii="方正仿宋_GBK" w:eastAsia="方正仿宋_GBK" w:cs="方正仿宋_GBK" w:hint="eastAsia"/>
          <w:sz w:val="32"/>
          <w:szCs w:val="32"/>
          <w:shd w:val="clear" w:color="auto" w:fill="FFFFFF"/>
        </w:rPr>
        <w:t>指本年度从本级财政部门取得的财政拨款，包括一般公共预算财政拨款和政府性基金预算财政拨款。</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（二）事业收入：</w:t>
      </w:r>
      <w:r>
        <w:rPr>
          <w:rFonts w:ascii="方正仿宋_GBK" w:eastAsia="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（三）经营收入：</w:t>
      </w:r>
      <w:r>
        <w:rPr>
          <w:rFonts w:ascii="方正仿宋_GBK" w:eastAsia="方正仿宋_GBK" w:cs="方正仿宋_GBK" w:hint="eastAsia"/>
          <w:sz w:val="32"/>
          <w:szCs w:val="32"/>
          <w:shd w:val="clear" w:color="auto" w:fill="FFFFFF"/>
        </w:rPr>
        <w:t>指事业单位在专业业务活动及其辅助活动之外开展非独立核算经营活动取得的现金流入。</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（四）其他收入：</w:t>
      </w:r>
      <w:r>
        <w:rPr>
          <w:rFonts w:ascii="方正仿宋_GBK" w:eastAsia="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（五）使用非财政拨款结余：</w:t>
      </w:r>
      <w:r>
        <w:rPr>
          <w:rFonts w:ascii="方正仿宋_GBK" w:eastAsia="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（六）年初结转和结余：</w:t>
      </w:r>
      <w:r>
        <w:rPr>
          <w:rFonts w:ascii="方正仿宋_GBK" w:eastAsia="方正仿宋_GBK" w:cs="方正仿宋_GBK" w:hint="eastAsia"/>
          <w:sz w:val="32"/>
          <w:szCs w:val="32"/>
          <w:shd w:val="clear" w:color="auto" w:fill="FFFFFF"/>
        </w:rPr>
        <w:t>指单位上年结转本年使用的基本支出结转、项目支出结转和结余、经营结余。</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（七）结余分配：</w:t>
      </w:r>
      <w:r>
        <w:rPr>
          <w:rFonts w:ascii="方正仿宋_GBK" w:eastAsia="方正仿宋_GBK" w:cs="方正仿宋_GBK" w:hint="eastAsia"/>
          <w:sz w:val="32"/>
          <w:szCs w:val="32"/>
          <w:shd w:val="clear" w:color="auto" w:fill="FFFFFF"/>
        </w:rPr>
        <w:t>指单位按照国家有关规定，缴纳所得税、提取专用基金、转入非财政拨款结余等当年结余的分配情况。</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（八）年末结转和结余：</w:t>
      </w:r>
      <w:r>
        <w:rPr>
          <w:rFonts w:ascii="方正仿宋_GBK" w:eastAsia="方正仿宋_GBK" w:cs="方正仿宋_GBK" w:hint="eastAsia"/>
          <w:sz w:val="32"/>
          <w:szCs w:val="32"/>
          <w:shd w:val="clear" w:color="auto" w:fill="FFFFFF"/>
        </w:rPr>
        <w:t>指单位结转下年的基本支出结转、项目支出结转和结余、经营结余。</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（九）基本支出：</w:t>
      </w:r>
      <w:r>
        <w:rPr>
          <w:rFonts w:ascii="方正仿宋_GBK" w:eastAsia="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（十）项目支出：</w:t>
      </w:r>
      <w:r>
        <w:rPr>
          <w:rFonts w:ascii="方正仿宋_GBK" w:eastAsia="方正仿宋_GBK" w:cs="方正仿宋_GBK" w:hint="eastAsia"/>
          <w:sz w:val="32"/>
          <w:szCs w:val="32"/>
          <w:shd w:val="clear" w:color="auto" w:fill="FFFFFF"/>
        </w:rPr>
        <w:t>指在基本支出之外为完成特定行政任务和事业发展目标所发生的支出。</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（十一）经营支出：</w:t>
      </w:r>
      <w:r>
        <w:rPr>
          <w:rFonts w:ascii="方正仿宋_GBK" w:eastAsia="方正仿宋_GBK" w:cs="方正仿宋_GBK" w:hint="eastAsia"/>
          <w:sz w:val="32"/>
          <w:szCs w:val="32"/>
          <w:shd w:val="clear" w:color="auto" w:fill="FFFFFF"/>
        </w:rPr>
        <w:t>指事业单位在专业业务活动及其辅助活动之外开展非独立核算经营活动发生的支出。</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（十二）“三公”经费：</w:t>
      </w:r>
      <w:r>
        <w:rPr>
          <w:rFonts w:ascii="方正仿宋_GBK" w:eastAsia="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（十三）机关运行经费：</w:t>
      </w:r>
      <w:r>
        <w:rPr>
          <w:rFonts w:ascii="方正仿宋_GBK" w:eastAsia="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（十四）工资福利支出（支出经济分类科目类级）：</w:t>
      </w:r>
      <w:r>
        <w:rPr>
          <w:rFonts w:ascii="方正仿宋_GBK" w:eastAsia="方正仿宋_GBK" w:cs="方正仿宋_GBK" w:hint="eastAsia"/>
          <w:sz w:val="32"/>
          <w:szCs w:val="32"/>
          <w:shd w:val="clear" w:color="auto" w:fill="FFFFFF"/>
        </w:rPr>
        <w:t>反映单位开支的在职职工和编制外长期聘用人员的各类劳动报酬，以及为上述人员缴纳的各项社会保险费等。</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（十五）商品和服务支出（支出经济分类科目类级）：</w:t>
      </w:r>
      <w:r>
        <w:rPr>
          <w:rFonts w:ascii="方正仿宋_GBK" w:eastAsia="方正仿宋_GBK" w:cs="方正仿宋_GBK" w:hint="eastAsia"/>
          <w:sz w:val="32"/>
          <w:szCs w:val="32"/>
          <w:shd w:val="clear" w:color="auto" w:fill="FFFFFF"/>
        </w:rPr>
        <w:t>反映单位购买商品和服务的支出（不包括用于购置固定资产的支出、战略性和应急储备支出）。</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（十六）对个人和家庭的补助（支出经济分类科目类级）：</w:t>
      </w:r>
      <w:r>
        <w:rPr>
          <w:rFonts w:ascii="方正仿宋_GBK" w:eastAsia="方正仿宋_GBK" w:cs="方正仿宋_GBK" w:hint="eastAsia"/>
          <w:sz w:val="32"/>
          <w:szCs w:val="32"/>
          <w:shd w:val="clear" w:color="auto" w:fill="FFFFFF"/>
        </w:rPr>
        <w:t>反映用于对个人和家庭的补助支出。</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楷体" w:eastAsia="楷体" w:cs="楷体" w:hint="eastAsia"/>
          <w:sz w:val="32"/>
          <w:szCs w:val="32"/>
          <w:shd w:val="clear" w:color="auto" w:fill="FFFFFF"/>
        </w:rPr>
        <w:t>（十七）其他资本性支出（支出经济分类科目类级）：</w:t>
      </w:r>
      <w:r>
        <w:rPr>
          <w:rFonts w:ascii="方正仿宋_GBK" w:eastAsia="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22"/>
        <w:spacing w:before="0" w:beforeAutospacing="0" w:after="0" w:afterAutospacing="0" w:line="596" w:lineRule="exact"/>
        <w:ind w:firstLineChars="200" w:firstLine="640"/>
        <w:rPr>
          <w:rFonts w:ascii="方正仿宋_GBK" w:eastAsia="方正仿宋_GBK" w:cs="方正仿宋_GBK"/>
          <w:sz w:val="32"/>
          <w:szCs w:val="32"/>
        </w:rPr>
      </w:pPr>
      <w:r>
        <w:rPr>
          <w:rStyle w:val="20"/>
          <w:rFonts w:ascii="黑体" w:eastAsia="黑体" w:cs="黑体" w:hint="eastAsia"/>
          <w:sz w:val="32"/>
          <w:szCs w:val="32"/>
          <w:shd w:val="clear" w:color="auto" w:fill="FFFFFF"/>
        </w:rPr>
        <w:t>七、决算公开联系方式及信息反馈渠道</w:t>
      </w:r>
    </w:p>
    <w:p>
      <w:pPr>
        <w:pStyle w:val="21"/>
        <w:autoSpaceDE w:val="0"/>
        <w:spacing w:line="596" w:lineRule="exact"/>
        <w:jc w:val="both"/>
        <w:rPr>
          <w:rStyle w:val="20"/>
          <w:rFonts w:ascii="方正仿宋_GBK" w:eastAsia="方正仿宋_GBK" w:cs="方正仿宋_GBK"/>
          <w:sz w:val="32"/>
          <w:szCs w:val="32"/>
          <w:shd w:val="clear" w:color="auto" w:fill="FFFF00"/>
        </w:rPr>
        <w:sectPr>
          <w:footerReference w:type="default" r:id="rId2"/>
          <w:pgSz w:w="11915" w:h="16840"/>
          <w:pgMar w:top="1440" w:right="1800" w:bottom="1440" w:left="1800" w:header="851" w:footer="992" w:gutter="0"/>
          <w:pgNumType w:fmt="numberInDash"/>
          <w:docGrid w:type="lines" w:linePitch="312" w:charSpace="0"/>
        </w:sectPr>
      </w:pPr>
      <w:r>
        <w:rPr>
          <w:rFonts w:ascii="方正仿宋_GBK" w:eastAsia="方正仿宋_GBK" w:cs="方正仿宋_GBK" w:hint="eastAsia"/>
          <w:sz w:val="32"/>
          <w:szCs w:val="32"/>
          <w:shd w:val="clear" w:color="auto" w:fill="FFFFFF"/>
        </w:rPr>
        <w:t>本单位决算公开信息反馈和联系方式：</w:t>
      </w:r>
      <w:r>
        <w:rPr>
          <w:rFonts w:ascii="方正仿宋_GBK" w:eastAsia="方正仿宋_GBK" w:cs="方正仿宋_GBK" w:hint="eastAsia"/>
          <w:sz w:val="32"/>
          <w:szCs w:val="32"/>
          <w:shd w:val="clear" w:color="auto" w:fill="FFFFFF"/>
          <w:lang w:val="en-US" w:eastAsia="zh-CN"/>
        </w:rPr>
        <w:t>02</w:t>
      </w:r>
      <w:r>
        <w:rPr>
          <w:rFonts w:ascii="方正仿宋_GBK" w:eastAsia="方正仿宋_GBK" w:cs="方正仿宋_GBK"/>
          <w:sz w:val="32"/>
          <w:szCs w:val="32"/>
          <w:shd w:val="clear" w:color="auto" w:fill="FFFFFF"/>
          <w:lang w:val="en-US" w:eastAsia="zh-CN"/>
        </w:rPr>
        <w:t>3</w:t>
      </w:r>
      <w:bookmarkStart w:id="0" w:name="_GoBack"/>
      <w:bookmarkEnd w:id="0"/>
      <w:r>
        <w:rPr>
          <w:rFonts w:ascii="方正仿宋_GBK" w:eastAsia="方正仿宋_GBK" w:cs="方正仿宋_GBK" w:hint="eastAsia"/>
          <w:sz w:val="32"/>
          <w:szCs w:val="32"/>
          <w:shd w:val="clear" w:color="auto" w:fill="FFFFFF"/>
          <w:lang w:val="en-US" w:eastAsia="zh-CN"/>
        </w:rPr>
        <w:t>-63003907</w:t>
      </w:r>
    </w:p>
    <w:p>
      <w:pPr>
        <w:rPr>
          <w:sz w:val="18"/>
          <w:szCs w:val="18"/>
        </w:rPr>
      </w:pPr>
    </w:p>
    <w:sectPr>
      <w:headerReference w:type="default" r:id="rId3"/>
      <w:footerReference w:type="default" r:id="rId4"/>
      <w:pgSz w:w="16783" w:h="11850" w:orient="landscape"/>
      <w:pgMar w:top="567" w:right="454" w:bottom="567" w:left="1037" w:header="0" w:footer="283" w:gutter="0"/>
      <w:pgNumType w:fmt="numberInDash"/>
      <w:docGrid w:type="lines" w:linePitch="326"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00" w:usb3="00000000" w:csb0="00040000" w:csb1="00000000"/>
  </w:font>
  <w:font w:name="Times New Roman">
    <w:altName w:val="DejaVu Sans"/>
    <w:panose1 w:val="02020603050405020304"/>
    <w:charset w:val="00"/>
    <w:family w:val="roman"/>
    <w:pitch w:val="variable"/>
    <w:sig w:usb0="20007A87" w:usb1="80000000" w:usb2="00000008" w:usb3="00000000" w:csb0="000001FF" w:csb1="00000000"/>
  </w:font>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方正仿宋_GBK">
    <w:altName w:val="永中宋体"/>
    <w:panose1 w:val="03000509000000000000"/>
    <w:charset w:val="86"/>
    <w:family w:val="script"/>
    <w:pitch w:val="variable"/>
    <w:sig w:usb0="00000001" w:usb1="080E0000" w:usb2="00000000" w:usb3="00000000" w:csb0="00040000" w:csb1="00000000"/>
  </w:font>
  <w:font w:name="仿宋_GB2312">
    <w:altName w:val="仿宋"/>
    <w:panose1 w:val="02010609030101010101"/>
    <w:charset w:val="86"/>
    <w:family w:val="modern"/>
    <w:pitch w:val="variable"/>
    <w:sig w:usb0="00000000" w:usb1="00000000" w:usb2="00000010" w:usb3="00000000" w:csb0="00040000" w:csb1="00000000"/>
  </w:font>
  <w:font w:name="宋体">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variable"/>
    <w:sig w:usb0="00000000" w:usb1="0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153"/>
        <w:tab w:val="right" w:pos="8306"/>
      </w:tabs>
    </w:pPr>
    <w: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342900" cy="148018"/>
              <wp:effectExtent l="0" t="0" r="0" b="0"/>
              <wp:wrapNone/>
              <wp:docPr id="1" name="文本框"/>
              <wp:cNvGraphicFramePr>
                <a:graphicFrameLocks noChangeAspect="0"/>
              </wp:cNvGraphicFramePr>
              <a:graphic>
                <a:graphicData uri="http://schemas.microsoft.com/office/word/2010/wordprocessingShape">
                  <wps:wsp>
                    <wps:cNvSpPr/>
                    <wps:spPr>
                      <a:xfrm rot="0">
                        <a:off x="0" y="0"/>
                        <a:ext cx="342900" cy="148018"/>
                      </a:xfrm>
                      <a:prstGeom prst="rect"/>
                      <a:noFill/>
                      <a:ln w="9525" cmpd="sng" cap="flat">
                        <a:noFill/>
                        <a:prstDash val="solid"/>
                        <a:miter/>
                      </a:ln>
                    </wps:spPr>
                    <wps:txbx id="2">
                      <w:txbxContent>
                        <w:p>
                          <w:pPr>
                            <w:pStyle w:val="16"/>
                            <w:tabs>
                              <w:tab w:val="center" w:pos="4153"/>
                              <w:tab w:val="right" w:pos="8306"/>
                            </w:tabs>
                          </w:pPr>
                          <w:r>
                            <w:fldChar w:fldCharType="begin"/>
                          </w:r>
                          <w:r>
                            <w:instrText xml:space="preserve"> PAGE  \* MERGEFORMAT </w:instrText>
                          </w:r>
                          <w:r>
                            <w:fldChar w:fldCharType="separate"/>
                          </w:r>
                          <w:r>
                            <w:t>- 23 -</w:t>
                          </w:r>
                          <w:r>
                            <w:fldChar w:fldCharType="end"/>
                          </w:r>
                        </w:p>
                      </w:txbxContent>
                    </wps:txbx>
                    <wps:bodyPr vert="horz" wrap="none" lIns="0" tIns="0" rIns="0" bIns="0" anchor="t" anchorCtr="0" upright="1">
                      <a:spAutoFit/>
                    </wps:bodyPr>
                  </wps:wsp>
                </a:graphicData>
              </a:graphic>
            </wp:anchor>
          </w:drawing>
        </mc:Choice>
        <mc:Fallback>
          <w:pict>
            <v:shape type="#_x0000_t202" id="文本框 3" o:spid="_x0000_s3" filled="f" stroked="f" style="position:absolute;margin-left:0.0pt;margin-top:0.0pt;width:27.0pt;height:11.655035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6"/>
                      <w:tabs>
                        <w:tab w:val="center" w:pos="4153"/>
                        <w:tab w:val="right" w:pos="8306"/>
                      </w:tabs>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153"/>
        <w:tab w:val="right" w:pos="8306"/>
      </w:tabs>
      <w:jc w:val="both"/>
    </w:pPr>
    <w:r>
      <mc:AlternateContent>
        <mc:Choice Requires="wps">
          <w:drawing>
            <wp:anchor distT="0" distB="0" distL="114298" distR="114298" simplePos="0" relativeHeight="14" behindDoc="0" locked="0" layoutInCell="1" hidden="0" allowOverlap="0">
              <wp:simplePos x="0" y="0"/>
              <wp:positionH relativeFrom="margin">
                <wp:align>center</wp:align>
              </wp:positionH>
              <wp:positionV relativeFrom="paragraph">
                <wp:posOffset>0</wp:posOffset>
              </wp:positionV>
              <wp:extent cx="400050" cy="148018"/>
              <wp:effectExtent l="0" t="0" r="0" b="0"/>
              <wp:wrapNone/>
              <wp:docPr id="4" name="文本框"/>
              <wp:cNvGraphicFramePr>
                <a:graphicFrameLocks noChangeAspect="0"/>
              </wp:cNvGraphicFramePr>
              <a:graphic>
                <a:graphicData uri="http://schemas.microsoft.com/office/word/2010/wordprocessingShape">
                  <wps:wsp>
                    <wps:cNvSpPr/>
                    <wps:spPr>
                      <a:xfrm rot="0">
                        <a:off x="0" y="0"/>
                        <a:ext cx="400050" cy="148018"/>
                      </a:xfrm>
                      <a:prstGeom prst="rect"/>
                      <a:noFill/>
                      <a:ln w="9525" cmpd="sng" cap="flat">
                        <a:noFill/>
                        <a:prstDash val="solid"/>
                        <a:miter/>
                      </a:ln>
                    </wps:spPr>
                    <wps:txbx id="5">
                      <w:txbxContent>
                        <w:p>
                          <w:pPr>
                            <w:pStyle w:val="16"/>
                            <w:tabs>
                              <w:tab w:val="center" w:pos="4153"/>
                              <w:tab w:val="right" w:pos="8306"/>
                            </w:tabs>
                          </w:pPr>
                          <w:r>
                            <w:t xml:space="preserve"> </w:t>
                          </w:r>
                          <w:r>
                            <w:fldChar w:fldCharType="begin"/>
                          </w:r>
                          <w:r>
                            <w:instrText>PAGE   \* MERGEFORMAT</w:instrText>
                          </w:r>
                          <w:r>
                            <w:fldChar w:fldCharType="separate"/>
                          </w:r>
                          <w:r>
                            <w:rPr>
                              <w:lang w:val="zh-CN"/>
                            </w:rPr>
                            <w:t>-</w:t>
                          </w:r>
                          <w:r>
                            <w:t xml:space="preserve"> 32 -</w:t>
                          </w:r>
                          <w:r>
                            <w:fldChar w:fldCharType="end"/>
                          </w:r>
                          <w:r>
                            <w:t xml:space="preserve"> </w:t>
                          </w:r>
                        </w:p>
                      </w:txbxContent>
                    </wps:txbx>
                    <wps:bodyPr vert="horz" wrap="none" lIns="0" tIns="0" rIns="0" bIns="0" anchor="t" anchorCtr="0" upright="1">
                      <a:spAutoFit/>
                    </wps:bodyPr>
                  </wps:wsp>
                </a:graphicData>
              </a:graphic>
            </wp:anchor>
          </w:drawing>
        </mc:Choice>
        <mc:Fallback>
          <w:pict>
            <v:shape type="#_x0000_t202" id="文本框 6" o:spid="_x0000_s6" filled="f" stroked="f" o:allowoverlap="f" style="position:absolute;margin-left:0.0pt;margin-top:0.0pt;width:31.500023pt;height:11.654989pt;z-index:14;mso-position-horizontal:center;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16"/>
                      <w:tabs>
                        <w:tab w:val="center" w:pos="4153"/>
                        <w:tab w:val="right" w:pos="8306"/>
                      </w:tabs>
                    </w:pPr>
                    <w:r>
                      <w:t xml:space="preserve"> </w:t>
                    </w:r>
                    <w:r>
                      <w:fldChar w:fldCharType="begin"/>
                    </w:r>
                    <w:r>
                      <w:instrText>PAGE   \* MERGEFORMAT</w:instrText>
                    </w:r>
                    <w:r>
                      <w:fldChar w:fldCharType="separate"/>
                    </w:r>
                    <w:r>
                      <w:rPr>
                        <w:lang w:val="zh-CN"/>
                      </w:rPr>
                      <w:t>-</w:t>
                    </w:r>
                    <w:r>
                      <w:t xml:space="preserve"> 32 -</w:t>
                    </w:r>
                    <w:r>
                      <w:fldChar w:fldCharType="end"/>
                    </w:r>
                    <w:r>
                      <w:t xml:space="preserve"> </w:t>
                    </w:r>
                  </w:p>
                </w:txbxContent>
              </v:textbox>
            </v:shape>
          </w:pict>
        </mc:Fallback>
      </mc:AlternateContent>
    </w:r>
    <w:r>
      <mc:AlternateContent>
        <mc:Choice Requires="wps">
          <w:drawing>
            <wp:anchor distT="0" distB="0" distL="114298" distR="114298" simplePos="0" relativeHeight="13" behindDoc="0" locked="0" layoutInCell="1" hidden="0" allowOverlap="0">
              <wp:simplePos x="0" y="0"/>
              <wp:positionH relativeFrom="margin">
                <wp:align>center</wp:align>
              </wp:positionH>
              <wp:positionV relativeFrom="page">
                <wp:posOffset>14737081</wp:posOffset>
              </wp:positionV>
              <wp:extent cx="581024" cy="220979"/>
              <wp:effectExtent l="0" t="0" r="0" b="0"/>
              <wp:wrapNone/>
              <wp:docPr id="7" name="文本框"/>
              <wp:cNvGraphicFramePr>
                <a:graphicFrameLocks noChangeAspect="0"/>
              </wp:cNvGraphicFramePr>
              <a:graphic>
                <a:graphicData uri="http://schemas.microsoft.com/office/word/2010/wordprocessingShape">
                  <wps:wsp>
                    <wps:cNvSpPr/>
                    <wps:spPr>
                      <a:xfrm rot="0">
                        <a:off x="0" y="0"/>
                        <a:ext cx="581024" cy="220979"/>
                      </a:xfrm>
                      <a:prstGeom prst="rect"/>
                      <a:noFill/>
                      <a:ln w="9525" cmpd="sng" cap="flat">
                        <a:noFill/>
                        <a:prstDash val="solid"/>
                        <a:miter/>
                      </a:ln>
                    </wps:spPr>
                    <wps:txbx id="8">
                      <w:txbxContent>
                        <w:p>
                          <w:pPr>
                            <w:pStyle w:val="16"/>
                            <w:tabs>
                              <w:tab w:val="center" w:pos="4153"/>
                              <w:tab w:val="right" w:pos="8306"/>
                            </w:tabs>
                            <w:jc w:val="both"/>
                            <w:rPr>
                              <w:rFonts w:cs="宋体"/>
                            </w:rPr>
                          </w:pPr>
                          <w:r>
                            <w:rPr>
                              <w:rFonts w:cs="宋体"/>
                            </w:rPr>
                            <w:t>— 27.1 —</w:t>
                          </w:r>
                        </w:p>
                      </w:txbxContent>
                    </wps:txbx>
                    <wps:bodyPr vert="horz" wrap="none" lIns="0" tIns="0" rIns="0" bIns="0" anchor="t" anchorCtr="0" upright="1">
                      <a:noAutofit/>
                    </wps:bodyPr>
                  </wps:wsp>
                </a:graphicData>
              </a:graphic>
            </wp:anchor>
          </w:drawing>
        </mc:Choice>
        <mc:Fallback>
          <w:pict>
            <v:shape type="#_x0000_t202" id="文本框 9" o:spid="_x0000_s9" filled="f" stroked="f" o:allowoverlap="f" style="position:absolute;margin-left:0.0pt;margin-top:1160.4pt;width:45.74999pt;height:17.399973pt;z-index:13;mso-position-horizontal:center;mso-position-horizontal-relative:margin;mso-position-vertical:absolute;mso-position-vertical-relative:page;mso-wrap-distance-left:8.999863pt;mso-wrap-distance-right:8.999863pt;mso-wrap-style:none;">
              <v:stroke color="#000000"/>
              <v:textbox id="850" inset="0mm,0mm,0mm,0mm" o:insetmode="custom" style="layout-flow:horizontal;v-text-anchor:top;">
                <w:txbxContent>
                  <w:p>
                    <w:pPr>
                      <w:pStyle w:val="16"/>
                      <w:tabs>
                        <w:tab w:val="center" w:pos="4153"/>
                        <w:tab w:val="right" w:pos="8306"/>
                      </w:tabs>
                      <w:jc w:val="both"/>
                      <w:rPr>
                        <w:rFonts w:cs="宋体"/>
                      </w:rPr>
                    </w:pPr>
                    <w:r>
                      <w:rPr>
                        <w:rFonts w:cs="宋体"/>
                      </w:rPr>
                      <w:t>— 27.1 —</w:t>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tabs>
        <w:tab w:val="clear" w:pos="4153"/>
        <w:tab w:val="clear" w:pos="8306"/>
        <w:tab w:val="left" w:pos="1758"/>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efaultTabStop w:val="420"/>
  <w:drawingGridHorizontalSpacing w:val="120"/>
  <w:drawingGridVerticalSpacing w:val="163"/>
  <w:displayHorizontalDrawingGridEvery w:val="0"/>
  <w:displayVerticalDrawingGridEvery w:val="1"/>
  <w:noPunctuationKerning/>
  <w:characterSpacingControl w:val="compressPunctuation"/>
  <w:compat>
    <w:spaceForUL/>
    <w:balanceSingleByteDoubleByteWidth/>
    <w:ulTrailSpace/>
    <w:doNotExpandShiftReturn/>
    <w:adjustLineHeightInTable/>
    <w:growAutofit/>
    <w:doNotUseIndentAsNumberingTabStop/>
    <w:useAltKinsokuLineBreakRules/>
    <w:compatSetting w:name="compatibilityMode" w:uri="http://schemas.microsoft.com/office/word" w:val="14"/>
  </w:compat>
  <w:docVars>
    <w:docVar w:name="commondata" w:val="eyJoZGlkIjoiOGQwYWQ1YTE0ZDA0NjgxYzlhMjZlMDExNTFmMWI3MmE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宋体" w:eastAsia="宋体" w:cs="Times New Roman"/>
      <w:sz w:val="24"/>
      <w:szCs w:val="24"/>
      <w:lang w:val="en-US" w:eastAsia="zh-CN" w:bidi="ar-SA"/>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pPr>
    <w:rPr>
      <w:sz w:val="18"/>
      <w:szCs w:val="18"/>
    </w:rPr>
  </w:style>
  <w:style w:type="paragraph" w:styleId="17">
    <w:name w:val="header"/>
    <w:basedOn w:val="0"/>
    <w:pPr>
      <w:tabs>
        <w:tab w:val="center" w:pos="4153"/>
        <w:tab w:val="right" w:pos="8306"/>
      </w:tabs>
      <w:snapToGrid w:val="0"/>
      <w:jc w:val="center"/>
    </w:pPr>
    <w:rPr>
      <w:sz w:val="18"/>
      <w:szCs w:val="18"/>
    </w:rPr>
  </w:style>
  <w:style w:type="paragraph" w:styleId="18">
    <w:name w:val="HTML Preformatted"/>
    <w:basedOn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9">
    <w:name w:val="Normal (Web)"/>
    <w:basedOn w:val="0"/>
    <w:pPr>
      <w:spacing w:before="100" w:beforeAutospacing="1" w:after="100" w:afterAutospacing="1"/>
    </w:pPr>
  </w:style>
  <w:style w:type="character" w:styleId="20">
    <w:name w:val="Strong"/>
    <w:rPr>
      <w:b/>
    </w:rPr>
  </w:style>
  <w:style w:type="paragraph" w:customStyle="1" w:styleId="21">
    <w:name w:val="列出段落1"/>
    <w:basedOn w:val="0"/>
    <w:pPr>
      <w:ind w:firstLineChars="200" w:firstLine="200"/>
    </w:pPr>
  </w:style>
  <w:style w:type="paragraph" w:customStyle="1" w:styleId="22">
    <w:name w:val="普通(网站) Char"/>
    <w:pPr>
      <w:spacing w:before="100" w:beforeAutospacing="1" w:after="100" w:afterAutospacing="1"/>
    </w:pPr>
    <w:rPr>
      <w:rFonts w:ascii="宋体" w:eastAsia="宋体" w:cs="Times New Roman"/>
      <w:sz w:val="24"/>
      <w:szCs w:val="24"/>
      <w:lang w:val="en-US" w:eastAsia="zh-CN" w:bidi="ar-SA"/>
    </w:rPr>
  </w:style>
  <w:style w:type="character" w:customStyle="1" w:styleId="23">
    <w:name w:val="21"/>
    <w:basedOn w:val="10"/>
    <w:rPr>
      <w:rFonts w:ascii="Wingdings" w:cs="Wingdings" w:hAnsi="Wingdings"/>
      <w:b/>
      <w:bCs/>
    </w:rPr>
  </w:style>
  <w:style w:type="paragraph" w:customStyle="1" w:styleId="24">
    <w:name w:val="列出段落2"/>
    <w:pPr>
      <w:ind w:firstLineChars="200" w:firstLine="200"/>
    </w:pPr>
    <w:rPr>
      <w:rFonts w:ascii="宋体" w:eastAsia="宋体" w:cs="Times New Roman"/>
      <w:sz w:val="24"/>
      <w:szCs w:val="24"/>
      <w:lang w:val="en-US" w:eastAsia="zh-CN" w:bidi="ar-SA"/>
    </w:rPr>
  </w:style>
  <w:style w:type="paragraph" w:customStyle="1" w:styleId="25">
    <w:name w:val="列出段落3"/>
    <w:basedOn w:val="0"/>
    <w:pPr>
      <w:ind w:firstLineChars="200" w:firstLine="200"/>
    </w:pPr>
  </w:style>
  <w:style w:type="paragraph" w:customStyle="1" w:styleId="26">
    <w:name w:val="List Paragraph"/>
    <w:basedOn w:val="0"/>
    <w:pPr>
      <w:ind w:firstLineChars="200" w:firstLine="200"/>
    </w:pPr>
    <w:rPr>
      <w:rFonts w:asci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23</TotalTime>
  <Application>Yozo_Office</Application>
  <Pages>11</Pages>
  <Words>4323</Words>
  <Characters>4776</Characters>
  <Lines>214</Lines>
  <Paragraphs>76</Paragraphs>
  <CharactersWithSpaces>4786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xg</cp:lastModifiedBy>
  <cp:revision>21</cp:revision>
  <dcterms:created xsi:type="dcterms:W3CDTF">2024-07-11T02:00:00Z</dcterms:created>
  <dcterms:modified xsi:type="dcterms:W3CDTF">2025-10-17T07:29:15Z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eyJoZGlkIjoiYzQ4ZDg5ZTM4OWUzOTIxZjJmOWY1YzRhZjQ5ZTU0MTkiLCJ1c2VySWQiOiIxNjIwNzQyNzI3In0=</vt:lpwstr>
  </property>
</Properties>
</file>