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91805">
      <w:pPr>
        <w:pStyle w:val="17"/>
        <w:keepNext w:val="0"/>
        <w:keepLines w:val="0"/>
        <w:pageBreakBefore w:val="0"/>
        <w:widowControl/>
        <w:shd w:val="clear" w:fill="FFFFFF"/>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bCs/>
          <w:kern w:val="0"/>
          <w:sz w:val="44"/>
          <w:szCs w:val="44"/>
          <w:shd w:val="clear" w:fill="FFFFFF"/>
        </w:rPr>
      </w:pPr>
      <w:r>
        <w:rPr>
          <w:rFonts w:hint="default" w:ascii="Times New Roman" w:hAnsi="Times New Roman" w:eastAsia="方正小标宋_GBK" w:cs="Times New Roman"/>
          <w:b/>
          <w:bCs/>
          <w:kern w:val="0"/>
          <w:sz w:val="44"/>
          <w:szCs w:val="44"/>
          <w:shd w:val="clear" w:fill="FFFFFF"/>
        </w:rPr>
        <w:t>重庆市渝中区朝天门街道社区卫生服务中心202</w:t>
      </w:r>
      <w:r>
        <w:rPr>
          <w:rFonts w:hint="default" w:ascii="Times New Roman" w:hAnsi="Times New Roman" w:eastAsia="方正小标宋_GBK" w:cs="Times New Roman"/>
          <w:b/>
          <w:bCs/>
          <w:kern w:val="0"/>
          <w:sz w:val="44"/>
          <w:szCs w:val="44"/>
          <w:shd w:val="clear" w:fill="FFFFFF"/>
          <w:lang w:val="en-US" w:eastAsia="zh-CN"/>
        </w:rPr>
        <w:t>4</w:t>
      </w:r>
      <w:r>
        <w:rPr>
          <w:rFonts w:hint="default" w:ascii="Times New Roman" w:hAnsi="Times New Roman" w:eastAsia="方正小标宋_GBK" w:cs="Times New Roman"/>
          <w:b/>
          <w:bCs/>
          <w:kern w:val="0"/>
          <w:sz w:val="44"/>
          <w:szCs w:val="44"/>
          <w:shd w:val="clear" w:fill="FFFFFF"/>
        </w:rPr>
        <w:t>年度部门决算情况说明</w:t>
      </w:r>
    </w:p>
    <w:p w14:paraId="21AA506C">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p>
    <w:p w14:paraId="07BB6E7F">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一、单位基本情况</w:t>
      </w:r>
    </w:p>
    <w:p w14:paraId="7E634EBB">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7DA764FB">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color w:val="000000"/>
          <w:kern w:val="0"/>
          <w:sz w:val="32"/>
          <w:szCs w:val="32"/>
          <w:lang w:val="en-US" w:eastAsia="zh-CN" w:bidi="ar"/>
        </w:rPr>
        <w:t>重庆市渝中区朝天门街道社区卫生服务中心是重庆市渝中区卫生健康委员会下属事业单位，主要职责是：以社区卫生服务中心为主体，全科医师为骨干，合理使用社区资源和适宜技术，以人的健康为中心、家庭为单位、社区为范围、需求为导向，以妇女、儿童、老年人、慢性病人、残疾人等为重点，以解决社区主要卫生问题、满足基本卫生服务需求为目的，融预防、医疗、保健、康复、健康教育等为一体，提供有效、经济、方便、综合、连续的基层卫生健康服务。负责收集社区卫生信息，针对社区主要健康问题实施健康咨询、健康教育以及社区卫生诊断，负责辖区计划免疫管理和免疫接种工作，按照法定传染病登记报告制度，做好疫情登记、报告工作，开展传染病、地方病、寄生虫病的社区防治。以人民健康为中心，为人民群众提供全方位全周期健康服务。</w:t>
      </w:r>
    </w:p>
    <w:p w14:paraId="5E0B3AFE">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（二）机构设置</w:t>
      </w:r>
    </w:p>
    <w:p w14:paraId="6A48CEE8">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中心设有全科医疗科、社区科、预防保健科、妇科、中医科、儿科、眼科、康复理疗科、口腔科、检验科、药剂科、放射科等业务科室。中心技术力量雄厚，人才梯队合理。</w:t>
      </w:r>
    </w:p>
    <w:p w14:paraId="4D7177BA">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二、单位决算收支情况说明</w:t>
      </w:r>
    </w:p>
    <w:p w14:paraId="5C24BB50">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2DD7B2C2">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2024年度收入总计2679.96万元，支出总计</w:t>
      </w:r>
      <w:r>
        <w:rPr>
          <w:rFonts w:hint="default" w:ascii="Times New Roman" w:hAnsi="Times New Roman" w:eastAsia="方正仿宋_GBK" w:cs="Times New Roman"/>
          <w:sz w:val="32"/>
          <w:szCs w:val="32"/>
        </w:rPr>
        <w:t>2679.96</w:t>
      </w:r>
      <w:r>
        <w:rPr>
          <w:rFonts w:hint="default" w:ascii="Times New Roman" w:hAnsi="Times New Roman" w:eastAsia="方正仿宋_GBK" w:cs="Times New Roman"/>
          <w:sz w:val="32"/>
          <w:szCs w:val="32"/>
          <w:shd w:val="clear" w:color="auto" w:fill="FFFFFF"/>
        </w:rPr>
        <w:t>万元。收、支与2023年度相比，减少159.93万元，下降5.6%，主要原因是</w:t>
      </w:r>
      <w:r>
        <w:rPr>
          <w:rFonts w:hint="default" w:ascii="Times New Roman" w:hAnsi="Times New Roman" w:eastAsia="方正仿宋_GBK" w:cs="Times New Roman"/>
          <w:color w:val="auto"/>
          <w:sz w:val="32"/>
          <w:szCs w:val="32"/>
          <w:shd w:val="clear" w:color="auto" w:fill="FFFFFF"/>
          <w:lang w:eastAsia="zh-CN"/>
        </w:rPr>
        <w:t>财政项目拨款收入减少。</w:t>
      </w:r>
    </w:p>
    <w:p w14:paraId="4701590C">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2024年度收入合计2679.96万元，与2023年度相比，减少154.95万元，下降5.5%，主要原因是</w:t>
      </w:r>
      <w:r>
        <w:rPr>
          <w:rFonts w:hint="default" w:ascii="Times New Roman" w:hAnsi="Times New Roman" w:eastAsia="方正仿宋_GBK" w:cs="Times New Roman"/>
          <w:color w:val="auto"/>
          <w:sz w:val="32"/>
          <w:szCs w:val="32"/>
          <w:shd w:val="clear" w:color="auto" w:fill="FFFFFF"/>
          <w:lang w:eastAsia="zh-CN"/>
        </w:rPr>
        <w:t>财政项目拨款收入减少。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893.86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33.35</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1784.48</w:t>
      </w:r>
      <w:r>
        <w:rPr>
          <w:rFonts w:hint="default" w:ascii="Times New Roman" w:hAnsi="Times New Roman" w:eastAsia="方正仿宋_GBK" w:cs="Times New Roman"/>
          <w:sz w:val="32"/>
          <w:szCs w:val="32"/>
          <w:shd w:val="clear" w:color="auto" w:fill="FFFFFF"/>
        </w:rPr>
        <w:t>万元，占66.59%；经营收入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1.62</w:t>
      </w:r>
      <w:r>
        <w:rPr>
          <w:rFonts w:hint="default" w:ascii="Times New Roman" w:hAnsi="Times New Roman" w:eastAsia="方正仿宋_GBK" w:cs="Times New Roman"/>
          <w:sz w:val="32"/>
          <w:szCs w:val="32"/>
          <w:shd w:val="clear" w:color="auto" w:fill="FFFFFF"/>
        </w:rPr>
        <w:t>万元，占0.06%。此外，使用非财政拨款结余和专用结余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8B246D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2679.20</w:t>
      </w:r>
      <w:r>
        <w:rPr>
          <w:rFonts w:hint="default" w:ascii="Times New Roman" w:hAnsi="Times New Roman" w:eastAsia="方正仿宋_GBK" w:cs="Times New Roman"/>
          <w:sz w:val="32"/>
          <w:szCs w:val="32"/>
          <w:shd w:val="clear" w:color="auto" w:fill="FFFFFF"/>
        </w:rPr>
        <w:t>万元，与2023年度相比，减少153.92万元，下降5.4%，主要原因是</w:t>
      </w:r>
      <w:r>
        <w:rPr>
          <w:rFonts w:hint="default" w:ascii="Times New Roman" w:hAnsi="Times New Roman" w:eastAsia="方正仿宋_GBK" w:cs="Times New Roman"/>
          <w:color w:val="auto"/>
          <w:sz w:val="32"/>
          <w:szCs w:val="32"/>
          <w:shd w:val="clear" w:color="auto" w:fill="FFFFFF"/>
          <w:lang w:eastAsia="zh-CN"/>
        </w:rPr>
        <w:t>财政项目支出减少。</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2142.44</w:t>
      </w:r>
      <w:r>
        <w:rPr>
          <w:rFonts w:hint="default" w:ascii="Times New Roman" w:hAnsi="Times New Roman" w:eastAsia="方正仿宋_GBK" w:cs="Times New Roman"/>
          <w:color w:val="auto"/>
          <w:sz w:val="32"/>
          <w:szCs w:val="32"/>
          <w:shd w:val="clear" w:color="auto" w:fill="FFFFFF"/>
        </w:rPr>
        <w:t>万元，占79.97%</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rPr>
        <w:t>536.76</w:t>
      </w:r>
      <w:r>
        <w:rPr>
          <w:rFonts w:hint="default" w:ascii="Times New Roman" w:hAnsi="Times New Roman" w:eastAsia="方正仿宋_GBK" w:cs="Times New Roman"/>
          <w:sz w:val="32"/>
          <w:szCs w:val="32"/>
          <w:shd w:val="clear" w:color="auto" w:fill="FFFFFF"/>
        </w:rPr>
        <w:t>万元，占20.03%；经营支出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0.76</w:t>
      </w:r>
      <w:r>
        <w:rPr>
          <w:rFonts w:hint="default" w:ascii="Times New Roman" w:hAnsi="Times New Roman" w:eastAsia="方正仿宋_GBK" w:cs="Times New Roman"/>
          <w:sz w:val="32"/>
          <w:szCs w:val="32"/>
          <w:shd w:val="clear" w:color="auto" w:fill="FFFFFF"/>
        </w:rPr>
        <w:t>万元。</w:t>
      </w:r>
    </w:p>
    <w:p w14:paraId="06C3366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kern w:val="0"/>
          <w:sz w:val="32"/>
          <w:szCs w:val="32"/>
          <w:shd w:val="clear" w:fill="FFFFFF"/>
        </w:rPr>
        <w:t>本单位无结转结余。</w:t>
      </w:r>
    </w:p>
    <w:p w14:paraId="782FFFB7">
      <w:pPr>
        <w:pStyle w:val="11"/>
        <w:keepNext w:val="0"/>
        <w:keepLines w:val="0"/>
        <w:pageBreakBefore w:val="0"/>
        <w:widowControl/>
        <w:numPr>
          <w:ilvl w:val="0"/>
          <w:numId w:val="1"/>
        </w:numPr>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财政拨款收入支出决算总体情况说明</w:t>
      </w:r>
    </w:p>
    <w:p w14:paraId="21165BFB">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2024年度财政拨款收、支总计893.86万元。与2023年相比，财政拨款收、支总计各减少193.91万元，下降17.8%。主要原因是</w:t>
      </w:r>
      <w:r>
        <w:rPr>
          <w:rFonts w:hint="default" w:ascii="Times New Roman" w:hAnsi="Times New Roman" w:eastAsia="方正仿宋_GBK" w:cs="Times New Roman"/>
          <w:color w:val="auto"/>
          <w:sz w:val="32"/>
          <w:szCs w:val="32"/>
          <w:shd w:val="clear" w:color="auto" w:fill="FFFFFF"/>
          <w:lang w:eastAsia="zh-CN"/>
        </w:rPr>
        <w:t>公共卫生经费较上年有所减少</w:t>
      </w:r>
      <w:r>
        <w:rPr>
          <w:rFonts w:hint="default" w:ascii="Times New Roman" w:hAnsi="Times New Roman" w:eastAsia="方正仿宋_GBK" w:cs="Times New Roman"/>
          <w:color w:val="auto"/>
          <w:sz w:val="32"/>
          <w:szCs w:val="32"/>
          <w:shd w:val="clear" w:color="auto" w:fill="FFFFFF"/>
        </w:rPr>
        <w:t>。</w:t>
      </w:r>
    </w:p>
    <w:p w14:paraId="0E92A282">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371A226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893.86</w:t>
      </w:r>
      <w:r>
        <w:rPr>
          <w:rFonts w:hint="default" w:ascii="Times New Roman" w:hAnsi="Times New Roman" w:eastAsia="方正仿宋_GBK" w:cs="Times New Roman"/>
          <w:sz w:val="32"/>
          <w:szCs w:val="32"/>
          <w:shd w:val="clear" w:color="auto" w:fill="FFFFFF"/>
        </w:rPr>
        <w:t>万元，与2023年度相比，减少193.91万元，下降17.8%。主要原因是</w:t>
      </w:r>
      <w:r>
        <w:rPr>
          <w:rFonts w:hint="default" w:ascii="Times New Roman" w:hAnsi="Times New Roman" w:eastAsia="方正仿宋_GBK" w:cs="Times New Roman"/>
          <w:color w:val="auto"/>
          <w:sz w:val="32"/>
          <w:szCs w:val="32"/>
          <w:shd w:val="clear" w:color="auto" w:fill="FFFFFF"/>
          <w:lang w:eastAsia="zh-CN"/>
        </w:rPr>
        <w:t>减少公共卫生经费</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较年初预算数增加570.29万元，增长176.3%。主要原因是</w:t>
      </w:r>
      <w:r>
        <w:rPr>
          <w:rFonts w:hint="default" w:ascii="Times New Roman" w:hAnsi="Times New Roman" w:eastAsia="方正仿宋_GBK" w:cs="Times New Roman"/>
          <w:color w:val="auto"/>
          <w:sz w:val="32"/>
          <w:szCs w:val="32"/>
          <w:shd w:val="clear" w:color="auto" w:fill="FFFFFF"/>
          <w:lang w:eastAsia="zh-CN"/>
        </w:rPr>
        <w:t>年中追加公共卫生等项目经费。</w:t>
      </w:r>
      <w:r>
        <w:rPr>
          <w:rFonts w:hint="default" w:ascii="Times New Roman" w:hAnsi="Times New Roman" w:eastAsia="方正仿宋_GBK" w:cs="Times New Roman"/>
          <w:color w:val="auto"/>
          <w:sz w:val="32"/>
          <w:szCs w:val="32"/>
          <w:shd w:val="clear" w:color="auto" w:fill="FFFFFF"/>
        </w:rPr>
        <w:t>此外，年初财政拨</w:t>
      </w:r>
      <w:r>
        <w:rPr>
          <w:rFonts w:hint="default" w:ascii="Times New Roman" w:hAnsi="Times New Roman" w:eastAsia="方正仿宋_GBK" w:cs="Times New Roman"/>
          <w:sz w:val="32"/>
          <w:szCs w:val="32"/>
          <w:shd w:val="clear" w:color="auto" w:fill="FFFFFF"/>
        </w:rPr>
        <w:t>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CB11690">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893.86</w:t>
      </w:r>
      <w:r>
        <w:rPr>
          <w:rFonts w:hint="default" w:ascii="Times New Roman" w:hAnsi="Times New Roman" w:eastAsia="方正仿宋_GBK" w:cs="Times New Roman"/>
          <w:sz w:val="32"/>
          <w:szCs w:val="32"/>
          <w:shd w:val="clear" w:color="auto" w:fill="FFFFFF"/>
        </w:rPr>
        <w:t>万元，与2023年度相比，减少193.91万元，下降17.8%。主要原因是</w:t>
      </w:r>
      <w:r>
        <w:rPr>
          <w:rFonts w:hint="default" w:ascii="Times New Roman" w:hAnsi="Times New Roman" w:eastAsia="方正仿宋_GBK" w:cs="Times New Roman"/>
          <w:color w:val="auto"/>
          <w:sz w:val="32"/>
          <w:szCs w:val="32"/>
          <w:shd w:val="clear" w:color="auto" w:fill="FFFFFF"/>
          <w:lang w:eastAsia="zh-CN"/>
        </w:rPr>
        <w:t>减少公共卫生经费。</w:t>
      </w:r>
      <w:r>
        <w:rPr>
          <w:rFonts w:hint="default" w:ascii="Times New Roman" w:hAnsi="Times New Roman" w:eastAsia="方正仿宋_GBK" w:cs="Times New Roman"/>
          <w:sz w:val="32"/>
          <w:szCs w:val="32"/>
          <w:shd w:val="clear" w:color="auto" w:fill="FFFFFF"/>
        </w:rPr>
        <w:t>较年初预算数增加570.29万元，增长176.3%。主要原因是</w:t>
      </w:r>
      <w:r>
        <w:rPr>
          <w:rFonts w:hint="default" w:ascii="Times New Roman" w:hAnsi="Times New Roman" w:eastAsia="方正仿宋_GBK" w:cs="Times New Roman"/>
          <w:color w:val="auto"/>
          <w:sz w:val="32"/>
          <w:szCs w:val="32"/>
          <w:shd w:val="clear" w:color="auto" w:fill="FFFFFF"/>
          <w:lang w:eastAsia="zh-CN"/>
        </w:rPr>
        <w:t>年中追加公共卫生等项目经费。</w:t>
      </w:r>
    </w:p>
    <w:p w14:paraId="4290F74C">
      <w:pPr>
        <w:pStyle w:val="1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shd w:val="clear" w:fill="FFFFFF"/>
        </w:rPr>
        <w:t>与上年持平。</w:t>
      </w:r>
    </w:p>
    <w:p w14:paraId="5DC1B114">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41E48823">
      <w:pPr>
        <w:pStyle w:val="17"/>
        <w:keepNext w:val="0"/>
        <w:keepLines w:val="0"/>
        <w:pageBreakBefore w:val="0"/>
        <w:widowControl/>
        <w:shd w:val="clear"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189.08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21.15</w:t>
      </w:r>
      <w:r>
        <w:rPr>
          <w:rFonts w:hint="default" w:ascii="Times New Roman" w:hAnsi="Times New Roman" w:eastAsia="方正仿宋_GBK" w:cs="Times New Roman"/>
          <w:sz w:val="32"/>
          <w:szCs w:val="32"/>
          <w:shd w:val="clear" w:color="auto" w:fill="FFFFFF"/>
        </w:rPr>
        <w:t>%，较年初预算数增加19.81万元，增长11.7%，主要原因是</w:t>
      </w:r>
      <w:r>
        <w:rPr>
          <w:rFonts w:hint="default" w:ascii="Times New Roman" w:hAnsi="Times New Roman" w:eastAsia="方正仿宋_GBK" w:cs="Times New Roman"/>
          <w:kern w:val="0"/>
          <w:sz w:val="32"/>
          <w:szCs w:val="32"/>
          <w:shd w:val="clear" w:fill="FFFFFF"/>
        </w:rPr>
        <w:t>政策性调资。</w:t>
      </w:r>
    </w:p>
    <w:p w14:paraId="0F7E6D4E">
      <w:pPr>
        <w:pStyle w:val="17"/>
        <w:keepNext w:val="0"/>
        <w:keepLines w:val="0"/>
        <w:pageBreakBefore w:val="0"/>
        <w:widowControl/>
        <w:shd w:val="clear"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700.38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78.35</w:t>
      </w:r>
      <w:r>
        <w:rPr>
          <w:rFonts w:hint="default" w:ascii="Times New Roman" w:hAnsi="Times New Roman" w:eastAsia="方正仿宋_GBK" w:cs="Times New Roman"/>
          <w:sz w:val="32"/>
          <w:szCs w:val="32"/>
          <w:shd w:val="clear" w:color="auto" w:fill="FFFFFF"/>
        </w:rPr>
        <w:t>%，较年初预算数增加549.64万元，增长364.6%，主要原因是</w:t>
      </w:r>
      <w:r>
        <w:rPr>
          <w:rFonts w:hint="default" w:ascii="Times New Roman" w:hAnsi="Times New Roman" w:eastAsia="方正仿宋_GBK" w:cs="Times New Roman"/>
          <w:color w:val="auto"/>
          <w:sz w:val="32"/>
          <w:szCs w:val="32"/>
          <w:shd w:val="clear" w:color="auto" w:fill="FFFFFF"/>
          <w:lang w:eastAsia="zh-CN"/>
        </w:rPr>
        <w:t>追加公共卫生等项目经费。</w:t>
      </w:r>
    </w:p>
    <w:p w14:paraId="524323AB">
      <w:pPr>
        <w:keepNext w:val="0"/>
        <w:keepLines w:val="0"/>
        <w:pageBreakBefore w:val="0"/>
        <w:widowControl/>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住房保障支出4.41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0.49</w:t>
      </w:r>
      <w:r>
        <w:rPr>
          <w:rFonts w:hint="default" w:ascii="Times New Roman" w:hAnsi="Times New Roman" w:eastAsia="方正仿宋_GBK" w:cs="Times New Roman"/>
          <w:sz w:val="32"/>
          <w:szCs w:val="32"/>
          <w:shd w:val="clear" w:color="auto" w:fill="FFFFFF"/>
        </w:rPr>
        <w:t>%，较年初预算数增加0.86万元，增长24.2%，主要原因是</w:t>
      </w:r>
      <w:r>
        <w:rPr>
          <w:rFonts w:hint="default" w:ascii="Times New Roman" w:hAnsi="Times New Roman" w:eastAsia="方正仿宋_GBK" w:cs="Times New Roman"/>
          <w:kern w:val="0"/>
          <w:sz w:val="32"/>
          <w:szCs w:val="32"/>
          <w:shd w:val="clear" w:fill="FFFFFF"/>
        </w:rPr>
        <w:t>人员调整变动。</w:t>
      </w:r>
    </w:p>
    <w:p w14:paraId="5E4BD3D2">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textAlignment w:val="auto"/>
        <w:rPr>
          <w:rFonts w:hint="default" w:ascii="Times New Roman" w:hAnsi="Times New Roman" w:eastAsia="楷体" w:cs="Times New Roman"/>
          <w:b/>
          <w:bCs/>
          <w:sz w:val="32"/>
          <w:szCs w:val="32"/>
          <w:shd w:val="clear" w:color="auto" w:fill="FFFFFF"/>
        </w:rPr>
      </w:pPr>
    </w:p>
    <w:p w14:paraId="2BC4BA11">
      <w:pPr>
        <w:pStyle w:val="11"/>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4198A8E7">
      <w:pPr>
        <w:pStyle w:val="17"/>
        <w:keepNext w:val="0"/>
        <w:keepLines w:val="0"/>
        <w:pageBreakBefore w:val="0"/>
        <w:widowControl/>
        <w:shd w:val="clear" w:fill="FFFFFF"/>
        <w:kinsoku/>
        <w:wordWrap/>
        <w:overflowPunct/>
        <w:topLinePunct w:val="0"/>
        <w:autoSpaceDN/>
        <w:bidi w:val="0"/>
        <w:adjustRightInd/>
        <w:spacing w:before="0" w:beforeAutospacing="0" w:after="0" w:afterAutospacing="0"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357.10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357.10</w:t>
      </w:r>
      <w:r>
        <w:rPr>
          <w:rFonts w:hint="default" w:ascii="Times New Roman" w:hAnsi="Times New Roman" w:eastAsia="方正仿宋_GBK" w:cs="Times New Roman"/>
          <w:sz w:val="32"/>
          <w:szCs w:val="32"/>
          <w:shd w:val="clear" w:color="auto" w:fill="FFFFFF"/>
        </w:rPr>
        <w:t>万元，与2023年度相比，增加7.81万元，增长2.2%，主要原因是</w:t>
      </w:r>
      <w:r>
        <w:rPr>
          <w:rFonts w:hint="default" w:ascii="Times New Roman" w:hAnsi="Times New Roman" w:eastAsia="方正仿宋_GBK" w:cs="Times New Roman"/>
          <w:kern w:val="0"/>
          <w:sz w:val="32"/>
          <w:szCs w:val="32"/>
          <w:shd w:val="clear" w:fill="FFFFFF"/>
        </w:rPr>
        <w:t>人员变动。人员经费用途主要包括基本工资、津贴补贴、社会保障缴费。</w:t>
      </w:r>
    </w:p>
    <w:p w14:paraId="3512FFF3">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1981C988">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Cs/>
          <w:kern w:val="0"/>
          <w:sz w:val="32"/>
          <w:szCs w:val="32"/>
          <w:shd w:val="clear" w:fill="FFFFFF"/>
        </w:rPr>
      </w:pPr>
      <w:r>
        <w:rPr>
          <w:rFonts w:hint="default" w:ascii="Times New Roman" w:hAnsi="Times New Roman" w:eastAsia="方正仿宋_GBK" w:cs="Times New Roman"/>
          <w:bCs/>
          <w:kern w:val="0"/>
          <w:sz w:val="32"/>
          <w:szCs w:val="32"/>
          <w:shd w:val="clear" w:fill="FFFFFF"/>
        </w:rPr>
        <w:t>本单位202</w:t>
      </w:r>
      <w:r>
        <w:rPr>
          <w:rFonts w:hint="default" w:ascii="Times New Roman" w:hAnsi="Times New Roman" w:eastAsia="方正仿宋_GBK" w:cs="Times New Roman"/>
          <w:bCs/>
          <w:kern w:val="0"/>
          <w:sz w:val="32"/>
          <w:szCs w:val="32"/>
          <w:shd w:val="clear" w:fill="FFFFFF"/>
          <w:lang w:val="en-US" w:eastAsia="zh-CN"/>
        </w:rPr>
        <w:t>4</w:t>
      </w:r>
      <w:r>
        <w:rPr>
          <w:rFonts w:hint="default" w:ascii="Times New Roman" w:hAnsi="Times New Roman" w:eastAsia="方正仿宋_GBK" w:cs="Times New Roman"/>
          <w:bCs/>
          <w:kern w:val="0"/>
          <w:sz w:val="32"/>
          <w:szCs w:val="32"/>
          <w:shd w:val="clear" w:fill="FFFFFF"/>
        </w:rPr>
        <w:t>年度无政府性基金预算财政拨款收支。</w:t>
      </w:r>
    </w:p>
    <w:p w14:paraId="76487232">
      <w:pPr>
        <w:pStyle w:val="11"/>
        <w:keepNext w:val="0"/>
        <w:keepLines w:val="0"/>
        <w:pageBreakBefore w:val="0"/>
        <w:widowControl/>
        <w:numPr>
          <w:ilvl w:val="0"/>
          <w:numId w:val="2"/>
        </w:numPr>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国有资本经营预算财政拨款支出决算情况说明</w:t>
      </w:r>
    </w:p>
    <w:p w14:paraId="3DA210F3">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本单位202</w:t>
      </w:r>
      <w:r>
        <w:rPr>
          <w:rFonts w:hint="default"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年度无国有资本经营预算财政拨款支出。</w:t>
      </w:r>
    </w:p>
    <w:p w14:paraId="10EE5EF7">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三、财政拨款“三公”经费情况说明</w:t>
      </w:r>
    </w:p>
    <w:p w14:paraId="7998CDCA">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4D237977">
      <w:pPr>
        <w:pStyle w:val="12"/>
        <w:keepNext w:val="0"/>
        <w:keepLines w:val="0"/>
        <w:pageBreakBefore w:val="0"/>
        <w:widowControl/>
        <w:kinsoku/>
        <w:wordWrap/>
        <w:overflowPunct/>
        <w:topLinePunct w:val="0"/>
        <w:autoSpaceDN/>
        <w:bidi w:val="0"/>
        <w:adjustRightInd/>
        <w:snapToGrid w:val="0"/>
        <w:spacing w:before="0" w:beforeAutospacing="0" w:after="0" w:afterAutospacing="0" w:line="594" w:lineRule="exact"/>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 xml:space="preserve"> </w:t>
      </w:r>
      <w:r>
        <w:rPr>
          <w:rFonts w:hint="default" w:ascii="Times New Roman" w:hAnsi="Times New Roman" w:eastAsia="方正仿宋_GBK" w:cs="Times New Roman"/>
          <w:kern w:val="0"/>
          <w:sz w:val="32"/>
          <w:szCs w:val="32"/>
          <w:shd w:val="clear" w:fill="FFFFFF"/>
          <w:lang w:val="en-US" w:eastAsia="zh-CN"/>
        </w:rPr>
        <w:t xml:space="preserve">  </w:t>
      </w:r>
      <w:r>
        <w:rPr>
          <w:rFonts w:hint="default" w:ascii="Times New Roman" w:hAnsi="Times New Roman" w:eastAsia="方正仿宋_GBK" w:cs="Times New Roman"/>
          <w:kern w:val="0"/>
          <w:sz w:val="32"/>
          <w:szCs w:val="32"/>
          <w:shd w:val="clear" w:fill="FFFFFF"/>
        </w:rPr>
        <w:t xml:space="preserve"> 本单位属于差额拨款单位，财政未保障我单位“三公”经费。</w:t>
      </w:r>
    </w:p>
    <w:p w14:paraId="12699755">
      <w:pPr>
        <w:pStyle w:val="11"/>
        <w:keepNext w:val="0"/>
        <w:keepLines w:val="0"/>
        <w:pageBreakBefore w:val="0"/>
        <w:widowControl/>
        <w:numPr>
          <w:ilvl w:val="0"/>
          <w:numId w:val="3"/>
        </w:numPr>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“三公”经费分项支出情况</w:t>
      </w:r>
    </w:p>
    <w:p w14:paraId="25520BEE">
      <w:pPr>
        <w:pStyle w:val="17"/>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本单位202</w:t>
      </w:r>
      <w:r>
        <w:rPr>
          <w:rFonts w:hint="default"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年度无因公出国（境）费用，较上年决算数和年初预算数持平。</w:t>
      </w:r>
    </w:p>
    <w:p w14:paraId="43049C77">
      <w:pPr>
        <w:pStyle w:val="17"/>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本单位202</w:t>
      </w:r>
      <w:r>
        <w:rPr>
          <w:rFonts w:hint="default"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年度无公务车购置费，较上年决算数和年初预算数持平。</w:t>
      </w:r>
    </w:p>
    <w:p w14:paraId="7792867D">
      <w:pPr>
        <w:pStyle w:val="17"/>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 xml:space="preserve">    本单位202</w:t>
      </w:r>
      <w:r>
        <w:rPr>
          <w:rFonts w:hint="default"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年度无公务车运行维护费，较上年决算数和年初预算数持平。</w:t>
      </w:r>
    </w:p>
    <w:p w14:paraId="0D13F038">
      <w:pPr>
        <w:pStyle w:val="17"/>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594" w:lineRule="exac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kern w:val="0"/>
          <w:sz w:val="32"/>
          <w:szCs w:val="32"/>
          <w:shd w:val="clear" w:fill="FFFFFF"/>
        </w:rPr>
        <w:t xml:space="preserve">    本单位202</w:t>
      </w:r>
      <w:r>
        <w:rPr>
          <w:rFonts w:hint="default"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年度无公务接待费，较上年决算数和年初预算数持平。</w:t>
      </w:r>
    </w:p>
    <w:p w14:paraId="241D950E">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73A1D34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1EB1EDD7">
      <w:pPr>
        <w:pStyle w:val="6"/>
        <w:keepNext w:val="0"/>
        <w:keepLines w:val="0"/>
        <w:pageBreakBefore w:val="0"/>
        <w:widowControl/>
        <w:numPr>
          <w:ilvl w:val="0"/>
          <w:numId w:val="4"/>
        </w:numPr>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其他需要说明的事项</w:t>
      </w:r>
    </w:p>
    <w:p w14:paraId="085123CE">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 xml:space="preserve"> （一）财政拨款会议费和培训费情况说明</w:t>
      </w:r>
    </w:p>
    <w:p w14:paraId="77120CA5">
      <w:pPr>
        <w:pStyle w:val="12"/>
        <w:keepNext w:val="0"/>
        <w:keepLines w:val="0"/>
        <w:pageBreakBefore w:val="0"/>
        <w:widowControl/>
        <w:shd w:val="clear"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r>
        <w:rPr>
          <w:rFonts w:hint="default" w:ascii="Times New Roman" w:hAnsi="Times New Roman" w:eastAsia="方正仿宋_GBK" w:cs="Times New Roman"/>
          <w:kern w:val="0"/>
          <w:sz w:val="32"/>
          <w:szCs w:val="32"/>
          <w:shd w:val="clear" w:fill="FFFFFF"/>
        </w:rPr>
        <w:t>主要原因是本单位属于差额拨款单位，财政未保障我单位会议费和培训费。</w:t>
      </w:r>
    </w:p>
    <w:p w14:paraId="556F4958">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4CD2FC07">
      <w:pPr>
        <w:pStyle w:val="17"/>
        <w:keepNext w:val="0"/>
        <w:keepLines w:val="0"/>
        <w:pageBreakBefore w:val="0"/>
        <w:widowControl/>
        <w:shd w:val="clear" w:fill="FFFFFF"/>
        <w:kinsoku/>
        <w:wordWrap/>
        <w:overflowPunct/>
        <w:topLinePunct w:val="0"/>
        <w:autoSpaceDN/>
        <w:bidi w:val="0"/>
        <w:adjustRightInd/>
        <w:spacing w:before="0" w:beforeAutospacing="0" w:after="0" w:afterAutospacing="0"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万元，机关运行经费较上年支出数无增减，主要原因是</w:t>
      </w:r>
      <w:r>
        <w:rPr>
          <w:rStyle w:val="18"/>
          <w:rFonts w:hint="default" w:ascii="Times New Roman" w:hAnsi="Times New Roman" w:eastAsia="方正仿宋_GBK" w:cs="Times New Roman"/>
          <w:b w:val="0"/>
          <w:bCs w:val="0"/>
          <w:sz w:val="32"/>
          <w:szCs w:val="32"/>
          <w:shd w:val="clear" w:fill="FFFFFF"/>
        </w:rPr>
        <w:t>按照部门决算列报口径，我单位不在机关运行经费统计范围之内。</w:t>
      </w:r>
    </w:p>
    <w:p w14:paraId="2E5E867D">
      <w:pPr>
        <w:pStyle w:val="11"/>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222192A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4493425">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p>
    <w:p w14:paraId="0329B95C">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7025F7E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2024年度我单位未发生政府采购事项，无相关经费支出。</w:t>
      </w:r>
    </w:p>
    <w:p w14:paraId="1B74D4A6">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五、2024年度预算绩效管理情况说明</w:t>
      </w:r>
    </w:p>
    <w:p w14:paraId="066F05A5">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02721E15">
      <w:pPr>
        <w:pStyle w:val="1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个项目开展了绩效自评，涉及资金</w:t>
      </w:r>
      <w:r>
        <w:rPr>
          <w:rFonts w:hint="default" w:ascii="Times New Roman" w:hAnsi="Times New Roman" w:eastAsia="方正仿宋_GBK" w:cs="Times New Roman"/>
          <w:sz w:val="32"/>
          <w:szCs w:val="32"/>
          <w:lang w:val="en-US" w:eastAsia="zh-CN"/>
        </w:rPr>
        <w:t>536.76</w:t>
      </w:r>
      <w:r>
        <w:rPr>
          <w:rFonts w:hint="default" w:ascii="Times New Roman" w:hAnsi="Times New Roman" w:eastAsia="方正仿宋_GBK" w:cs="Times New Roman"/>
          <w:sz w:val="32"/>
          <w:szCs w:val="32"/>
        </w:rPr>
        <w:t>万元。</w:t>
      </w:r>
    </w:p>
    <w:p w14:paraId="43AF2358">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 xml:space="preserve">  </w:t>
      </w:r>
      <w:r>
        <w:rPr>
          <w:rStyle w:val="13"/>
          <w:rFonts w:hint="eastAsia" w:ascii="方正黑体_GBK" w:hAnsi="方正黑体_GBK" w:eastAsia="方正黑体_GBK" w:cs="方正黑体_GBK"/>
          <w:b w:val="0"/>
          <w:bCs w:val="0"/>
          <w:sz w:val="32"/>
          <w:szCs w:val="32"/>
          <w:shd w:val="clear" w:color="auto" w:fill="FFFFFF"/>
        </w:rPr>
        <w:t xml:space="preserve"> </w:t>
      </w:r>
      <w:r>
        <w:rPr>
          <w:rStyle w:val="10"/>
          <w:rFonts w:hint="eastAsia" w:ascii="方正黑体_GBK" w:hAnsi="方正黑体_GBK" w:eastAsia="方正黑体_GBK" w:cs="方正黑体_GBK"/>
          <w:b w:val="0"/>
          <w:bCs w:val="0"/>
          <w:sz w:val="32"/>
          <w:szCs w:val="32"/>
          <w:shd w:val="clear" w:color="auto" w:fill="FFFFFF"/>
        </w:rPr>
        <w:t xml:space="preserve"> 六、专业名词解释</w:t>
      </w:r>
    </w:p>
    <w:p w14:paraId="58B2145D">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2310125">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00589F36">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（三）</w:t>
      </w:r>
      <w:r>
        <w:rPr>
          <w:rStyle w:val="10"/>
          <w:rFonts w:hint="default" w:ascii="方正楷体_GBK" w:hAnsi="方正楷体_GBK" w:eastAsia="方正楷体_GBK" w:cs="方正楷体_GBK"/>
          <w:b w:val="0"/>
          <w:bCs/>
          <w:sz w:val="32"/>
          <w:szCs w:val="32"/>
          <w:shd w:val="clear" w:color="auto" w:fill="FFFFFF"/>
        </w:rPr>
        <w:t>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253E99FB">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6208E0B">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F95EF6C">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CA14034">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6299C571">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5C7A78E">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FC7DBCB">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85B61C7">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411A0C20">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22F88A">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仿宋_GBK" w:hAnsi="方正仿宋_GBK" w:eastAsia="方正仿宋_GBK" w:cs="方正仿宋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9CCD883">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85ADD47">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21BE0898">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01C4CEAA">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EF7815B">
      <w:pPr>
        <w:pStyle w:val="12"/>
        <w:keepNext w:val="0"/>
        <w:keepLines w:val="0"/>
        <w:pageBreakBefore w:val="0"/>
        <w:widowControl/>
        <w:numPr>
          <w:ilvl w:val="0"/>
          <w:numId w:val="5"/>
        </w:numPr>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14:paraId="0B620FE1">
      <w:pPr>
        <w:pStyle w:val="12"/>
        <w:keepNext w:val="0"/>
        <w:keepLines w:val="0"/>
        <w:pageBreakBefore w:val="0"/>
        <w:widowControl/>
        <w:numPr>
          <w:ilvl w:val="0"/>
          <w:numId w:val="0"/>
        </w:numP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333333"/>
          <w:kern w:val="0"/>
          <w:sz w:val="32"/>
          <w:szCs w:val="32"/>
          <w:shd w:val="clear" w:fill="FFFFFF"/>
        </w:rPr>
        <w:t>重庆市渝中区朝天门街道社区卫生服务中心，邮箱yzqwlmzx@126.com，联系电话：</w:t>
      </w:r>
      <w:r>
        <w:rPr>
          <w:rFonts w:hint="default" w:ascii="Times New Roman" w:hAnsi="Times New Roman" w:eastAsia="方正仿宋_GBK" w:cs="Times New Roman"/>
          <w:color w:val="333333"/>
          <w:kern w:val="0"/>
          <w:sz w:val="32"/>
          <w:szCs w:val="32"/>
          <w:shd w:val="clear" w:fill="FFFFFF"/>
          <w:lang w:val="en-US" w:eastAsia="zh-CN"/>
        </w:rPr>
        <w:t>023-</w:t>
      </w:r>
      <w:r>
        <w:rPr>
          <w:rFonts w:hint="default" w:ascii="Times New Roman" w:hAnsi="Times New Roman" w:eastAsia="方正仿宋_GBK" w:cs="Times New Roman"/>
          <w:color w:val="333333"/>
          <w:kern w:val="0"/>
          <w:sz w:val="32"/>
          <w:szCs w:val="32"/>
          <w:shd w:val="clear" w:fill="FFFFFF"/>
        </w:rPr>
        <w:t>63919540。</w:t>
      </w:r>
      <w:r>
        <w:rPr>
          <w:rFonts w:hint="default" w:ascii="Times New Roman" w:hAnsi="Times New Roman" w:eastAsia="方正仿宋_GBK" w:cs="Times New Roman"/>
          <w:kern w:val="0"/>
          <w:sz w:val="32"/>
          <w:szCs w:val="32"/>
          <w:shd w:val="clear" w:fill="FFFFFF"/>
        </w:rPr>
        <w:t xml:space="preserve"> </w:t>
      </w:r>
    </w:p>
    <w:p w14:paraId="40E9A9CC">
      <w:pPr>
        <w:pStyle w:val="12"/>
        <w:spacing w:before="0" w:beforeAutospacing="0" w:after="0" w:afterAutospacing="0" w:line="596" w:lineRule="exact"/>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p w14:paraId="59D4A836">
      <w:pPr>
        <w:rPr>
          <w:rFonts w:hint="default" w:ascii="Times New Roman" w:hAnsi="Times New Roman" w:cs="Times New Roman"/>
          <w:sz w:val="18"/>
          <w:szCs w:val="18"/>
        </w:rPr>
      </w:pP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C700">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8533797">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FCA8">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EB4C79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75B53A2">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23C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2AC59"/>
    <w:multiLevelType w:val="singleLevel"/>
    <w:tmpl w:val="9C32AC59"/>
    <w:lvl w:ilvl="0" w:tentative="0">
      <w:start w:val="4"/>
      <w:numFmt w:val="chineseCounting"/>
      <w:suff w:val="nothing"/>
      <w:lvlText w:val="%1、"/>
      <w:lvlJc w:val="left"/>
      <w:rPr>
        <w:rFonts w:hint="eastAsia"/>
      </w:rPr>
    </w:lvl>
  </w:abstractNum>
  <w:abstractNum w:abstractNumId="1">
    <w:nsid w:val="1B2CE524"/>
    <w:multiLevelType w:val="singleLevel"/>
    <w:tmpl w:val="1B2CE524"/>
    <w:lvl w:ilvl="0" w:tentative="0">
      <w:start w:val="6"/>
      <w:numFmt w:val="chineseCounting"/>
      <w:suff w:val="nothing"/>
      <w:lvlText w:val="（%1）"/>
      <w:lvlJc w:val="left"/>
      <w:rPr>
        <w:rFonts w:hint="eastAsia"/>
      </w:rPr>
    </w:lvl>
  </w:abstractNum>
  <w:abstractNum w:abstractNumId="2">
    <w:nsid w:val="3C83C937"/>
    <w:multiLevelType w:val="singleLevel"/>
    <w:tmpl w:val="3C83C937"/>
    <w:lvl w:ilvl="0" w:tentative="0">
      <w:start w:val="2"/>
      <w:numFmt w:val="chineseCounting"/>
      <w:suff w:val="nothing"/>
      <w:lvlText w:val="（%1）"/>
      <w:lvlJc w:val="left"/>
      <w:rPr>
        <w:rFonts w:hint="eastAsia"/>
      </w:rPr>
    </w:lvl>
  </w:abstractNum>
  <w:abstractNum w:abstractNumId="3">
    <w:nsid w:val="505B1320"/>
    <w:multiLevelType w:val="singleLevel"/>
    <w:tmpl w:val="505B1320"/>
    <w:lvl w:ilvl="0" w:tentative="0">
      <w:start w:val="2"/>
      <w:numFmt w:val="chineseCounting"/>
      <w:suff w:val="nothing"/>
      <w:lvlText w:val="（%1）"/>
      <w:lvlJc w:val="left"/>
      <w:rPr>
        <w:rFonts w:hint="eastAsia"/>
      </w:rPr>
    </w:lvl>
  </w:abstractNum>
  <w:abstractNum w:abstractNumId="4">
    <w:nsid w:val="5BD8C145"/>
    <w:multiLevelType w:val="singleLevel"/>
    <w:tmpl w:val="5BD8C145"/>
    <w:lvl w:ilvl="0" w:tentative="0">
      <w:start w:val="7"/>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UyZTY1MWFhODZhODdkZGEzZThiOTQyNmRkM2ZkZG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8C534CA"/>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0A650B"/>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DD675C"/>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8E24B9"/>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autoRedefine/>
    <w:qFormat/>
    <w:uiPriority w:val="0"/>
    <w:pP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autoRedefine/>
    <w:unhideWhenUsed/>
    <w:qFormat/>
    <w:uiPriority w:val="0"/>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autoRedefine/>
    <w:qFormat/>
    <w:uiPriority w:val="0"/>
    <w:rPr>
      <w:b/>
    </w:rPr>
  </w:style>
  <w:style w:type="paragraph" w:customStyle="1" w:styleId="11">
    <w:name w:val="列出段落1"/>
    <w:basedOn w:val="1"/>
    <w:autoRedefine/>
    <w:qFormat/>
    <w:uiPriority w:val="99"/>
    <w:pPr>
      <w:ind w:firstLine="420" w:firstLineChars="200"/>
    </w:pPr>
    <w:rPr>
      <w:rFonts w:hint="default"/>
    </w:rPr>
  </w:style>
  <w:style w:type="paragraph" w:customStyle="1" w:styleId="12">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autoRedefine/>
    <w:qFormat/>
    <w:uiPriority w:val="0"/>
    <w:rPr>
      <w:rFonts w:hint="default" w:ascii="Wingdings" w:hAnsi="Wingdings" w:cs="Wingdings"/>
      <w:b/>
      <w:bCs/>
    </w:rPr>
  </w:style>
  <w:style w:type="paragraph" w:customStyle="1" w:styleId="14">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autoRedefine/>
    <w:qFormat/>
    <w:uiPriority w:val="0"/>
    <w:rPr>
      <w:rFonts w:ascii="宋体" w:hAnsi="宋体"/>
      <w:sz w:val="18"/>
      <w:szCs w:val="18"/>
    </w:rPr>
  </w:style>
  <w:style w:type="paragraph" w:customStyle="1" w:styleId="16">
    <w:name w:val="列出段落3"/>
    <w:basedOn w:val="1"/>
    <w:autoRedefine/>
    <w:qFormat/>
    <w:uiPriority w:val="99"/>
    <w:pPr>
      <w:ind w:firstLine="420" w:firstLineChars="200"/>
    </w:pPr>
  </w:style>
  <w:style w:type="paragraph" w:customStyle="1" w:styleId="17">
    <w:name w:val="p Char"/>
    <w:basedOn w:val="1"/>
    <w:autoRedefine/>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8">
    <w:name w:val="20"/>
    <w:basedOn w:val="9"/>
    <w:autoRedefine/>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4222</Words>
  <Characters>4695</Characters>
  <Lines>186</Lines>
  <Paragraphs>52</Paragraphs>
  <TotalTime>193</TotalTime>
  <ScaleCrop>false</ScaleCrop>
  <LinksUpToDate>false</LinksUpToDate>
  <CharactersWithSpaces>4758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2025-10-14T02:59:20Z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