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1"/>
      </w:pPr>
      <w:r>
        <w:rPr>
          <w:rFonts w:hint="eastAsia"/>
        </w:rPr>
        <w:t>重庆市渝中区七星岗街道</w:t>
      </w:r>
      <w:r>
        <w:t>社区卫生</w:t>
      </w:r>
      <w:r>
        <w:rPr>
          <w:rFonts w:hint="eastAsia"/>
        </w:rPr>
        <w:t>服务</w:t>
      </w:r>
      <w:r>
        <w:t>中心</w:t>
      </w:r>
      <w:r>
        <w:rPr>
          <w:rFonts w:hint="eastAsia"/>
        </w:rPr>
        <w:t>20</w:t>
      </w:r>
      <w:r>
        <w:t>24</w:t>
      </w:r>
      <w:r>
        <w:rPr>
          <w:rFonts w:hint="eastAsia"/>
        </w:rPr>
        <w:t>年单位预算公开说明</w:t>
      </w:r>
    </w:p>
    <w:p/>
    <w:p>
      <w:pPr>
        <w:pStyle w:val="1"/>
        <w:numPr>
          <w:ilvl w:val="0"/>
          <w:numId w:val="1"/>
        </w:numPr>
        <w:ind w:firstLineChars="0"/>
      </w:pPr>
      <w:r>
        <w:rPr>
          <w:rFonts w:hint="eastAsia"/>
        </w:rPr>
        <w:t>单位基本情况</w:t>
      </w:r>
    </w:p>
    <w:p>
      <w:pPr>
        <w:pStyle w:val="2"/>
      </w:pPr>
      <w:r>
        <w:rPr>
          <w:rFonts w:hint="eastAsia"/>
        </w:rPr>
        <w:t>（一）职能职责</w:t>
      </w:r>
    </w:p>
    <w:p>
      <w:r>
        <w:rPr>
          <w:rFonts w:hint="eastAsia"/>
        </w:rPr>
        <w:t>重庆市渝中区七星岗街道社区卫生服务中心为重庆市渝中区卫生健康委员会直属事业单位，是政府主办的集医疗、预防、保健、康复、养老、教学为一体的非</w:t>
      </w:r>
      <w:r>
        <w:t>营</w:t>
      </w:r>
      <w:bookmarkStart w:id="0" w:name="_GoBack"/>
      <w:bookmarkEnd w:id="0"/>
      <w:r>
        <w:rPr>
          <w:rFonts w:hint="eastAsia"/>
        </w:rPr>
        <w:t>利性基层医疗卫生机构，是重庆市示范社区卫生服务中心。主要职责是：1.贯彻执行国民健康和卫生健康事业发展的法规、规章、政策、标准；2.负责辖区内预防服务：包括传染病、非传染病和突发事件的防控。一是传染病的预防即社区一般病因预防、二级五早预防和三级预后康复预防。二是非传染病预防即一般危险因素预防、二级早期疾病干预、三级防残预防。三是突发事件的预防，是指隐藏在“健康人群”内的，且能突发严重卫生问题的监测预防；3.负责辖区内医疗服务：除在医院开展门诊和住院服务外，如中西医全科、康复科、妇科、儿童保健科、药剂科等医疗临床业务外，重要的是根据社区居民的需要，开展家庭治疗、家庭康复、临终关怀等医疗服务；4.负责辖区内保健服务：对社区居民进行保健合同制的管理，并定期进行健康保健管理；5.负责辖区内公共卫生服务：如65岁老年人健康体检、孕产妇随访、新生儿上门随访、儿童预防保健、家庭医生等项目；6.负责辖区内健康教育：卫生知识普及，个体和群体的健康服务，重点人员与重点场所健康教育，宣传健康行为和生活方式等；7.组织协调落实应对人口老龄化改革措施，负责推进辖区老年健康服务体系建设和医养结合工作，为辖区6万余人提供社区养老服务；8.完成上级单位交办的其他任务。</w:t>
      </w:r>
    </w:p>
    <w:p>
      <w:pPr>
        <w:pStyle w:val="2"/>
      </w:pPr>
      <w:r>
        <w:rPr>
          <w:rFonts w:hint="eastAsia"/>
        </w:rPr>
        <w:t>（二）单位</w:t>
      </w:r>
      <w:r>
        <w:t>构成</w:t>
      </w:r>
    </w:p>
    <w:p>
      <w:r>
        <w:rPr>
          <w:rFonts w:hint="eastAsia"/>
        </w:rPr>
        <w:t>中心内设1</w:t>
      </w:r>
      <w:r>
        <w:t>6</w:t>
      </w:r>
      <w:r>
        <w:rPr>
          <w:rFonts w:hint="eastAsia"/>
        </w:rPr>
        <w:t>个职能科室，行政办公室、护理部、公卫科、财务科、总务科、门诊治疗室、药剂科、保健科、检验科、住院部、医务科、B超室、中医康复科、妇科、放射科、儿科。</w:t>
      </w:r>
    </w:p>
    <w:p>
      <w:pPr>
        <w:pStyle w:val="1"/>
        <w:numPr>
          <w:ilvl w:val="0"/>
          <w:numId w:val="1"/>
        </w:numPr>
        <w:ind w:firstLineChars="0"/>
      </w:pPr>
      <w:r>
        <w:rPr>
          <w:rFonts w:hint="eastAsia"/>
        </w:rPr>
        <w:t>单位</w:t>
      </w:r>
      <w:r>
        <w:t>收支总体情况</w:t>
      </w:r>
    </w:p>
    <w:p>
      <w:r>
        <w:rPr>
          <w:rFonts w:ascii="方正楷体_GBK" w:eastAsia="方正楷体_GBK" w:cs="方正楷体_GBK" w:hint="eastAsia"/>
        </w:rPr>
        <w:t>（一）收入预算</w:t>
      </w:r>
      <w:r>
        <w:rPr>
          <w:rFonts w:hint="eastAsia"/>
        </w:rPr>
        <w:t>：2024年年初预算数</w:t>
      </w:r>
      <w:r>
        <w:t>2457.24</w:t>
      </w:r>
      <w:r>
        <w:rPr>
          <w:rFonts w:hint="eastAsia"/>
        </w:rPr>
        <w:t>万元，其中：</w:t>
      </w:r>
      <w:bookmarkStart w:id="1" w:name="_Hlk128642484"/>
      <w:r>
        <w:rPr>
          <w:rFonts w:hint="eastAsia"/>
        </w:rPr>
        <w:t>一般公共预算拨款</w:t>
      </w:r>
      <w:bookmarkEnd w:id="1"/>
      <w:r>
        <w:t>457.24</w:t>
      </w:r>
      <w:r>
        <w:rPr>
          <w:rFonts w:hint="eastAsia"/>
        </w:rPr>
        <w:t>万元，政府性基金预算拨款</w:t>
      </w:r>
      <w:r>
        <w:t>0</w:t>
      </w:r>
      <w:r>
        <w:rPr>
          <w:rFonts w:hint="eastAsia"/>
        </w:rPr>
        <w:t>万元，国有资本经营预算收入0万元，事业收入</w:t>
      </w:r>
      <w:r>
        <w:t>2,000.00</w:t>
      </w:r>
      <w:r>
        <w:rPr>
          <w:rFonts w:hint="eastAsia"/>
        </w:rPr>
        <w:t>万元，事业单位经营收入0万元，其他收入</w:t>
      </w:r>
      <w:r>
        <w:t>0</w:t>
      </w:r>
      <w:r>
        <w:rPr>
          <w:rFonts w:hint="eastAsia"/>
        </w:rPr>
        <w:t>万元。收入较2</w:t>
      </w:r>
      <w:r>
        <w:t>023</w:t>
      </w:r>
      <w:r>
        <w:rPr>
          <w:rFonts w:hint="eastAsia"/>
        </w:rPr>
        <w:t>年增加</w:t>
      </w:r>
      <w:r>
        <w:t>9.70</w:t>
      </w:r>
      <w:r>
        <w:rPr>
          <w:rFonts w:hint="eastAsia"/>
        </w:rPr>
        <w:t>万元，主要是一般公共预算拨款增加</w:t>
      </w:r>
      <w:r>
        <w:t>9.70</w:t>
      </w:r>
      <w:r>
        <w:rPr>
          <w:rFonts w:hint="eastAsia"/>
        </w:rPr>
        <w:t>万元。</w:t>
      </w:r>
    </w:p>
    <w:p>
      <w:pPr>
        <w:rPr>
          <w:rFonts w:ascii="仿宋_GB2312" w:eastAsia="仿宋_GB2312" w:cs="仿宋_GB2312"/>
          <w:color w:val="FF0000"/>
        </w:rPr>
      </w:pPr>
      <w:r>
        <w:rPr>
          <w:rFonts w:ascii="方正楷体_GBK" w:eastAsia="方正楷体_GBK" w:cs="方正楷体_GBK" w:hint="eastAsia"/>
        </w:rPr>
        <w:t>（二）支出预算</w:t>
      </w:r>
      <w:r>
        <w:rPr>
          <w:rFonts w:ascii="仿宋_GB2312" w:eastAsia="仿宋_GB2312" w:cs="仿宋_GB2312" w:hint="eastAsia"/>
        </w:rPr>
        <w:t>：</w:t>
      </w:r>
      <w:r>
        <w:rPr>
          <w:rFonts w:hint="eastAsia"/>
        </w:rPr>
        <w:t>2024年年初预算数</w:t>
      </w:r>
      <w:r>
        <w:t>2,457.24</w:t>
      </w:r>
      <w:r>
        <w:rPr>
          <w:rFonts w:hint="eastAsia"/>
        </w:rPr>
        <w:t>万元，其中：社会保障和就业支出</w:t>
      </w:r>
      <w:r>
        <w:t>254.32</w:t>
      </w:r>
      <w:r>
        <w:rPr>
          <w:rFonts w:hint="eastAsia"/>
        </w:rPr>
        <w:t>万元，卫生健康支出</w:t>
      </w:r>
      <w:r>
        <w:t>2,198.47</w:t>
      </w:r>
      <w:r>
        <w:rPr>
          <w:rFonts w:hint="eastAsia"/>
        </w:rPr>
        <w:t>万元，住房保障支出</w:t>
      </w:r>
      <w:r>
        <w:t>4.45</w:t>
      </w:r>
      <w:r>
        <w:rPr>
          <w:rFonts w:hint="eastAsia"/>
        </w:rPr>
        <w:t>万元。支出较2</w:t>
      </w:r>
      <w:r>
        <w:t>023</w:t>
      </w:r>
      <w:r>
        <w:rPr>
          <w:rFonts w:hint="eastAsia"/>
        </w:rPr>
        <w:t>年增加</w:t>
      </w:r>
      <w:bookmarkStart w:id="2" w:name="_Hlk159317085"/>
      <w:r>
        <w:t>9.70</w:t>
      </w:r>
      <w:bookmarkEnd w:id="2"/>
      <w:r>
        <w:rPr>
          <w:rFonts w:hint="eastAsia"/>
        </w:rPr>
        <w:t>万元，主要是基本支出增加</w:t>
      </w:r>
      <w:r>
        <w:t>9.70</w:t>
      </w:r>
      <w:r>
        <w:rPr>
          <w:rFonts w:hint="eastAsia"/>
        </w:rPr>
        <w:t>万元。</w:t>
      </w:r>
    </w:p>
    <w:p>
      <w:pPr>
        <w:pStyle w:val="1"/>
        <w:numPr>
          <w:ilvl w:val="0"/>
          <w:numId w:val="1"/>
        </w:numPr>
        <w:ind w:firstLineChars="0"/>
      </w:pPr>
      <w:r>
        <w:rPr>
          <w:rFonts w:hint="eastAsia"/>
        </w:rPr>
        <w:t>单位预算情况说明</w:t>
      </w:r>
    </w:p>
    <w:p>
      <w:r>
        <w:rPr>
          <w:rFonts w:hint="eastAsia"/>
        </w:rPr>
        <w:t>2024年一般公共预算财政拨款收入</w:t>
      </w:r>
      <w:r>
        <w:t>457.24</w:t>
      </w:r>
      <w:r>
        <w:rPr>
          <w:rFonts w:hint="eastAsia"/>
        </w:rPr>
        <w:t>万元，一般公共预算财政拨款支出</w:t>
      </w:r>
      <w:bookmarkStart w:id="3" w:name="_Hlk159317323"/>
      <w:r>
        <w:t>457.24</w:t>
      </w:r>
      <w:bookmarkEnd w:id="3"/>
      <w:r>
        <w:rPr>
          <w:rFonts w:hint="eastAsia"/>
        </w:rPr>
        <w:t>万元，比2023年增加</w:t>
      </w:r>
      <w:r>
        <w:t>9.70</w:t>
      </w:r>
      <w:r>
        <w:rPr>
          <w:rFonts w:hint="eastAsia"/>
        </w:rPr>
        <w:t>万元万元。其中：基本支出</w:t>
      </w:r>
      <w:r>
        <w:t>457.24</w:t>
      </w:r>
      <w:r>
        <w:rPr>
          <w:rFonts w:hint="eastAsia"/>
        </w:rPr>
        <w:t>万元，比2023年</w:t>
      </w:r>
      <w:bookmarkStart w:id="4" w:name="_Hlk128644060"/>
      <w:r>
        <w:rPr>
          <w:rFonts w:hint="eastAsia"/>
        </w:rPr>
        <w:t>增加</w:t>
      </w:r>
      <w:r>
        <w:t>9.70</w:t>
      </w:r>
      <w:r>
        <w:rPr>
          <w:rFonts w:hint="eastAsia"/>
        </w:rPr>
        <w:t>万元</w:t>
      </w:r>
      <w:bookmarkEnd w:id="4"/>
      <w:r>
        <w:rPr>
          <w:rFonts w:hint="eastAsia"/>
        </w:rPr>
        <w:t>，主要原因是政策性调资</w:t>
      </w:r>
      <w:r>
        <w:t>和人员变动</w:t>
      </w:r>
      <w:r>
        <w:rPr>
          <w:rFonts w:hint="eastAsia"/>
        </w:rPr>
        <w:t>，主要用于保障在职人员工资福利及社会保险缴费，离休人员离休费，退休人员补助等，保障单位正常运转的各项商品服务支出；项目支出</w:t>
      </w:r>
      <w:r>
        <w:t>0</w:t>
      </w:r>
      <w:r>
        <w:rPr>
          <w:rFonts w:hint="eastAsia"/>
        </w:rPr>
        <w:t>万元，与2023年持平，主要原因</w:t>
      </w:r>
      <w:r>
        <w:t>是</w:t>
      </w:r>
      <w:r>
        <w:rPr>
          <w:rFonts w:hint="eastAsia"/>
        </w:rPr>
        <w:t>部分项目上级资金尚未下达，需由上级部门根据进度按程序下达</w:t>
      </w:r>
      <w:r>
        <w:rPr>
          <w:rFonts w:hint="eastAsia"/>
          <w:color w:val="000000"/>
        </w:rPr>
        <w:t>，主要是增加社区药品零差率、分级诊疗、计生政策性扶助奖励等项目支出，主要用于基本公共卫生、重大公共卫生、基层医疗卫生机构等重点工作。</w:t>
      </w:r>
    </w:p>
    <w:p>
      <w:r>
        <w:rPr>
          <w:rFonts w:hint="eastAsia"/>
        </w:rPr>
        <w:t>重庆市渝中区七星岗街道社区卫生服务中心202</w:t>
      </w:r>
      <w:r>
        <w:t>4</w:t>
      </w:r>
      <w:r>
        <w:rPr>
          <w:rFonts w:hint="eastAsia"/>
        </w:rPr>
        <w:t>年无使用政府性基金预算拨款安排的支出</w:t>
      </w:r>
      <w:r>
        <w:t>。</w:t>
      </w:r>
    </w:p>
    <w:p>
      <w:pPr>
        <w:pStyle w:val="1"/>
        <w:numPr>
          <w:ilvl w:val="0"/>
          <w:numId w:val="1"/>
        </w:numPr>
        <w:ind w:firstLineChars="0"/>
      </w:pPr>
      <w:r>
        <w:rPr>
          <w:rFonts w:hint="eastAsia"/>
        </w:rPr>
        <w:t>“三公”经费情况说明</w:t>
      </w:r>
    </w:p>
    <w:p>
      <w:r>
        <w:rPr>
          <w:rFonts w:hint="eastAsia"/>
        </w:rPr>
        <w:t>2024年“三公”经费预算</w:t>
      </w:r>
      <w:r>
        <w:t>0</w:t>
      </w:r>
      <w:r>
        <w:rPr>
          <w:rFonts w:hint="eastAsia"/>
        </w:rPr>
        <w:t>万元，比2023年减少</w:t>
      </w:r>
      <w:r>
        <w:t>0</w:t>
      </w:r>
      <w:r>
        <w:rPr>
          <w:rFonts w:hint="eastAsia"/>
        </w:rPr>
        <w:t>万元。其中：因公出国（境）费用0万元，与2023年持平；公务接待费</w:t>
      </w:r>
      <w:r>
        <w:t>0</w:t>
      </w:r>
      <w:r>
        <w:rPr>
          <w:rFonts w:hint="eastAsia"/>
        </w:rPr>
        <w:t>万元，与2023年持平；公务用车运行维护费</w:t>
      </w:r>
      <w:r>
        <w:t>0</w:t>
      </w:r>
      <w:r>
        <w:rPr>
          <w:rFonts w:hint="eastAsia"/>
        </w:rPr>
        <w:t>万元，与2023年持平；公务用车购置费0万元，与2023年持平。</w:t>
      </w:r>
    </w:p>
    <w:p>
      <w:pPr>
        <w:pStyle w:val="1"/>
        <w:numPr>
          <w:ilvl w:val="0"/>
          <w:numId w:val="1"/>
        </w:numPr>
        <w:ind w:firstLineChars="0"/>
      </w:pPr>
      <w:r>
        <w:rPr>
          <w:rFonts w:hint="eastAsia"/>
        </w:rPr>
        <w:t>其他重要</w:t>
      </w:r>
      <w:r>
        <w:t>事项的情况说明</w:t>
      </w:r>
    </w:p>
    <w:p>
      <w:r>
        <w:rPr>
          <w:rFonts w:ascii="方正楷体_GBK" w:eastAsia="方正楷体_GBK" w:cs="方正楷体_GBK" w:hint="eastAsia"/>
        </w:rPr>
        <w:t>（一）机关运行经费</w:t>
      </w:r>
      <w:r>
        <w:rPr>
          <w:rFonts w:hint="eastAsia"/>
        </w:rPr>
        <w:t>。我单位不在机关运行经费统计范围之内。</w:t>
      </w:r>
    </w:p>
    <w:p>
      <w:r>
        <w:rPr>
          <w:rFonts w:ascii="方正楷体_GBK" w:eastAsia="方正楷体_GBK" w:cs="方正楷体_GBK" w:hint="eastAsia"/>
        </w:rPr>
        <w:t>（二）政府采购情况</w:t>
      </w:r>
      <w:r>
        <w:rPr>
          <w:rFonts w:hint="eastAsia"/>
        </w:rPr>
        <w:t>。</w:t>
      </w:r>
      <w:r>
        <w:t>所属各预算单位政府采购预</w:t>
      </w:r>
      <w:r>
        <w:rPr>
          <w:rFonts w:hint="eastAsia"/>
        </w:rPr>
        <w:t>算</w:t>
      </w:r>
      <w:r>
        <w:t>总额0</w:t>
      </w:r>
      <w:r>
        <w:rPr>
          <w:rFonts w:hint="eastAsia"/>
        </w:rPr>
        <w:t>万元：政府采购货物预算</w:t>
      </w:r>
      <w:r>
        <w:t>0</w:t>
      </w:r>
      <w:r>
        <w:rPr>
          <w:rFonts w:hint="eastAsia"/>
        </w:rPr>
        <w:t>万元、政府采购工程预算</w:t>
      </w:r>
      <w:r>
        <w:t>0</w:t>
      </w:r>
      <w:r>
        <w:rPr>
          <w:rFonts w:hint="eastAsia"/>
        </w:rPr>
        <w:t>万元、政府采购服务预算</w:t>
      </w:r>
      <w:r>
        <w:t>0</w:t>
      </w:r>
      <w:r>
        <w:rPr>
          <w:rFonts w:hint="eastAsia"/>
        </w:rPr>
        <w:t>万元；其中一般</w:t>
      </w:r>
      <w:r>
        <w:t>公</w:t>
      </w:r>
      <w:r>
        <w:rPr>
          <w:rFonts w:hint="eastAsia"/>
        </w:rPr>
        <w:t>共预算</w:t>
      </w:r>
      <w:r>
        <w:t>拨款政府采购0</w:t>
      </w:r>
      <w:r>
        <w:rPr>
          <w:rFonts w:hint="eastAsia"/>
        </w:rPr>
        <w:t>万元：政府采购货物预算</w:t>
      </w:r>
      <w:r>
        <w:t>0</w:t>
      </w:r>
      <w:r>
        <w:rPr>
          <w:rFonts w:hint="eastAsia"/>
        </w:rPr>
        <w:t>万元、政府采购工程预算</w:t>
      </w:r>
      <w:r>
        <w:t>0</w:t>
      </w:r>
      <w:r>
        <w:rPr>
          <w:rFonts w:hint="eastAsia"/>
        </w:rPr>
        <w:t>万元、政府采购服务预算</w:t>
      </w:r>
      <w:r>
        <w:t>0</w:t>
      </w:r>
      <w:r>
        <w:rPr>
          <w:rFonts w:hint="eastAsia"/>
        </w:rPr>
        <w:t>万元。</w:t>
      </w:r>
    </w:p>
    <w:p>
      <w:r>
        <w:rPr>
          <w:rFonts w:ascii="方正楷体_GBK" w:eastAsia="方正楷体_GBK" w:cs="方正楷体_GBK" w:hint="eastAsia"/>
        </w:rPr>
        <w:t>（三）绩效目标设置情况</w:t>
      </w:r>
      <w:r>
        <w:rPr>
          <w:rFonts w:hint="eastAsia"/>
        </w:rPr>
        <w:t>。2024年项目支出均实行了绩效目标管理，涉及一般公共预算财政拨款</w:t>
      </w:r>
      <w:r>
        <w:t>0</w:t>
      </w:r>
      <w:r>
        <w:rPr>
          <w:rFonts w:hint="eastAsia"/>
        </w:rPr>
        <w:t>万元。</w:t>
      </w:r>
    </w:p>
    <w:p>
      <w:r>
        <w:rPr>
          <w:rFonts w:ascii="方正楷体_GBK" w:eastAsia="方正楷体_GBK" w:cs="方正楷体_GBK" w:hint="eastAsia"/>
        </w:rPr>
        <w:t>（四）国有资产占有使用情况</w:t>
      </w:r>
      <w:r>
        <w:rPr>
          <w:rFonts w:hint="eastAsia"/>
        </w:rPr>
        <w:t>。截止2023年12月，单位共有车辆</w:t>
      </w:r>
      <w:r>
        <w:t>1</w:t>
      </w:r>
      <w:r>
        <w:rPr>
          <w:rFonts w:hint="eastAsia"/>
        </w:rPr>
        <w:t>辆，其中应急保障用车</w:t>
      </w:r>
      <w:r>
        <w:t>0</w:t>
      </w:r>
      <w:r>
        <w:rPr>
          <w:rFonts w:hint="eastAsia"/>
        </w:rPr>
        <w:t>辆、执勤执法用车</w:t>
      </w:r>
      <w:r>
        <w:t>0</w:t>
      </w:r>
      <w:r>
        <w:rPr>
          <w:rFonts w:hint="eastAsia"/>
        </w:rPr>
        <w:t>辆、特种专业技术用车</w:t>
      </w:r>
      <w:r>
        <w:t>1</w:t>
      </w:r>
      <w:r>
        <w:rPr>
          <w:rFonts w:hint="eastAsia"/>
        </w:rPr>
        <w:t>辆。2024年一般公共预算安排购置车辆0辆，其中一般公务用车0辆、执勤执法用车0辆。</w:t>
      </w:r>
    </w:p>
    <w:p>
      <w:pPr>
        <w:pStyle w:val="1"/>
        <w:numPr>
          <w:ilvl w:val="0"/>
          <w:numId w:val="1"/>
        </w:numPr>
        <w:ind w:firstLineChars="0"/>
      </w:pPr>
      <w:r>
        <w:rPr>
          <w:rFonts w:hint="eastAsia"/>
        </w:rPr>
        <w:t>专业性名词解释</w:t>
      </w:r>
    </w:p>
    <w:p>
      <w:r>
        <w:rPr>
          <w:rFonts w:ascii="方正楷体_GBK" w:eastAsia="方正楷体_GBK" w:cs="方正楷体_GBK" w:hint="eastAsia"/>
        </w:rPr>
        <w:t>（一）财政拨款收入</w:t>
      </w:r>
      <w:r>
        <w:rPr>
          <w:rFonts w:hint="eastAsia"/>
        </w:rPr>
        <w:t>：指本年度从本级财政部门取得的财政拨款，包括一般公共预算财政拨款和政府性基金预算财政拨款。</w:t>
      </w:r>
    </w:p>
    <w:p>
      <w:r>
        <w:rPr>
          <w:rFonts w:ascii="方正楷体_GBK" w:eastAsia="方正楷体_GBK" w:cs="方正楷体_GBK" w:hint="eastAsia"/>
        </w:rPr>
        <w:t>（二）其他收入</w:t>
      </w:r>
      <w:r>
        <w:rPr>
          <w:rFonts w:hint="eastAsia"/>
        </w:rPr>
        <w:t>：指单位取得的除“财政拨款收入”、“事业收入”、“经营收入”等以外的收入。</w:t>
      </w:r>
    </w:p>
    <w:p>
      <w:r>
        <w:rPr>
          <w:rFonts w:ascii="方正楷体_GBK" w:eastAsia="方正楷体_GBK" w:cs="方正楷体_GBK" w:hint="eastAsia"/>
        </w:rPr>
        <w:t>（三）基本支出</w:t>
      </w:r>
      <w:r>
        <w:rPr>
          <w:rFonts w:hint="eastAsia"/>
        </w:rPr>
        <w:t>：指为保障机构正常运转、完成日常工作任务而发生的人员经费和公用经费。</w:t>
      </w:r>
    </w:p>
    <w:p>
      <w:r>
        <w:rPr>
          <w:rFonts w:ascii="方正楷体_GBK" w:eastAsia="方正楷体_GBK" w:cs="方正楷体_GBK" w:hint="eastAsia"/>
        </w:rPr>
        <w:t>（四）项目支出</w:t>
      </w:r>
      <w:r>
        <w:rPr>
          <w:rFonts w:hint="eastAsia"/>
        </w:rPr>
        <w:t>：指在基本支出之外为完成特定行政任务和事业发展目标所发生的支出。</w:t>
      </w:r>
    </w:p>
    <w:p>
      <w:r>
        <w:rPr>
          <w:rFonts w:ascii="方正楷体_GBK" w:eastAsia="方正楷体_GBK" w:cs="方正楷体_GBK" w:hint="eastAsia"/>
        </w:rPr>
        <w:t>（五）“三公”经费</w:t>
      </w:r>
      <w:r>
        <w:rPr>
          <w:rFonts w:hint="eastAsi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cs="仿宋_GB2312"/>
          <w:b/>
        </w:rPr>
      </w:pPr>
      <w:r>
        <w:rPr>
          <w:rFonts w:cs="仿宋_GB2312" w:hint="eastAsia"/>
          <w:b/>
        </w:rPr>
        <w:t>单位预算公开联系人</w:t>
      </w:r>
      <w:r>
        <w:rPr>
          <w:rFonts w:cs="仿宋_GB2312"/>
          <w:b/>
        </w:rPr>
        <w:t>：</w:t>
      </w:r>
      <w:r>
        <w:rPr>
          <w:rFonts w:cs="仿宋_GB2312" w:hint="eastAsia"/>
          <w:b/>
        </w:rPr>
        <w:t xml:space="preserve">汪星 </w:t>
      </w:r>
      <w:r>
        <w:rPr>
          <w:rFonts w:cs="仿宋_GB2312"/>
          <w:b/>
        </w:rPr>
        <w:t xml:space="preserve">  </w:t>
      </w:r>
      <w:r>
        <w:rPr>
          <w:rFonts w:cs="仿宋_GB2312" w:hint="eastAsia"/>
          <w:b/>
        </w:rPr>
        <w:t>联系方式</w:t>
      </w:r>
      <w:r>
        <w:rPr>
          <w:rFonts w:cs="仿宋_GB2312"/>
          <w:b/>
        </w:rPr>
        <w:t>：</w:t>
      </w:r>
      <w:r>
        <w:rPr>
          <w:rFonts w:cs="仿宋_GB2312" w:hint="eastAsia"/>
          <w:b/>
        </w:rPr>
        <w:t>023-</w:t>
      </w:r>
      <w:r>
        <w:rPr>
          <w:rFonts w:cs="仿宋_GB2312"/>
          <w:b/>
        </w:rPr>
        <w:t>63526982</w:t>
      </w:r>
    </w:p>
    <w:sectPr>
      <w:headerReference w:type="first" r:id="rId2"/>
      <w:footerReference w:type="default" r:id="rId3"/>
      <w:footerReference w:type="even" r:id="rId4"/>
      <w:pgSz w:w="11906" w:h="16838"/>
      <w:pgMar w:top="1985" w:right="1446" w:bottom="1644" w:left="1446" w:header="851" w:footer="1474" w:gutter="0"/>
      <w:pgNumType w:fmt="numberInDash"/>
      <w:docGrid w:type="lines" w:linePitch="435"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方正楷体_GBK">
    <w:altName w:val="永中宋体"/>
    <w:panose1 w:val="00000000000000000000"/>
    <w:charset w:val="86"/>
    <w:family w:val="script"/>
    <w:pitch w:val="variable"/>
    <w:sig w:usb0="00000001" w:usb1="080E0000" w:usb2="00000010" w:usb3="00000000" w:csb0="00040000" w:csb1="00000000"/>
  </w:font>
  <w:font w:name="仿宋_GB2312">
    <w:altName w:val="仿宋"/>
    <w:panose1 w:val="00000000000000000000"/>
    <w:charset w:val="86"/>
    <w:family w:val="auto"/>
    <w:pitch w:val="variable"/>
    <w:sig w:usb0="00000000" w:usb1="00000000" w:usb2="00000000" w:usb3="00000000" w:csb0="00040001" w:csb1="00000000"/>
  </w:font>
  <w:font w:name="方正仿宋_GBK">
    <w:altName w:val="永中宋体"/>
    <w:panose1 w:val="00000000000000000000"/>
    <w:charset w:val="86"/>
    <w:family w:val="script"/>
    <w:pitch w:val="variable"/>
    <w:sig w:usb0="00000001" w:usb1="080E0000" w:usb2="0000001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方正黑体_GBK">
    <w:altName w:val="永中宋体"/>
    <w:panose1 w:val="00000000000000000000"/>
    <w:charset w:val="86"/>
    <w:family w:val="script"/>
    <w:pitch w:val="variable"/>
    <w:sig w:usb0="00000001" w:usb1="080E0000" w:usb2="00000010" w:usb3="00000000" w:csb0="00040000" w:csb1="00000000"/>
  </w:font>
  <w:font w:name="方正小标宋_GBK">
    <w:panose1 w:val="00000000000000000000"/>
    <w:charset w:val="86"/>
    <w:family w:val="script"/>
    <w:pitch w:val="variable"/>
    <w:sig w:usb0="00000001" w:usb1="080E0000" w:usb2="00000010" w:usb3="00000000" w:csb0="00040000" w:csb1="00000000"/>
  </w:font>
  <w:font w:name="Calibri">
    <w:altName w:val="DejaVu Sans"/>
    <w:panose1 w:val="00000000000000000000"/>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right"/>
      <w:rPr>
        <w:rFonts w:ascii="宋体" w:eastAsia="宋体" w:cs="Times New Roman"/>
        <w:sz w:val="28"/>
        <w:szCs w:val="28"/>
      </w:rPr>
    </w:pPr>
    <w:r>
      <w:rPr>
        <w:rFonts w:ascii="宋体" w:eastAsia="宋体" w:cs="Times New Roman"/>
        <w:sz w:val="28"/>
        <w:szCs w:val="28"/>
      </w:rPr>
      <w:fldChar w:fldCharType="begin"/>
    </w:r>
    <w:r>
      <w:rPr>
        <w:rFonts w:ascii="宋体" w:eastAsia="宋体" w:cs="Times New Roman"/>
        <w:sz w:val="28"/>
        <w:szCs w:val="28"/>
      </w:rPr>
      <w:instrText>PAGE   \* MERGEFORMAT</w:instrText>
    </w:r>
    <w:r>
      <w:rPr>
        <w:rFonts w:ascii="宋体" w:eastAsia="宋体" w:cs="Times New Roman"/>
        <w:sz w:val="28"/>
        <w:szCs w:val="28"/>
      </w:rPr>
      <w:fldChar w:fldCharType="separate"/>
    </w:r>
    <w:r>
      <w:rPr>
        <w:rFonts w:ascii="宋体" w:eastAsia="宋体" w:cs="Times New Roman"/>
        <w:sz w:val="28"/>
        <w:szCs w:val="28"/>
        <w:lang w:val="zh-CN"/>
      </w:rPr>
      <w:t>-</w:t>
    </w:r>
    <w:r>
      <w:rPr>
        <w:rFonts w:ascii="宋体" w:eastAsia="宋体" w:cs="Times New Roman"/>
        <w:sz w:val="28"/>
        <w:szCs w:val="28"/>
      </w:rPr>
      <w:t xml:space="preserve"> 1 -</w:t>
    </w:r>
    <w:r>
      <w:rPr>
        <w:rFonts w:ascii="宋体" w:eastAsia="宋体" w:cs="Times New Roman"/>
        <w:sz w:val="28"/>
        <w:szCs w:val="28"/>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rPr>
        <w:rFonts w:eastAsia="宋体" w:cs="Times New Roman"/>
        <w:sz w:val="28"/>
        <w:szCs w:val="28"/>
      </w:rPr>
    </w:pPr>
    <w:r>
      <w:rPr>
        <w:rFonts w:ascii="宋体" w:eastAsia="宋体" w:cs="Times New Roman"/>
        <w:sz w:val="28"/>
        <w:szCs w:val="28"/>
      </w:rPr>
      <w:fldChar w:fldCharType="begin"/>
    </w:r>
    <w:r>
      <w:rPr>
        <w:rFonts w:ascii="宋体" w:eastAsia="宋体" w:cs="Times New Roman"/>
        <w:sz w:val="28"/>
        <w:szCs w:val="28"/>
      </w:rPr>
      <w:instrText>PAGE   \* MERGEFORMAT</w:instrText>
    </w:r>
    <w:r>
      <w:rPr>
        <w:rFonts w:ascii="宋体" w:eastAsia="宋体" w:cs="Times New Roman"/>
        <w:sz w:val="28"/>
        <w:szCs w:val="28"/>
      </w:rPr>
      <w:fldChar w:fldCharType="separate"/>
    </w:r>
    <w:r>
      <w:rPr>
        <w:rFonts w:ascii="宋体" w:eastAsia="宋体" w:cs="Times New Roman"/>
        <w:sz w:val="28"/>
        <w:szCs w:val="28"/>
        <w:lang w:val="zh-CN"/>
      </w:rPr>
      <w:t>-</w:t>
    </w:r>
    <w:r>
      <w:rPr>
        <w:rFonts w:ascii="宋体" w:eastAsia="宋体" w:cs="Times New Roman"/>
        <w:sz w:val="28"/>
        <w:szCs w:val="28"/>
      </w:rPr>
      <w:t xml:space="preserve"> 2 -</w:t>
    </w:r>
    <w:r>
      <w:rPr>
        <w:rFonts w:ascii="宋体" w:eastAsia="宋体" w:cs="Times New Roman"/>
        <w:sz w:val="28"/>
        <w:szCs w:val="28"/>
      </w:rP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ind w:firstLine="360"/>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278E3B18"/>
    <w:multiLevelType w:val="hybridMultilevel"/>
    <w:tmpl w:val="FED854F0"/>
    <w:lvl w:ilvl="0">
      <w:start w:val="1"/>
      <w:numFmt w:val="chineseCountingThousand"/>
      <w:lvlRestart w:val="0"/>
      <w:suff w:val="nothing"/>
      <w:lvlText w:val="%1、"/>
      <w:lvlJc w:val="left"/>
      <w:pPr>
        <w:tabs>
          <w:tab w:val="num" w:pos="0"/>
        </w:tabs>
        <w:ind w:left="1060" w:hanging="420"/>
      </w:pPr>
      <w:rPr>
        <w:rFonts w:hint="eastAsia"/>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60"/>
  <w:drawingGridVerticalSpacing w:val="435"/>
  <w:displayHorizontalDrawingGridEvery w:val="0"/>
  <w:displayVerticalDrawingGridEvery w:val="1"/>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94" w:lineRule="exact"/>
      <w:ind w:firstLineChars="200" w:firstLine="200"/>
      <w:jc w:val="both"/>
    </w:pPr>
    <w:rPr>
      <w:rFonts w:ascii="Times New Roman" w:eastAsia="方正仿宋_GBK" w:cs="Arial" w:hAnsi="Times New Roman"/>
      <w:kern w:val="2"/>
      <w:sz w:val="32"/>
      <w:szCs w:val="22"/>
      <w:lang w:val="en-US" w:eastAsia="zh-CN" w:bidi="ar-SA"/>
    </w:rPr>
  </w:style>
  <w:style w:type="paragraph" w:styleId="1">
    <w:name w:val="heading 1"/>
    <w:basedOn w:val="0"/>
    <w:next w:val="0"/>
    <w:pPr>
      <w:keepNext/>
      <w:keepLines/>
      <w:widowControl w:val="0"/>
      <w:jc w:val="left"/>
      <w:outlineLvl w:val="0"/>
    </w:pPr>
    <w:rPr>
      <w:rFonts w:eastAsia="方正黑体_GBK"/>
      <w:bCs/>
      <w:kern w:val="44"/>
      <w:szCs w:val="44"/>
    </w:rPr>
  </w:style>
  <w:style w:type="paragraph" w:styleId="2">
    <w:name w:val="heading 2"/>
    <w:basedOn w:val="0"/>
    <w:next w:val="0"/>
    <w:pPr>
      <w:keepNext/>
      <w:keepLines/>
      <w:widowControl w:val="0"/>
      <w:outlineLvl w:val="1"/>
    </w:pPr>
    <w:rPr>
      <w:rFonts w:eastAsia="方正楷体_GBK" w:cs="Times New Roman"/>
      <w:bCs/>
      <w:szCs w:val="32"/>
    </w:rPr>
  </w:style>
  <w:style w:type="paragraph" w:styleId="3">
    <w:name w:val="heading 3"/>
    <w:basedOn w:val="0"/>
    <w:next w:val="0"/>
    <w:pPr>
      <w:keepNext/>
      <w:keepLines/>
      <w:widowControl w:val="0"/>
      <w:outlineLvl w:val="2"/>
    </w:pPr>
    <w:rPr>
      <w:b/>
      <w:bCs/>
      <w:szCs w:val="32"/>
    </w:rPr>
  </w:style>
  <w:style w:type="paragraph" w:styleId="4">
    <w:name w:val="heading 4"/>
    <w:basedOn w:val="0"/>
    <w:next w:val="0"/>
    <w:pPr>
      <w:keepNext/>
      <w:keepLines/>
      <w:widowControl w:val="0"/>
      <w:outlineLvl w:val="3"/>
    </w:pPr>
    <w:rPr>
      <w:rFonts w:cs="Times New Roman"/>
      <w:b/>
      <w:bCs/>
      <w:szCs w:val="28"/>
    </w:rPr>
  </w:style>
  <w:style w:type="character" w:default="1" w:styleId="10">
    <w:name w:val="Default Paragraph Font"/>
  </w:style>
  <w:style w:type="paragraph" w:styleId="15">
    <w:name w:val="header"/>
    <w:pPr>
      <w:pBdr>
        <w:bottom w:val="single" w:sz="6" w:space="1" w:color="auto"/>
      </w:pBdr>
      <w:tabs>
        <w:tab w:val="center" w:pos="4153"/>
        <w:tab w:val="right" w:pos="8306"/>
      </w:tabs>
      <w:snapToGrid w:val="0"/>
      <w:jc w:val="center"/>
    </w:pPr>
    <w:rPr>
      <w:rFonts w:ascii="Times New Roman" w:eastAsia="方正仿宋_GBK" w:cs="Arial" w:hAnsi="Times New Roman"/>
      <w:kern w:val="2"/>
      <w:sz w:val="18"/>
      <w:szCs w:val="18"/>
      <w:lang w:val="en-US" w:eastAsia="zh-CN" w:bidi="ar-SA"/>
    </w:rPr>
  </w:style>
  <w:style w:type="paragraph" w:styleId="16">
    <w:name w:val="footer"/>
    <w:basedOn w:val="0"/>
    <w:pPr>
      <w:tabs>
        <w:tab w:val="center" w:pos="4153"/>
        <w:tab w:val="right" w:pos="8306"/>
      </w:tabs>
      <w:snapToGrid w:val="0"/>
      <w:jc w:val="left"/>
    </w:pPr>
    <w:rPr>
      <w:sz w:val="18"/>
      <w:szCs w:val="18"/>
    </w:rPr>
  </w:style>
  <w:style w:type="paragraph" w:customStyle="1" w:styleId="17">
    <w:name w:val="List Paragraph"/>
    <w:basedOn w:val="0"/>
  </w:style>
  <w:style w:type="paragraph" w:styleId="18">
    <w:name w:val="Date"/>
    <w:basedOn w:val="0"/>
    <w:next w:val="0"/>
    <w:pPr>
      <w:ind w:leftChars="2500" w:left="2500"/>
    </w:pPr>
  </w:style>
  <w:style w:type="character" w:styleId="19">
    <w:name w:val="Hyperlink"/>
    <w:basedOn w:val="10"/>
    <w:rPr>
      <w:color w:val="0000FF"/>
      <w:u w:val="single"/>
    </w:rPr>
  </w:style>
  <w:style w:type="character" w:customStyle="1" w:styleId="20">
    <w:name w:val="Unresolved Mention"/>
    <w:basedOn w:val="10"/>
    <w:rPr>
      <w:color w:val="605E5C"/>
      <w:shd w:val="clear" w:color="auto" w:fill="E1DFDD"/>
    </w:rPr>
  </w:style>
  <w:style w:type="paragraph" w:styleId="21">
    <w:name w:val="Title"/>
    <w:basedOn w:val="0"/>
    <w:next w:val="0"/>
    <w:pPr>
      <w:ind w:firstLineChars="0" w:firstLine="0"/>
      <w:jc w:val="center"/>
      <w:outlineLvl w:val="0"/>
    </w:pPr>
    <w:rPr>
      <w:rFonts w:eastAsia="方正小标宋_GBK" w:cs="Times New Roman"/>
      <w:bCs/>
      <w:sz w:val="44"/>
      <w:szCs w:val="32"/>
    </w:rPr>
  </w:style>
  <w:style w:type="paragraph" w:styleId="22">
    <w:name w:val="Normal (Web)"/>
    <w:basedOn w:val="0"/>
    <w:pPr>
      <w:widowControl/>
      <w:spacing w:before="100" w:beforeAutospacing="1" w:after="100" w:afterAutospacing="1" w:line="240" w:lineRule="auto"/>
      <w:ind w:firstLineChars="0" w:firstLine="0"/>
      <w:jc w:val="left"/>
    </w:pPr>
    <w:rPr>
      <w:rFonts w:ascii="宋体" w:eastAsia="宋体" w:cs="宋体"/>
      <w:kern w:val="0"/>
      <w:sz w:val="24"/>
      <w:szCs w:val="24"/>
    </w:rPr>
  </w:style>
  <w:style w:type="paragraph" w:customStyle="1" w:styleId="23">
    <w:name w:val="Style"/>
    <w:basedOn w:val="0"/>
    <w:next w:val="17"/>
    <w:pPr>
      <w:spacing w:line="240" w:lineRule="auto"/>
    </w:pPr>
    <w:rPr>
      <w:rFonts w:eastAsia="宋体" w:cs="Times New Roman"/>
      <w:sz w:val="21"/>
    </w:rPr>
  </w:style>
  <w:style w:type="paragraph" w:customStyle="1" w:styleId="24">
    <w:name w:val="No Spacing"/>
    <w:rPr>
      <w:rFonts w:ascii="Calibri" w:eastAsia="宋体" w:cs="Arial" w:hAnsi="Calibri"/>
      <w:kern w:val="0"/>
      <w:sz w:val="22"/>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116</TotalTime>
  <Application>Yozo_Office</Application>
  <Pages>5</Pages>
  <Words>2057</Words>
  <Characters>2209</Characters>
  <Lines>90</Lines>
  <Paragraphs>26</Paragraphs>
  <CharactersWithSpaces>2212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xg</cp:lastModifiedBy>
  <cp:revision>41</cp:revision>
  <dcterms:created xsi:type="dcterms:W3CDTF">2023-03-02T02:47:00Z</dcterms:created>
  <dcterms:modified xsi:type="dcterms:W3CDTF">2024-02-28T07:18:12Z</dcterms:modified>
</cp:coreProperties>
</file>