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40" w:lineRule="exact"/>
        <w:jc w:val="center"/>
        <w:rPr>
          <w:rFonts w:ascii="方正小标宋_GBK" w:eastAsia="方正小标宋_GBK"/>
          <w:bCs/>
          <w:sz w:val="44"/>
          <w:szCs w:val="44"/>
        </w:rPr>
      </w:pPr>
      <w:r>
        <w:rPr>
          <w:rFonts w:ascii="方正小标宋_GBK" w:eastAsia="方正小标宋_GBK" w:hint="eastAsia"/>
          <w:bCs/>
          <w:sz w:val="44"/>
          <w:szCs w:val="44"/>
        </w:rPr>
        <w:t>重庆市渝中区卫生健康委员会</w:t>
      </w:r>
    </w:p>
    <w:p>
      <w:pPr>
        <w:spacing w:line="54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关于2020年度公共场所卫生信誉度评审情况的通报</w:t>
      </w:r>
    </w:p>
    <w:p>
      <w:pPr>
        <w:spacing w:line="540" w:lineRule="exact"/>
        <w:jc w:val="center"/>
        <w:rPr>
          <w:rFonts w:eastAsia="方正仿宋_GBK"/>
          <w:b/>
          <w:bCs/>
          <w:sz w:val="32"/>
          <w:szCs w:val="32"/>
        </w:rPr>
      </w:pPr>
      <w:r>
        <w:rPr>
          <w:rFonts w:eastAsia="方正仿宋_GBK"/>
          <w:bCs/>
          <w:sz w:val="32"/>
          <w:szCs w:val="32"/>
        </w:rPr>
        <w:t>渝中卫发〔2021〕20号</w:t>
      </w:r>
    </w:p>
    <w:p>
      <w:pPr>
        <w:spacing w:line="540" w:lineRule="exact"/>
        <w:rPr>
          <w:rFonts w:eastAsia="方正仿宋_GBK"/>
          <w:sz w:val="33"/>
          <w:szCs w:val="33"/>
        </w:rPr>
      </w:pPr>
    </w:p>
    <w:p>
      <w:pPr>
        <w:spacing w:line="540" w:lineRule="exact"/>
        <w:rPr>
          <w:rFonts w:ascii="方正仿宋_GBK" w:eastAsia="方正仿宋_GBK" w:cs="方正仿宋_GBK"/>
          <w:sz w:val="32"/>
          <w:szCs w:val="32"/>
        </w:rPr>
      </w:pPr>
      <w:r>
        <w:rPr>
          <w:rFonts w:ascii="方正仿宋_GBK" w:eastAsia="方正仿宋_GBK" w:cs="方正仿宋_GBK" w:hint="eastAsia"/>
          <w:sz w:val="32"/>
          <w:szCs w:val="32"/>
        </w:rPr>
        <w:t>辖区内各公共场所经营单位：</w:t>
      </w:r>
    </w:p>
    <w:p>
      <w:pPr>
        <w:tabs>
          <w:tab w:val="left" w:pos="7740"/>
        </w:tabs>
        <w:spacing w:line="540" w:lineRule="exact"/>
        <w:jc w:val="left"/>
        <w:rPr>
          <w:rFonts w:ascii="方正仿宋_GBK" w:eastAsia="方正仿宋_GBK" w:cs="方正仿宋_GBK"/>
          <w:sz w:val="32"/>
          <w:szCs w:val="32"/>
        </w:rPr>
      </w:pPr>
      <w:r>
        <w:rPr>
          <w:rFonts w:ascii="方正仿宋_GBK" w:eastAsia="方正仿宋_GBK" w:cs="方正仿宋_GBK" w:hint="eastAsia"/>
          <w:sz w:val="32"/>
          <w:szCs w:val="32"/>
        </w:rPr>
        <w:t xml:space="preserve">    为实施科学监督管理，提高公共场所经营者的自身管理水平，增强卫生监督信息透明度，减少群体性健康损害事件的发生，保护公众身体健康，根据原《卫生部关于推行公共场所卫生监督量化分级管理制度的通知》文件精神，我区组织开展了2020年公共场所卫生信誉度A级单位评审及复审工作，现将有关情况通报如下：</w:t>
      </w:r>
    </w:p>
    <w:p>
      <w:pPr>
        <w:spacing w:line="540"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一、基本情况</w:t>
      </w:r>
    </w:p>
    <w:p>
      <w:pPr>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2020年，我区对住宿业、游泳场所、沐浴场所、美容美发场所等四个类别公共场所，共计1104家单位开展了卫生信誉度的评审，评审工作严格对照各类评审指标和要求，结合现场审查和资料审核，按照内部学习、宣传培训、自查自评、实施评审等工作步骤进行，评级率达到100%，其中A级单位13家，（均为住宿业，名单详见附件）、B级单位58家、C级单位1033家。评审总体情况如下：</w:t>
      </w:r>
    </w:p>
    <w:p>
      <w:pPr>
        <w:spacing w:line="540" w:lineRule="exact"/>
        <w:jc w:val="center"/>
        <w:rPr>
          <w:rFonts w:ascii="方正仿宋_GBK" w:eastAsia="方正仿宋_GBK" w:cs="方正仿宋_GBK"/>
          <w:bCs/>
          <w:sz w:val="32"/>
          <w:szCs w:val="32"/>
        </w:rPr>
      </w:pPr>
      <w:r>
        <w:rPr>
          <w:rFonts w:ascii="方正仿宋_GBK" w:eastAsia="方正仿宋_GBK" w:cs="方正仿宋_GBK" w:hint="eastAsia"/>
          <w:bCs/>
          <w:sz w:val="32"/>
          <w:szCs w:val="32"/>
        </w:rPr>
        <w:t>渝中区2020年度公共场所卫生信誉度评审情况汇总表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5"/>
        <w:gridCol w:w="1134"/>
        <w:gridCol w:w="987"/>
        <w:gridCol w:w="900"/>
        <w:gridCol w:w="900"/>
        <w:gridCol w:w="1440"/>
        <w:gridCol w:w="1213"/>
      </w:tblGrid>
      <w:tr>
        <w:trPr>
          <w:trHeight w:val="299"/>
        </w:trPr>
        <w:tc>
          <w:tcPr>
            <w:tcW w:w="1815" w:type="dxa"/>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类  别</w:t>
            </w:r>
          </w:p>
        </w:tc>
        <w:tc>
          <w:tcPr>
            <w:tcW w:w="1134" w:type="dxa"/>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总数</w:t>
            </w:r>
          </w:p>
        </w:tc>
        <w:tc>
          <w:tcPr>
            <w:tcW w:w="987" w:type="dxa"/>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A级</w:t>
            </w:r>
          </w:p>
        </w:tc>
        <w:tc>
          <w:tcPr>
            <w:tcW w:w="900" w:type="dxa"/>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B级</w:t>
            </w:r>
          </w:p>
        </w:tc>
        <w:tc>
          <w:tcPr>
            <w:tcW w:w="900" w:type="dxa"/>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C级</w:t>
            </w:r>
          </w:p>
        </w:tc>
        <w:tc>
          <w:tcPr>
            <w:tcW w:w="1440" w:type="dxa"/>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不予评定</w:t>
            </w:r>
          </w:p>
        </w:tc>
        <w:tc>
          <w:tcPr>
            <w:tcW w:w="1213" w:type="dxa"/>
          </w:tcPr>
          <w:p>
            <w:pPr>
              <w:ind w:left="77"/>
              <w:jc w:val="center"/>
              <w:rPr>
                <w:rFonts w:ascii="方正仿宋_GBK" w:eastAsia="方正仿宋_GBK" w:cs="方正仿宋_GBK"/>
                <w:bCs/>
                <w:sz w:val="28"/>
                <w:szCs w:val="28"/>
              </w:rPr>
            </w:pPr>
            <w:r>
              <w:rPr>
                <w:rFonts w:ascii="方正仿宋_GBK" w:eastAsia="方正仿宋_GBK" w:cs="方正仿宋_GBK" w:hint="eastAsia"/>
                <w:bCs/>
                <w:sz w:val="28"/>
                <w:szCs w:val="28"/>
              </w:rPr>
              <w:t>实施率</w:t>
            </w:r>
          </w:p>
        </w:tc>
      </w:tr>
      <w:tr>
        <w:trPr>
          <w:trHeight w:val="378"/>
        </w:trPr>
        <w:tc>
          <w:tcPr>
            <w:tcW w:w="1815" w:type="dxa"/>
            <w:vAlign w:val="center"/>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住 宿 业</w:t>
            </w:r>
          </w:p>
        </w:tc>
        <w:tc>
          <w:tcPr>
            <w:tcW w:w="1134"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589</w:t>
            </w:r>
          </w:p>
        </w:tc>
        <w:tc>
          <w:tcPr>
            <w:tcW w:w="987"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13</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44</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532</w:t>
            </w:r>
          </w:p>
        </w:tc>
        <w:tc>
          <w:tcPr>
            <w:tcW w:w="1440" w:type="dxa"/>
            <w:vAlign w:val="center"/>
          </w:tcPr>
          <w:p>
            <w:pPr>
              <w:jc w:val="center"/>
              <w:rPr>
                <w:rFonts w:ascii="方正仿宋_GBK" w:eastAsia="方正仿宋_GBK" w:cs="方正仿宋_GBK"/>
                <w:sz w:val="28"/>
                <w:szCs w:val="28"/>
              </w:rPr>
            </w:pPr>
            <w:r>
              <w:rPr>
                <w:rFonts w:ascii="方正仿宋_GBK" w:eastAsia="方正仿宋_GBK" w:cs="方正仿宋_GBK" w:hint="eastAsia"/>
                <w:sz w:val="28"/>
                <w:szCs w:val="28"/>
              </w:rPr>
              <w:t>0</w:t>
            </w:r>
          </w:p>
        </w:tc>
        <w:tc>
          <w:tcPr>
            <w:tcW w:w="1213" w:type="dxa"/>
            <w:vAlign w:val="center"/>
          </w:tcPr>
          <w:p>
            <w:pPr>
              <w:ind w:left="32"/>
              <w:jc w:val="center"/>
              <w:rPr>
                <w:rFonts w:ascii="方正仿宋_GBK" w:eastAsia="方正仿宋_GBK" w:cs="方正仿宋_GBK"/>
                <w:sz w:val="28"/>
                <w:szCs w:val="28"/>
              </w:rPr>
            </w:pPr>
            <w:r>
              <w:rPr>
                <w:rFonts w:ascii="方正仿宋_GBK" w:eastAsia="方正仿宋_GBK" w:cs="方正仿宋_GBK" w:hint="eastAsia"/>
                <w:sz w:val="28"/>
                <w:szCs w:val="28"/>
              </w:rPr>
              <w:t>100%</w:t>
            </w:r>
          </w:p>
        </w:tc>
      </w:tr>
      <w:tr>
        <w:tc>
          <w:tcPr>
            <w:tcW w:w="1815" w:type="dxa"/>
            <w:vAlign w:val="center"/>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游泳场所</w:t>
            </w:r>
          </w:p>
        </w:tc>
        <w:tc>
          <w:tcPr>
            <w:tcW w:w="1134"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40</w:t>
            </w:r>
          </w:p>
        </w:tc>
        <w:tc>
          <w:tcPr>
            <w:tcW w:w="987"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0</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8</w:t>
            </w:r>
          </w:p>
        </w:tc>
        <w:tc>
          <w:tcPr>
            <w:tcW w:w="900" w:type="dxa"/>
            <w:vAlign w:val="center"/>
          </w:tcPr>
          <w:p>
            <w:pPr>
              <w:jc w:val="center"/>
              <w:rPr>
                <w:rFonts w:ascii="方正仿宋_GBK" w:eastAsia="方正仿宋_GBK" w:cs="方正仿宋_GBK"/>
                <w:sz w:val="28"/>
                <w:szCs w:val="28"/>
              </w:rPr>
            </w:pPr>
            <w:r>
              <w:rPr>
                <w:rFonts w:ascii="方正仿宋_GBK" w:eastAsia="方正仿宋_GBK" w:cs="方正仿宋_GBK"/>
                <w:sz w:val="28"/>
                <w:szCs w:val="28"/>
              </w:rPr>
              <w:t>32</w:t>
            </w:r>
          </w:p>
        </w:tc>
        <w:tc>
          <w:tcPr>
            <w:tcW w:w="1440" w:type="dxa"/>
            <w:vAlign w:val="center"/>
          </w:tcPr>
          <w:p>
            <w:pPr>
              <w:jc w:val="center"/>
              <w:rPr>
                <w:rFonts w:ascii="方正仿宋_GBK" w:eastAsia="方正仿宋_GBK" w:cs="方正仿宋_GBK"/>
                <w:sz w:val="28"/>
                <w:szCs w:val="28"/>
              </w:rPr>
            </w:pPr>
            <w:r>
              <w:rPr>
                <w:rFonts w:ascii="方正仿宋_GBK" w:eastAsia="方正仿宋_GBK" w:cs="方正仿宋_GBK" w:hint="eastAsia"/>
                <w:sz w:val="28"/>
                <w:szCs w:val="28"/>
              </w:rPr>
              <w:t>0</w:t>
            </w:r>
          </w:p>
        </w:tc>
        <w:tc>
          <w:tcPr>
            <w:tcW w:w="1213" w:type="dxa"/>
            <w:vAlign w:val="center"/>
          </w:tcPr>
          <w:p>
            <w:pPr>
              <w:ind w:left="32"/>
              <w:jc w:val="center"/>
              <w:rPr>
                <w:rFonts w:ascii="方正仿宋_GBK" w:eastAsia="方正仿宋_GBK" w:cs="方正仿宋_GBK"/>
                <w:sz w:val="28"/>
                <w:szCs w:val="28"/>
              </w:rPr>
            </w:pPr>
            <w:r>
              <w:rPr>
                <w:rFonts w:ascii="方正仿宋_GBK" w:eastAsia="方正仿宋_GBK" w:cs="方正仿宋_GBK" w:hint="eastAsia"/>
                <w:sz w:val="28"/>
                <w:szCs w:val="28"/>
              </w:rPr>
              <w:t>100%</w:t>
            </w:r>
          </w:p>
        </w:tc>
      </w:tr>
      <w:tr>
        <w:tc>
          <w:tcPr>
            <w:tcW w:w="1815" w:type="dxa"/>
            <w:vAlign w:val="center"/>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沐浴场所</w:t>
            </w:r>
          </w:p>
        </w:tc>
        <w:tc>
          <w:tcPr>
            <w:tcW w:w="1134"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73</w:t>
            </w:r>
          </w:p>
        </w:tc>
        <w:tc>
          <w:tcPr>
            <w:tcW w:w="987"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0</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1</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72</w:t>
            </w:r>
          </w:p>
        </w:tc>
        <w:tc>
          <w:tcPr>
            <w:tcW w:w="1440" w:type="dxa"/>
            <w:vAlign w:val="center"/>
          </w:tcPr>
          <w:p>
            <w:pPr>
              <w:jc w:val="center"/>
              <w:rPr>
                <w:rFonts w:ascii="方正仿宋_GBK" w:eastAsia="方正仿宋_GBK" w:cs="方正仿宋_GBK"/>
                <w:sz w:val="28"/>
                <w:szCs w:val="28"/>
              </w:rPr>
            </w:pPr>
            <w:r>
              <w:rPr>
                <w:rFonts w:ascii="方正仿宋_GBK" w:eastAsia="方正仿宋_GBK" w:cs="方正仿宋_GBK" w:hint="eastAsia"/>
                <w:sz w:val="28"/>
                <w:szCs w:val="28"/>
              </w:rPr>
              <w:t>0</w:t>
            </w:r>
          </w:p>
        </w:tc>
        <w:tc>
          <w:tcPr>
            <w:tcW w:w="1213" w:type="dxa"/>
            <w:vAlign w:val="center"/>
          </w:tcPr>
          <w:p>
            <w:pPr>
              <w:ind w:left="32"/>
              <w:jc w:val="center"/>
              <w:rPr>
                <w:rFonts w:ascii="方正仿宋_GBK" w:eastAsia="方正仿宋_GBK" w:cs="方正仿宋_GBK"/>
                <w:sz w:val="28"/>
                <w:szCs w:val="28"/>
              </w:rPr>
            </w:pPr>
            <w:r>
              <w:rPr>
                <w:rFonts w:ascii="方正仿宋_GBK" w:eastAsia="方正仿宋_GBK" w:cs="方正仿宋_GBK" w:hint="eastAsia"/>
                <w:sz w:val="28"/>
                <w:szCs w:val="28"/>
              </w:rPr>
              <w:t>100%</w:t>
            </w:r>
          </w:p>
        </w:tc>
      </w:tr>
      <w:tr>
        <w:tc>
          <w:tcPr>
            <w:tcW w:w="1815" w:type="dxa"/>
            <w:vAlign w:val="center"/>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美容美发</w:t>
            </w:r>
          </w:p>
        </w:tc>
        <w:tc>
          <w:tcPr>
            <w:tcW w:w="1134"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402</w:t>
            </w:r>
          </w:p>
        </w:tc>
        <w:tc>
          <w:tcPr>
            <w:tcW w:w="987"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0</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5</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397</w:t>
            </w:r>
          </w:p>
        </w:tc>
        <w:tc>
          <w:tcPr>
            <w:tcW w:w="1440" w:type="dxa"/>
            <w:vAlign w:val="center"/>
          </w:tcPr>
          <w:p>
            <w:pPr>
              <w:jc w:val="center"/>
              <w:rPr>
                <w:rFonts w:ascii="方正仿宋_GBK" w:eastAsia="方正仿宋_GBK" w:cs="方正仿宋_GBK"/>
                <w:sz w:val="28"/>
                <w:szCs w:val="28"/>
              </w:rPr>
            </w:pPr>
            <w:r>
              <w:rPr>
                <w:rFonts w:ascii="方正仿宋_GBK" w:eastAsia="方正仿宋_GBK" w:cs="方正仿宋_GBK" w:hint="eastAsia"/>
                <w:sz w:val="28"/>
                <w:szCs w:val="28"/>
              </w:rPr>
              <w:t>0</w:t>
            </w:r>
          </w:p>
        </w:tc>
        <w:tc>
          <w:tcPr>
            <w:tcW w:w="1213" w:type="dxa"/>
            <w:vAlign w:val="center"/>
          </w:tcPr>
          <w:p>
            <w:pPr>
              <w:ind w:left="32"/>
              <w:jc w:val="center"/>
              <w:rPr>
                <w:rFonts w:ascii="方正仿宋_GBK" w:eastAsia="方正仿宋_GBK" w:cs="方正仿宋_GBK"/>
                <w:sz w:val="28"/>
                <w:szCs w:val="28"/>
              </w:rPr>
            </w:pPr>
            <w:r>
              <w:rPr>
                <w:rFonts w:ascii="方正仿宋_GBK" w:eastAsia="方正仿宋_GBK" w:cs="方正仿宋_GBK" w:hint="eastAsia"/>
                <w:sz w:val="28"/>
                <w:szCs w:val="28"/>
              </w:rPr>
              <w:t>100%</w:t>
            </w:r>
          </w:p>
        </w:tc>
      </w:tr>
      <w:tr>
        <w:tc>
          <w:tcPr>
            <w:tcW w:w="1815" w:type="dxa"/>
            <w:vAlign w:val="center"/>
          </w:tcPr>
          <w:p>
            <w:pPr>
              <w:jc w:val="center"/>
              <w:rPr>
                <w:rFonts w:ascii="方正仿宋_GBK" w:eastAsia="方正仿宋_GBK" w:cs="方正仿宋_GBK"/>
                <w:bCs/>
                <w:sz w:val="28"/>
                <w:szCs w:val="28"/>
              </w:rPr>
            </w:pPr>
            <w:r>
              <w:rPr>
                <w:rFonts w:ascii="方正仿宋_GBK" w:eastAsia="方正仿宋_GBK" w:cs="方正仿宋_GBK" w:hint="eastAsia"/>
                <w:bCs/>
                <w:sz w:val="28"/>
                <w:szCs w:val="28"/>
              </w:rPr>
              <w:t>合    计</w:t>
            </w:r>
          </w:p>
        </w:tc>
        <w:tc>
          <w:tcPr>
            <w:tcW w:w="1134"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1104</w:t>
            </w:r>
          </w:p>
        </w:tc>
        <w:tc>
          <w:tcPr>
            <w:tcW w:w="987"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13</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58</w:t>
            </w:r>
          </w:p>
        </w:tc>
        <w:tc>
          <w:tcPr>
            <w:tcW w:w="900" w:type="dxa"/>
            <w:vAlign w:val="center"/>
          </w:tcPr>
          <w:p>
            <w:pPr>
              <w:jc w:val="center"/>
              <w:rPr>
                <w:rFonts w:ascii="方正仿宋_GBK" w:eastAsia="方正仿宋_GBK" w:cs="方正仿宋_GBK" w:hint="eastAsia"/>
                <w:sz w:val="28"/>
                <w:szCs w:val="28"/>
              </w:rPr>
            </w:pPr>
            <w:r>
              <w:rPr>
                <w:rFonts w:ascii="方正仿宋_GBK" w:eastAsia="方正仿宋_GBK" w:cs="方正仿宋_GBK" w:hint="eastAsia"/>
                <w:sz w:val="28"/>
                <w:szCs w:val="28"/>
              </w:rPr>
              <w:t>1033</w:t>
            </w:r>
          </w:p>
        </w:tc>
        <w:tc>
          <w:tcPr>
            <w:tcW w:w="1440" w:type="dxa"/>
            <w:vAlign w:val="center"/>
          </w:tcPr>
          <w:p>
            <w:pPr>
              <w:jc w:val="center"/>
              <w:rPr>
                <w:rFonts w:ascii="方正仿宋_GBK" w:eastAsia="方正仿宋_GBK" w:cs="方正仿宋_GBK"/>
                <w:sz w:val="28"/>
                <w:szCs w:val="28"/>
              </w:rPr>
            </w:pPr>
            <w:r>
              <w:rPr>
                <w:rFonts w:ascii="方正仿宋_GBK" w:eastAsia="方正仿宋_GBK" w:cs="方正仿宋_GBK" w:hint="eastAsia"/>
                <w:sz w:val="28"/>
                <w:szCs w:val="28"/>
              </w:rPr>
              <w:t>0</w:t>
            </w:r>
          </w:p>
        </w:tc>
        <w:tc>
          <w:tcPr>
            <w:tcW w:w="1213" w:type="dxa"/>
            <w:vAlign w:val="center"/>
          </w:tcPr>
          <w:p>
            <w:pPr>
              <w:ind w:left="32"/>
              <w:jc w:val="center"/>
              <w:rPr>
                <w:rFonts w:ascii="方正仿宋_GBK" w:eastAsia="方正仿宋_GBK" w:cs="方正仿宋_GBK"/>
                <w:sz w:val="28"/>
                <w:szCs w:val="28"/>
              </w:rPr>
            </w:pPr>
            <w:r>
              <w:rPr>
                <w:rFonts w:ascii="方正仿宋_GBK" w:eastAsia="方正仿宋_GBK" w:cs="方正仿宋_GBK" w:hint="eastAsia"/>
                <w:sz w:val="28"/>
                <w:szCs w:val="28"/>
              </w:rPr>
              <w:t>100%</w:t>
            </w:r>
          </w:p>
        </w:tc>
      </w:tr>
    </w:tbl>
    <w:p>
      <w:pPr>
        <w:spacing w:line="540" w:lineRule="exact"/>
        <w:ind w:firstLineChars="200" w:firstLine="640"/>
        <w:rPr>
          <w:rFonts w:ascii="方正黑体_GBK" w:eastAsia="方正黑体_GBK" w:cs="方正黑体_GBK"/>
          <w:sz w:val="32"/>
          <w:szCs w:val="32"/>
        </w:rPr>
      </w:pPr>
      <w:r>
        <w:rPr>
          <w:rFonts w:ascii="方正黑体_GBK" w:eastAsia="方正黑体_GBK" w:cs="方正黑体_GBK" w:hint="eastAsia"/>
          <w:sz w:val="32"/>
          <w:szCs w:val="32"/>
        </w:rPr>
        <w:t>二、工作要求</w:t>
      </w:r>
    </w:p>
    <w:p>
      <w:pPr>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各有关单位要以A级示范单位为标杆，提高自身管理水平，强化其作为公共场所卫生第一责任人的意识，切实提高公共场所卫生整体水平，杜绝群体性健康损害事件的发生，保护公众身体健康。</w:t>
      </w:r>
    </w:p>
    <w:p>
      <w:pPr>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区卫生健康综合行政执法支队要增强卫生监督信息透明度，通过监督量化评价评定公共场所卫生信誉等级，以客观公正地反映其卫生状况。将公共场所量化分级制度作为公共场所卫生监督管理模式向风险度管理转变的一种方式。同时对于A级评审单位定期进行复审，不合格的单位进行降级管理，做到有进有退。</w:t>
      </w:r>
    </w:p>
    <w:p>
      <w:pPr>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我委将持续提升公共场所卫生监督量化分级管理实施效果 ，充分利用报纸、电视、网络、微信公众号等各种媒体宣传公共场所卫生监督量化分级管理制度，提高消费者的参与意识，抓龙头、树标杆、褒先进，树立起一批公共场所卫生示范单位，让经营单位的卫生信誉度真正起到消费晴雨表的作用。</w:t>
      </w:r>
    </w:p>
    <w:p>
      <w:pPr>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特此通报。</w:t>
      </w:r>
    </w:p>
    <w:p>
      <w:pPr>
        <w:spacing w:line="540" w:lineRule="exact"/>
        <w:rPr>
          <w:rFonts w:ascii="方正仿宋_GBK" w:eastAsia="方正仿宋_GBK" w:cs="方正仿宋_GBK"/>
          <w:sz w:val="32"/>
          <w:szCs w:val="32"/>
        </w:rPr>
      </w:pPr>
    </w:p>
    <w:p>
      <w:pPr>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bCs/>
          <w:sz w:val="32"/>
          <w:szCs w:val="32"/>
        </w:rPr>
        <w:t>附件：</w:t>
      </w:r>
      <w:r>
        <w:rPr>
          <w:rFonts w:ascii="方正仿宋_GBK" w:eastAsia="方正仿宋_GBK" w:cs="方正仿宋_GBK" w:hint="eastAsia"/>
          <w:sz w:val="32"/>
          <w:szCs w:val="32"/>
        </w:rPr>
        <w:t>渝中区2012年公共场所卫生信誉度A级单位名单</w:t>
      </w:r>
    </w:p>
    <w:p>
      <w:pPr>
        <w:spacing w:line="540" w:lineRule="exact"/>
        <w:ind w:left="0"/>
        <w:rPr>
          <w:rFonts w:ascii="方正仿宋_GBK" w:eastAsia="方正仿宋_GBK" w:cs="方正仿宋_GBK"/>
          <w:sz w:val="32"/>
          <w:szCs w:val="32"/>
        </w:rPr>
      </w:pPr>
    </w:p>
    <w:p>
      <w:pPr>
        <w:spacing w:line="540" w:lineRule="exact"/>
        <w:ind w:left="0"/>
        <w:rPr>
          <w:rFonts w:ascii="方正仿宋_GBK" w:eastAsia="方正仿宋_GBK" w:cs="方正仿宋_GBK"/>
          <w:sz w:val="32"/>
          <w:szCs w:val="32"/>
        </w:rPr>
      </w:pPr>
    </w:p>
    <w:p>
      <w:pPr>
        <w:spacing w:line="540" w:lineRule="exact"/>
        <w:ind w:left="0"/>
        <w:rPr>
          <w:rFonts w:ascii="方正仿宋_GBK" w:eastAsia="方正仿宋_GBK" w:cs="方正仿宋_GBK"/>
          <w:sz w:val="32"/>
          <w:szCs w:val="32"/>
        </w:rPr>
      </w:pPr>
      <w:r>
        <w:rPr>
          <w:rFonts w:ascii="方正仿宋_GBK" w:eastAsia="方正仿宋_GBK" w:cs="方正仿宋_GBK" w:hint="eastAsia"/>
          <w:sz w:val="32"/>
          <w:szCs w:val="32"/>
        </w:rPr>
        <w:t xml:space="preserve">            </w:t>
      </w:r>
      <w:r>
        <w:rPr>
          <w:rFonts w:ascii="方正仿宋_GBK" w:eastAsia="方正仿宋_GBK" w:cs="方正仿宋_GBK"/>
          <w:sz w:val="32"/>
          <w:szCs w:val="32"/>
        </w:rPr>
        <w:t xml:space="preserve">     </w:t>
      </w:r>
      <w:r>
        <w:rPr>
          <w:rFonts w:ascii="方正仿宋_GBK" w:eastAsia="方正仿宋_GBK" w:cs="方正仿宋_GBK" w:hint="eastAsia"/>
          <w:sz w:val="32"/>
          <w:szCs w:val="32"/>
        </w:rPr>
        <w:t xml:space="preserve">       重庆市渝中区卫生健康委员会</w:t>
      </w:r>
    </w:p>
    <w:p>
      <w:pPr>
        <w:spacing w:line="540" w:lineRule="exact"/>
        <w:ind w:firstLineChars="1450" w:firstLine="4640"/>
        <w:rPr>
          <w:rFonts w:ascii="方正仿宋_GBK" w:eastAsia="方正仿宋_GBK" w:cs="方正仿宋_GBK"/>
          <w:sz w:val="32"/>
          <w:szCs w:val="32"/>
        </w:rPr>
      </w:pPr>
      <w:r>
        <w:rPr>
          <w:rFonts w:ascii="方正仿宋_GBK" w:eastAsia="方正仿宋_GBK" w:cs="方正仿宋_GBK" w:hint="eastAsia"/>
          <w:sz w:val="32"/>
          <w:szCs w:val="32"/>
        </w:rPr>
        <w:t>2021年1月25日</w:t>
      </w:r>
    </w:p>
    <w:p>
      <w:pPr>
        <w:spacing w:line="560" w:lineRule="exact"/>
        <w:rPr>
          <w:rFonts w:ascii="方正黑体_GBK" w:eastAsia="方正黑体_GBK" w:cs="方正仿宋_GBK"/>
          <w:bCs/>
          <w:sz w:val="32"/>
          <w:szCs w:val="32"/>
        </w:rPr>
      </w:pPr>
      <w:bookmarkStart w:id="0" w:name="_GoBack"/>
      <w:bookmarkEnd w:id="0"/>
      <w:r>
        <w:rPr>
          <w:rFonts w:ascii="方正黑体_GBK" w:eastAsia="方正黑体_GBK" w:cs="方正仿宋_GBK" w:hint="eastAsia"/>
          <w:bCs/>
          <w:sz w:val="32"/>
          <w:szCs w:val="32"/>
        </w:rPr>
        <w:t>附件</w:t>
      </w:r>
    </w:p>
    <w:p>
      <w:pPr>
        <w:spacing w:line="560" w:lineRule="exact"/>
        <w:rPr>
          <w:rFonts w:ascii="仿宋_GB2312" w:eastAsia="仿宋_GB2312" w:cs="宋体"/>
          <w:sz w:val="32"/>
          <w:szCs w:val="32"/>
        </w:rPr>
      </w:pPr>
    </w:p>
    <w:p>
      <w:pPr>
        <w:spacing w:line="560" w:lineRule="exact"/>
        <w:jc w:val="center"/>
        <w:rPr>
          <w:rFonts w:ascii="方正小标宋_GBK" w:eastAsia="方正小标宋_GBK" w:cs="宋体"/>
          <w:bCs/>
          <w:sz w:val="44"/>
          <w:szCs w:val="44"/>
        </w:rPr>
      </w:pPr>
      <w:r>
        <w:rPr>
          <w:rFonts w:ascii="方正小标宋_GBK" w:eastAsia="方正小标宋_GBK" w:cs="宋体" w:hint="eastAsia"/>
          <w:bCs/>
          <w:sz w:val="44"/>
          <w:szCs w:val="44"/>
        </w:rPr>
        <w:t>渝中区2020年公共场所卫生信誉度A级</w:t>
      </w:r>
    </w:p>
    <w:p>
      <w:pPr>
        <w:spacing w:line="560" w:lineRule="exact"/>
        <w:jc w:val="center"/>
        <w:rPr>
          <w:rFonts w:ascii="方正小标宋_GBK" w:eastAsia="方正小标宋_GBK" w:cs="宋体"/>
          <w:bCs/>
          <w:sz w:val="44"/>
          <w:szCs w:val="44"/>
        </w:rPr>
      </w:pPr>
      <w:r>
        <w:rPr>
          <w:rFonts w:ascii="方正小标宋_GBK" w:eastAsia="方正小标宋_GBK" w:cs="宋体" w:hint="eastAsia"/>
          <w:bCs/>
          <w:sz w:val="44"/>
          <w:szCs w:val="44"/>
        </w:rPr>
        <w:t>单位名单</w:t>
      </w:r>
    </w:p>
    <w:p>
      <w:pPr>
        <w:spacing w:line="560" w:lineRule="exact"/>
        <w:jc w:val="center"/>
        <w:rPr>
          <w:rFonts w:ascii="方正楷体_GBK" w:eastAsia="方正楷体_GBK" w:cs="方正楷体_GBK"/>
          <w:sz w:val="32"/>
          <w:szCs w:val="32"/>
        </w:rPr>
      </w:pPr>
      <w:r>
        <w:rPr>
          <w:rFonts w:ascii="方正楷体_GBK" w:eastAsia="方正楷体_GBK" w:cs="方正楷体_GBK" w:hint="eastAsia"/>
          <w:sz w:val="32"/>
          <w:szCs w:val="32"/>
        </w:rPr>
        <w:t>（排名不分先后）</w:t>
      </w:r>
    </w:p>
    <w:p>
      <w:pPr>
        <w:spacing w:line="560" w:lineRule="exact"/>
        <w:rPr>
          <w:rFonts w:ascii="方正仿宋_GBK" w:eastAsia="方正仿宋_GBK"/>
          <w:sz w:val="32"/>
          <w:szCs w:val="32"/>
        </w:rPr>
      </w:pP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重庆洲际酒店投资有限公司解放碑皇冠假日酒店</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重庆申基实业（集团）有限公司解放碑威斯汀酒店</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重庆赛迪物业管理有限公司翰文酒店管理分公司</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重庆国贸中心大酒店有限公司格兰维大酒店</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重庆东广饭店有限公司重庆解放碑凯悦酒店分公司</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重庆农投资产经营管理有限公司天友大酒店</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重庆万友康年大酒店有限公司</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重庆华方嘉顿酒店管理有限公司</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重庆市鹅岭酒店有限责任公司</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重庆皇石置地有限公司万豪行政公寓式酒店分公司</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重庆希尔顿酒店</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重庆洪崖洞酒店有限公司</w:t>
      </w:r>
    </w:p>
    <w:p>
      <w:pPr>
        <w:spacing w:line="560" w:lineRule="exact"/>
        <w:ind w:firstLineChars="200" w:firstLine="640"/>
        <w:rPr>
          <w:rFonts w:eastAsia="方正仿宋_GBK"/>
          <w:sz w:val="28"/>
          <w:szCs w:val="28"/>
        </w:rPr>
      </w:pPr>
      <w:r>
        <w:rPr>
          <w:rFonts w:ascii="方正仿宋_GBK" w:eastAsia="方正仿宋_GBK" w:hint="eastAsia"/>
          <w:sz w:val="32"/>
          <w:szCs w:val="32"/>
        </w:rPr>
        <w:t>重庆两江丽景酒店有限公司</w:t>
      </w:r>
    </w:p>
    <w:sectPr>
      <w:pgSz w:w="11906" w:h="16838"/>
      <w:pgMar w:top="1440" w:right="1588" w:bottom="1440"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0000000000000000000"/>
    <w:charset w:val="86"/>
    <w:family w:val="script"/>
    <w:pitch w:val="variable"/>
    <w:sig w:usb0="00000001" w:usb1="080E0000" w:usb2="00000010" w:usb3="00000000" w:csb0="00040000" w:csb1="00000000"/>
  </w:font>
  <w:font w:name="方正小标宋简体">
    <w:panose1 w:val="00000000000000000000"/>
    <w:charset w:val="86"/>
    <w:family w:val="auto"/>
    <w:pitch w:val="variable"/>
    <w:sig w:usb0="00000001" w:usb1="080E0000" w:usb2="00000010" w:usb3="00000000" w:csb0="00040000" w:csb1="00000000"/>
  </w:font>
  <w:font w:name="方正仿宋_GBK">
    <w:altName w:val="永中宋体"/>
    <w:panose1 w:val="00000000000000000000"/>
    <w:charset w:val="86"/>
    <w:family w:val="script"/>
    <w:pitch w:val="variable"/>
    <w:sig w:usb0="00000001" w:usb1="080E0000" w:usb2="00000010" w:usb3="00000000" w:csb0="00040000" w:csb1="00000000"/>
  </w:font>
  <w:font w:name="方正黑体_GBK">
    <w:altName w:val="永中宋体"/>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永中宋体"/>
    <w:panose1 w:val="00000000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Date"/>
    <w:basedOn w:val="0"/>
    <w:next w:val="0"/>
    <w:pPr>
      <w:ind w:leftChars="2500" w:left="25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3</Pages>
  <Words>1107</Words>
  <Characters>1181</Characters>
  <Lines>105</Lines>
  <Paragraphs>75</Paragraphs>
  <CharactersWithSpaces>1218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9</cp:revision>
  <cp:lastPrinted>2021-01-26T06:19:00Z</cp:lastPrinted>
  <dcterms:created xsi:type="dcterms:W3CDTF">2019-12-09T02:37:00Z</dcterms:created>
  <dcterms:modified xsi:type="dcterms:W3CDTF">2022-10-25T02:36:54Z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2052-11.1.0.10228</vt:lpwstr>
  </property>
  <property fmtid="{D5CDD505-2E9C-101B-9397-08002B2CF9AE}" pid="3" name="KSOSaveFontToCloudKey">
    <vt:lpwstr>267421535_btnclosed</vt:lpwstr>
  </property>
</Properties>
</file>