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widowControl w:val="0"/>
        <w:spacing w:line="600" w:lineRule="exact"/>
        <w:rPr>
          <w:rStyle w:val="16"/>
          <w:rFonts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重庆市渝中区卫生健康委员会</w:t>
      </w:r>
    </w:p>
    <w:p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关于推进健康服务业高质量发展的实施意见</w:t>
      </w:r>
    </w:p>
    <w:p>
      <w:pPr>
        <w:spacing w:line="540" w:lineRule="exact"/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渝中卫发〔2019〕96号</w:t>
      </w:r>
    </w:p>
    <w:p>
      <w:pPr>
        <w:spacing w:line="594" w:lineRule="exact"/>
        <w:rPr>
          <w:rFonts w:eastAsia="方正仿宋_GBK"/>
          <w:sz w:val="32"/>
          <w:szCs w:val="32"/>
        </w:rPr>
      </w:pPr>
    </w:p>
    <w:p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区级国家机关各部门，各管委会、街道办事处，各有关单位：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为推进渝中区健康服务业高质量发展，经2019年4月24日区政府第90次常务会研究同意，提出以下实施意见。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指导思想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shd w:val="clear" w:color="auto" w:fill="FFFFFF"/>
        </w:rPr>
        <w:t>深入贯彻党的十九大和十九届二中、三中全会精神，以习近平新时代中国特色社会主义思想为指导，大力落实“健康中国”战略部署，坚持以人民为中心，精准对接人民群众对美好健康生活的需要，</w:t>
      </w:r>
      <w:r>
        <w:rPr>
          <w:rFonts w:eastAsia="方正仿宋_GBK"/>
          <w:sz w:val="32"/>
          <w:szCs w:val="32"/>
        </w:rPr>
        <w:t>紧扣习近平总书记对重庆提出的“两点”定位、“两地”“两高”目标和“四个扎实”总体要求，</w:t>
      </w:r>
      <w:r>
        <w:rPr>
          <w:rFonts w:eastAsia="方正仿宋_GBK"/>
          <w:sz w:val="32"/>
          <w:szCs w:val="32"/>
          <w:shd w:val="clear" w:color="auto" w:fill="FFFFFF"/>
        </w:rPr>
        <w:t>以改革创新为动力，整合要素资源，优化发展环境，积极引入社会资本，实现健康服务为业规模不断扩大，基本满足人民群众多层次、多样化的健康需求。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基本原则</w:t>
      </w:r>
    </w:p>
    <w:p>
      <w:pPr>
        <w:spacing w:line="600" w:lineRule="exact"/>
        <w:ind w:firstLine="643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b/>
          <w:sz w:val="32"/>
          <w:szCs w:val="32"/>
          <w:shd w:val="clear" w:color="auto" w:fill="FFFFFF"/>
        </w:rPr>
        <w:t>政府引导、市场运作。</w:t>
      </w:r>
      <w:r>
        <w:rPr>
          <w:rFonts w:eastAsia="方正仿宋_GBK"/>
          <w:sz w:val="32"/>
          <w:szCs w:val="32"/>
          <w:shd w:val="clear" w:color="auto" w:fill="FFFFFF"/>
        </w:rPr>
        <w:t>加强政府在政策制定、标准建设、行业监管等方面的作用，引导行业规范发展。发挥市场在资源配置中的决定性作用，充分利用市场机制实现资源有效配置，鼓励社会资本进入健康服务业领域。</w:t>
      </w:r>
    </w:p>
    <w:p>
      <w:pPr>
        <w:spacing w:line="600" w:lineRule="exact"/>
        <w:ind w:firstLine="643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b/>
          <w:sz w:val="32"/>
          <w:szCs w:val="32"/>
          <w:shd w:val="clear" w:color="auto" w:fill="FFFFFF"/>
        </w:rPr>
        <w:t>创新引领、集聚发展。</w:t>
      </w:r>
      <w:r>
        <w:rPr>
          <w:rFonts w:eastAsia="方正仿宋_GBK"/>
          <w:sz w:val="32"/>
          <w:szCs w:val="32"/>
          <w:shd w:val="clear" w:color="auto" w:fill="FFFFFF"/>
        </w:rPr>
        <w:t>以技术创新为引领，建立健全科技创新激励机制，实现关键技术、重大产品的创新突破。规划建设集聚区，实现健康服务业项目集聚发展。</w:t>
      </w:r>
    </w:p>
    <w:p>
      <w:pPr>
        <w:spacing w:line="600" w:lineRule="exact"/>
        <w:ind w:firstLine="643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b/>
          <w:sz w:val="32"/>
          <w:szCs w:val="32"/>
          <w:shd w:val="clear" w:color="auto" w:fill="FFFFFF"/>
        </w:rPr>
        <w:t>资源整合、融合发展。</w:t>
      </w:r>
      <w:r>
        <w:rPr>
          <w:rFonts w:eastAsia="方正仿宋_GBK"/>
          <w:sz w:val="32"/>
          <w:szCs w:val="32"/>
          <w:shd w:val="clear" w:color="auto" w:fill="FFFFFF"/>
        </w:rPr>
        <w:t>把健康服务业发展，与文化旅游、金融等产业的发展紧密结合，与养老服务、全民健身、公共卫生等民生工作密切联系，深挖政策潜力，整合多方资源，合力推进健康服务业加快发展。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发展目标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到2020年，产业体系和营商环境不断优化，全区健康服务业总规模达130亿元。到2025年，实现重点发展领域明显突破，优势特色领域不断拓宽，产业规模显著扩大，总规模达230亿元，创新研发能力明显增强，基本建成覆盖全生命周期、特色鲜明、结构合理、具有较强国际竞争力的健康服务业体系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重点发展领域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健康医疗</w:t>
      </w:r>
    </w:p>
    <w:p>
      <w:pPr>
        <w:spacing w:line="600" w:lineRule="exact"/>
        <w:ind w:firstLine="643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b/>
          <w:color w:val="000000"/>
          <w:sz w:val="32"/>
          <w:szCs w:val="32"/>
        </w:rPr>
        <w:t>1.培育和发展社会办医品牌。</w:t>
      </w:r>
      <w:r>
        <w:rPr>
          <w:rFonts w:eastAsia="方正仿宋_GBK"/>
          <w:sz w:val="32"/>
          <w:szCs w:val="32"/>
          <w:shd w:val="clear" w:color="auto" w:fill="FFFFFF"/>
        </w:rPr>
        <w:t>支持现有社会办医向规模化、特色化、高水平方向提档升级，引入国际高端美容、口腔等健康服务机构，</w:t>
      </w:r>
      <w:r>
        <w:rPr>
          <w:rFonts w:eastAsia="方正仿宋_GBK"/>
          <w:color w:val="000000"/>
          <w:sz w:val="32"/>
          <w:szCs w:val="32"/>
        </w:rPr>
        <w:t>培育专科医疗品牌</w:t>
      </w:r>
      <w:r>
        <w:rPr>
          <w:rFonts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  <w:shd w:val="clear" w:color="auto" w:fill="FFFFFF"/>
        </w:rPr>
        <w:t>鼓励社会办医机构建立与国际接轨的医疗质量管理体系，开展国际标准认证。落实完善基本医疗保险支持政策，社会办医与公立医疗机构医保同等对待。（责任单位：区卫健委、区医保局）</w:t>
      </w:r>
    </w:p>
    <w:p>
      <w:pPr>
        <w:spacing w:line="600" w:lineRule="exact"/>
        <w:ind w:firstLine="643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2.发展高水平医疗服务。</w:t>
      </w:r>
      <w:r>
        <w:rPr>
          <w:rFonts w:eastAsia="方正仿宋_GBK"/>
          <w:sz w:val="32"/>
          <w:szCs w:val="32"/>
        </w:rPr>
        <w:t>协同创建国家区域医疗中心，支持重医附一院建成国家区域医疗中心（综合医院）、重医附属儿童医院建成国家区域医疗中心（儿童医院），充分发挥重医附二院肝病诊治、</w:t>
      </w:r>
      <w:r>
        <w:rPr>
          <w:rFonts w:eastAsia="方正仿宋_GBK"/>
          <w:color w:val="000000"/>
          <w:kern w:val="0"/>
          <w:sz w:val="32"/>
          <w:szCs w:val="32"/>
        </w:rPr>
        <w:t>市妇幼保健院辅助生殖等专业化、特色化优势。</w:t>
      </w:r>
      <w:r>
        <w:rPr>
          <w:rFonts w:eastAsia="方正仿宋_GBK"/>
          <w:sz w:val="32"/>
          <w:szCs w:val="32"/>
        </w:rPr>
        <w:t>顺应精准医学、转化医学等发展趋势，支持发展基因治疗、免疫细胞治疗、个性化医疗等。</w:t>
      </w:r>
      <w:r>
        <w:rPr>
          <w:rFonts w:eastAsia="方正仿宋_GBK"/>
          <w:color w:val="000000"/>
          <w:sz w:val="32"/>
          <w:szCs w:val="32"/>
        </w:rPr>
        <w:t>推动专业技术资源集约共享，支持发展高水平、集团化医学检验、病理诊断、医学影像等第三方专业机构。（责任单位：区卫健委、区科技局）</w:t>
      </w:r>
    </w:p>
    <w:p>
      <w:pPr>
        <w:spacing w:line="600" w:lineRule="exact"/>
        <w:ind w:firstLine="643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b/>
          <w:bCs/>
          <w:sz w:val="32"/>
          <w:szCs w:val="32"/>
          <w:shd w:val="clear" w:color="auto" w:fill="FFFFFF"/>
        </w:rPr>
        <w:t>3.促进家庭医生服务发展。</w:t>
      </w:r>
      <w:r>
        <w:rPr>
          <w:rFonts w:eastAsia="方正仿宋_GBK"/>
          <w:sz w:val="32"/>
          <w:szCs w:val="32"/>
          <w:shd w:val="clear" w:color="auto" w:fill="FFFFFF"/>
        </w:rPr>
        <w:t>支持家庭医生服务优质化发展，推广个性化家庭医生服务包，支持上门诊疗、护理、康复等居家服务，鼓励开发覆盖家庭医生服务的商业健康保险产品，支持社会办医提供家庭医生服务，逐步培育多元化家庭医生服务市场。</w:t>
      </w:r>
      <w:r>
        <w:rPr>
          <w:rFonts w:eastAsia="方正仿宋_GBK"/>
          <w:sz w:val="32"/>
          <w:szCs w:val="32"/>
        </w:rPr>
        <w:t>（责任单位：区卫健委、区金融办）</w:t>
      </w:r>
    </w:p>
    <w:p>
      <w:pPr>
        <w:spacing w:line="600" w:lineRule="exact"/>
        <w:ind w:firstLine="643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b/>
          <w:bCs/>
          <w:sz w:val="32"/>
          <w:szCs w:val="32"/>
        </w:rPr>
        <w:t>4.推动中医药服务发展。</w:t>
      </w:r>
      <w:r>
        <w:rPr>
          <w:rFonts w:eastAsia="方正仿宋_GBK"/>
          <w:bCs/>
          <w:sz w:val="32"/>
          <w:szCs w:val="32"/>
        </w:rPr>
        <w:t>充分发挥中医药独特优势，</w:t>
      </w:r>
      <w:r>
        <w:rPr>
          <w:rFonts w:eastAsia="方正仿宋_GBK"/>
          <w:sz w:val="32"/>
          <w:szCs w:val="32"/>
        </w:rPr>
        <w:t>弘扬“渝州正骨”学术思想，</w:t>
      </w:r>
      <w:r>
        <w:rPr>
          <w:rFonts w:eastAsia="方正仿宋_GBK"/>
          <w:bCs/>
          <w:sz w:val="32"/>
          <w:szCs w:val="32"/>
        </w:rPr>
        <w:t>推进基层医疗机构中医药特色专科建设，支持社会办中医医疗机构做大做强，鼓励跨地区连锁经营、规模发展</w:t>
      </w:r>
      <w:r>
        <w:rPr>
          <w:rFonts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  <w:shd w:val="clear" w:color="auto" w:fill="FFFFFF"/>
        </w:rPr>
        <w:t>利用区域良好的中医基础，发扬传统医学在中医保健、美容养生、调理康复、养生指导等方面的优势和临床技巧，发展中医药特色的健康管理服务。（责任单位：区卫健委）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健康保险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shd w:val="clear" w:color="auto" w:fill="FFFFFF"/>
        </w:rPr>
        <w:t>构建商业保险公司与医疗、体检、护理等机构合作机制，探索建立政府、社会、个人多方筹资的保险制度，有序推进并规范商业保险机构承办城乡居民大病保险。积极引进国内外大型健康保险机构，支持现有保险机构发展商业健康保险，并引导其加强与健康服务机构合作。探索老年护理、高端医疗、健康管理等健康保险新形式，开发长期护理险、失能险，推行医疗责任保险、医疗意外保险等多种形式医疗执业保险，提供多样化、多层次、规范化的健康保险产品和服务。（责任单位：区金融办、区医保局）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健康服务</w:t>
      </w:r>
    </w:p>
    <w:p>
      <w:pPr>
        <w:spacing w:line="600" w:lineRule="exact"/>
        <w:ind w:firstLine="643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b/>
          <w:bCs/>
          <w:sz w:val="32"/>
          <w:szCs w:val="32"/>
        </w:rPr>
        <w:t>1.发展健康管理服务。</w:t>
      </w:r>
      <w:r>
        <w:rPr>
          <w:rFonts w:eastAsia="方正仿宋_GBK"/>
          <w:sz w:val="32"/>
          <w:szCs w:val="32"/>
          <w:shd w:val="clear" w:color="auto" w:fill="FFFFFF"/>
        </w:rPr>
        <w:t>培育和引进健康体检机构和品牌，提升健康体检市场发展能级，鼓励健康体检机构向健康管理机构转型发展。发展以商业健康保险为支撑、健康风险管理为核心的新型健康管理组织机构。（责任单位：区卫健委、区金融办）</w:t>
      </w:r>
    </w:p>
    <w:p>
      <w:pPr>
        <w:spacing w:line="600" w:lineRule="exact"/>
        <w:ind w:firstLine="643" w:firstLineChars="200"/>
        <w:rPr>
          <w:rFonts w:eastAsia="方正仿宋_GBK"/>
          <w:b/>
          <w:bCs/>
          <w:sz w:val="32"/>
          <w:szCs w:val="32"/>
          <w:shd w:val="clear" w:color="auto" w:fill="FFFFFF"/>
        </w:rPr>
      </w:pPr>
      <w:r>
        <w:rPr>
          <w:rFonts w:eastAsia="方正仿宋_GBK"/>
          <w:b/>
          <w:bCs/>
          <w:sz w:val="32"/>
          <w:szCs w:val="32"/>
          <w:shd w:val="clear" w:color="auto" w:fill="FFFFFF"/>
        </w:rPr>
        <w:t>2.打造特色健康旅游目的地。</w:t>
      </w:r>
      <w:r>
        <w:rPr>
          <w:rFonts w:eastAsia="方正仿宋_GBK"/>
          <w:sz w:val="32"/>
          <w:szCs w:val="32"/>
          <w:shd w:val="clear" w:color="auto" w:fill="FFFFFF"/>
        </w:rPr>
        <w:t>依托区域历史文化风貌区，建设以展示中医药文化体验、中药材制作购买、中医养生保健体验、国医馆诊疗体验等为特色的中医药文化旅游景点。在解放碑、大石化等区域适度集聚整形美容医疗机构，发展美丽新生旅游业态，打造具有渝中特色的健康旅游产品。（责任单位：区卫健委、区文旅委）</w:t>
      </w:r>
    </w:p>
    <w:p>
      <w:pPr>
        <w:spacing w:line="600" w:lineRule="exact"/>
        <w:ind w:firstLine="643" w:firstLineChars="200"/>
        <w:rPr>
          <w:rFonts w:eastAsia="方正仿宋_GBK"/>
          <w:b/>
          <w:bCs/>
          <w:sz w:val="32"/>
          <w:szCs w:val="32"/>
          <w:shd w:val="clear" w:color="auto" w:fill="FFFFFF"/>
        </w:rPr>
      </w:pPr>
      <w:r>
        <w:rPr>
          <w:rFonts w:eastAsia="方正仿宋_GBK"/>
          <w:b/>
          <w:bCs/>
          <w:sz w:val="32"/>
          <w:szCs w:val="32"/>
          <w:shd w:val="clear" w:color="auto" w:fill="FFFFFF"/>
        </w:rPr>
        <w:t>3.加快发展体育健身服务。</w:t>
      </w:r>
      <w:r>
        <w:rPr>
          <w:rFonts w:eastAsia="方正仿宋_GBK"/>
          <w:sz w:val="32"/>
          <w:szCs w:val="32"/>
        </w:rPr>
        <w:t>加强体育健身设施、场馆、公园健身步道建设和管理，支持商务楼宇内开设健身中心。发挥体育协会、青少年体育俱乐部等作用，积极组织开展健走跑步、广场舞等群众性体育活动和都市休闲健身运动。举办国际国内精品体育赛事，发展赛事经济，以赛事活动推动体育用品商贸发展，打造城市体育运动品牌。（</w:t>
      </w:r>
      <w:r>
        <w:rPr>
          <w:rFonts w:eastAsia="方正仿宋_GBK"/>
          <w:sz w:val="32"/>
          <w:szCs w:val="32"/>
          <w:shd w:val="clear" w:color="auto" w:fill="FFFFFF"/>
        </w:rPr>
        <w:t>责任单位：</w:t>
      </w:r>
      <w:r>
        <w:rPr>
          <w:rFonts w:eastAsia="方正仿宋_GBK"/>
          <w:sz w:val="32"/>
          <w:szCs w:val="32"/>
        </w:rPr>
        <w:t>区文旅委、区卫健委）</w:t>
      </w:r>
    </w:p>
    <w:p>
      <w:pPr>
        <w:spacing w:line="600" w:lineRule="exact"/>
        <w:ind w:firstLine="643" w:firstLineChars="200"/>
        <w:rPr>
          <w:rFonts w:eastAsia="方正仿宋_GBK"/>
          <w:b/>
          <w:bCs/>
          <w:sz w:val="32"/>
          <w:szCs w:val="32"/>
          <w:shd w:val="clear" w:color="auto" w:fill="FFFFFF"/>
        </w:rPr>
      </w:pPr>
      <w:r>
        <w:rPr>
          <w:rFonts w:eastAsia="方正仿宋_GBK"/>
          <w:b/>
          <w:bCs/>
          <w:sz w:val="32"/>
          <w:szCs w:val="32"/>
          <w:shd w:val="clear" w:color="auto" w:fill="FFFFFF"/>
        </w:rPr>
        <w:t>4.</w:t>
      </w:r>
      <w:r>
        <w:rPr>
          <w:rFonts w:eastAsia="方正仿宋_GBK"/>
          <w:b/>
          <w:sz w:val="32"/>
          <w:szCs w:val="32"/>
        </w:rPr>
        <w:t xml:space="preserve"> 做优医药商业流通。</w:t>
      </w:r>
      <w:r>
        <w:rPr>
          <w:rFonts w:eastAsia="方正仿宋_GBK"/>
          <w:sz w:val="32"/>
          <w:szCs w:val="32"/>
        </w:rPr>
        <w:t>以区域内重点企业为平台，推动药品、医疗器械等流通企业物联网系统建设，提升药品现代物流的智能化水平。支持和平药房、桐君阁等知名连锁药业与电子商务平台合作，规范发展多形式的医药电子商务，不断创新医药流通商业模式和业态。（责任单位：区交通局、区市场监督管理局、区经信委、区大数据发展局）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康养产业</w:t>
      </w:r>
    </w:p>
    <w:p>
      <w:pPr>
        <w:spacing w:line="600" w:lineRule="exact"/>
        <w:ind w:firstLine="643" w:firstLineChars="200"/>
        <w:rPr>
          <w:rFonts w:eastAsia="方正仿宋_GBK"/>
          <w:b/>
          <w:bCs/>
          <w:sz w:val="32"/>
          <w:szCs w:val="32"/>
          <w:shd w:val="clear" w:color="auto" w:fill="FFFFFF"/>
        </w:rPr>
      </w:pPr>
      <w:r>
        <w:rPr>
          <w:rFonts w:eastAsia="方正仿宋_GBK"/>
          <w:b/>
          <w:bCs/>
          <w:sz w:val="32"/>
          <w:szCs w:val="32"/>
          <w:shd w:val="clear" w:color="auto" w:fill="FFFFFF"/>
        </w:rPr>
        <w:t>1.健全康复医疗体系。</w:t>
      </w:r>
      <w:r>
        <w:rPr>
          <w:rFonts w:eastAsia="方正仿宋_GBK"/>
          <w:sz w:val="32"/>
          <w:szCs w:val="32"/>
          <w:shd w:val="clear" w:color="auto" w:fill="FFFFFF"/>
        </w:rPr>
        <w:t>鼓励社会资本参与康复医疗，鼓励发展儿科康复、老年康复等领域，大力发展运动康复，支持社会力量兴办以科学健身为核心的体医结合健康管理机构。鼓励康复医疗器械、康复教育设备、辅助器具研发。（责任单位：区卫健委、区市场监督管理局、区文旅委）</w:t>
      </w:r>
    </w:p>
    <w:p>
      <w:pPr>
        <w:spacing w:line="600" w:lineRule="exact"/>
        <w:ind w:firstLine="643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b/>
          <w:bCs/>
          <w:sz w:val="32"/>
          <w:szCs w:val="32"/>
          <w:shd w:val="clear" w:color="auto" w:fill="FFFFFF"/>
        </w:rPr>
        <w:t>2.大力推进医养结合。</w:t>
      </w:r>
      <w:r>
        <w:rPr>
          <w:rFonts w:eastAsia="方正仿宋_GBK"/>
          <w:sz w:val="32"/>
          <w:szCs w:val="32"/>
        </w:rPr>
        <w:t>支持有条件的养老机构举办医疗机构，增强养老机构的医疗、康复、护理、保健功能，促进养老机构与社区卫生服务中心协作。鼓励社会资本兴办老年康复、老年护理、临终关怀医院等机构。丰富社区卫生服务中心功能，加强康复护理能力建设，利用家庭医生签约服务等方式，为居民提供居家养老医疗服务。（责任单位：区卫健委、区民政局）</w:t>
      </w:r>
    </w:p>
    <w:p>
      <w:pPr>
        <w:widowControl/>
        <w:spacing w:line="600" w:lineRule="exact"/>
        <w:ind w:firstLine="643" w:firstLineChars="200"/>
        <w:rPr>
          <w:rFonts w:eastAsia="方正仿宋_GBK"/>
          <w:b/>
          <w:bCs/>
          <w:sz w:val="32"/>
          <w:szCs w:val="32"/>
          <w:shd w:val="clear" w:color="auto" w:fill="FFFFFF"/>
        </w:rPr>
      </w:pPr>
      <w:r>
        <w:rPr>
          <w:rFonts w:eastAsia="方正仿宋_GBK"/>
          <w:b/>
          <w:bCs/>
          <w:sz w:val="32"/>
          <w:szCs w:val="32"/>
          <w:shd w:val="clear" w:color="auto" w:fill="FFFFFF"/>
        </w:rPr>
        <w:t>3. 促进养老服务水平提升。</w:t>
      </w:r>
      <w:r>
        <w:rPr>
          <w:rFonts w:eastAsia="方正仿宋_GBK"/>
          <w:color w:val="000000"/>
          <w:sz w:val="32"/>
          <w:szCs w:val="32"/>
        </w:rPr>
        <w:t>大力发展机构养老服务，探索公办福利院改革，充分发挥公办福利院行业带头作用和托底保障功能。积极引导社会力量投资兴办中高端、护理型养老机构，多渠道满足老年人对机构养老的差异化、个性化需求。重点发展居家和社区养老服务，推进居家和社区养老服务改革，强化设施建设，完善政策体系，推进社区养老服务标准化，深化社区养老专业化连锁化运营模式，探索实施一批养老服务社会工作项目，对接实施“为老服务关爱工程”，大力促进助餐、助浴、助医等基本养老服务，全面提升居家和社区养老服务水平。（责任单位：区民政局）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健康信息化</w:t>
      </w:r>
    </w:p>
    <w:p>
      <w:pPr>
        <w:spacing w:line="600" w:lineRule="exact"/>
        <w:ind w:firstLine="640" w:firstLineChars="200"/>
        <w:rPr>
          <w:rFonts w:eastAsia="方正仿宋_GBK"/>
          <w:b/>
          <w:bCs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深入推进“互联网+”医疗，支持发展互联网医院、远程医疗等新型业态，探索线上线下结合发展模式。积极发展网上预约挂号、在线咨询、交流互动、网上支付、健康监测等健康信息服务业态。鼓励互联网企业与医疗机构合作建立医疗网络信息平台，推动医疗卫生机构完善卫生信息化建设，支持开展远程会诊和医疗协作、分级诊疗，以区域卫生平台加强信息资源整合。加快医疗健康大数据开发应用，利用穿戴式植入式智能设备、移动终端、固定终端等终端设备，提供智慧化、个性化健康管理服务，培育一批移动医疗服务品牌。以提供智慧医疗系统整体解决方案为核心，数字化健康产品的研发设计、软件开发、信息系统集成、信息技术咨询、数据处理和存储、数字内容服务为关键环节，积极构建健康信息服务产业链，打造健康信息产业集群。（责任单位：区科技局、区经信委、区卫健委、区大数据发展局）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重点任务</w:t>
      </w:r>
    </w:p>
    <w:p>
      <w:p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（一）打造健康服务业集聚载体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bCs/>
          <w:sz w:val="32"/>
          <w:szCs w:val="32"/>
        </w:rPr>
        <w:t>加快产业集聚区等健康服务业集聚载体的规划建设，</w:t>
      </w:r>
      <w:r>
        <w:rPr>
          <w:rFonts w:eastAsia="方正仿宋_GBK"/>
          <w:sz w:val="32"/>
          <w:szCs w:val="32"/>
          <w:shd w:val="clear" w:color="auto" w:fill="FFFFFF"/>
        </w:rPr>
        <w:t>依托服务业集聚区发展路径，</w:t>
      </w:r>
      <w:r>
        <w:rPr>
          <w:rFonts w:eastAsia="方正仿宋_GBK"/>
          <w:sz w:val="32"/>
          <w:szCs w:val="32"/>
        </w:rPr>
        <w:t>通过健康服务业集聚区、重点园区（基地）、特色楼宇、众创空间等不同类型载体的榜样效应和带动效应，引领全区健康服务业集聚、集约发展，促进协同发展。</w:t>
      </w:r>
      <w:r>
        <w:rPr>
          <w:rFonts w:eastAsia="方正仿宋_GBK"/>
          <w:bCs/>
          <w:sz w:val="32"/>
          <w:szCs w:val="32"/>
          <w:shd w:val="clear" w:color="auto" w:fill="FFFFFF"/>
        </w:rPr>
        <w:t>（责任单位：区发改委、各管委会）</w:t>
      </w:r>
    </w:p>
    <w:p>
      <w:p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（二）推进健康服务业重点项目</w:t>
      </w:r>
    </w:p>
    <w:p>
      <w:pPr>
        <w:spacing w:line="600" w:lineRule="exact"/>
        <w:ind w:firstLine="640" w:firstLineChars="200"/>
        <w:rPr>
          <w:rFonts w:eastAsia="方正仿宋_GBK"/>
          <w:b/>
          <w:sz w:val="32"/>
          <w:shd w:val="clear" w:color="auto" w:fill="FFFFFF"/>
        </w:rPr>
      </w:pPr>
      <w:r>
        <w:rPr>
          <w:rFonts w:eastAsia="方正仿宋_GBK"/>
          <w:sz w:val="32"/>
          <w:shd w:val="clear" w:color="auto" w:fill="FFFFFF"/>
        </w:rPr>
        <w:t>围绕重庆医科大学及其周边区域，打造环重医创新创业生态圈，协同推进重庆国际医学中心、先进医疗服务集群、新兴医疗产业链、医学创新发展引导基金建设。</w:t>
      </w:r>
      <w:r>
        <w:rPr>
          <w:rFonts w:eastAsia="方正仿宋_GBK"/>
          <w:sz w:val="32"/>
          <w:szCs w:val="32"/>
        </w:rPr>
        <w:t>推进重庆市中医骨科医院化龙桥新院迁建及“三甲”中医专科医院创建，实施社区卫生品质提升工程，增强社区卫生服务中心平台功能。培育医疗健康服务集团，加快形成一批具有核心竞争力、带动性强的品牌服务机构。推进社区养老服务“千百工程”，打造市级示范社区养老服务中心。开展养老机构质量提升工程，健全养老机构质量治理和促进体系。</w:t>
      </w:r>
      <w:r>
        <w:rPr>
          <w:rFonts w:eastAsia="方正仿宋_GBK"/>
          <w:sz w:val="32"/>
          <w:shd w:val="clear" w:color="auto" w:fill="FFFFFF"/>
        </w:rPr>
        <w:t>（责任单位：区科技局、区卫健委、区民政局）</w:t>
      </w:r>
    </w:p>
    <w:p>
      <w:p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（三）培育健康服务业骨干企业</w:t>
      </w:r>
    </w:p>
    <w:p>
      <w:pPr>
        <w:widowControl/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支持和鼓励健康服务业以总部经济模式发展。支持和引进</w:t>
      </w:r>
      <w:r>
        <w:rPr>
          <w:rFonts w:eastAsia="方正仿宋_GBK"/>
          <w:sz w:val="32"/>
          <w:szCs w:val="32"/>
        </w:rPr>
        <w:t>成长性好的企业集团化发展，成为全国性或区域性总部企业。吸引市内外生产、服务以及销售等知名健康服务业龙头企业组建产、学、研、服务一体化的总部经济集群。</w:t>
      </w:r>
      <w:r>
        <w:rPr>
          <w:rFonts w:eastAsia="方正仿宋_GBK"/>
          <w:bCs/>
          <w:sz w:val="32"/>
          <w:szCs w:val="32"/>
        </w:rPr>
        <w:t>培育壮大龙头企业。</w:t>
      </w:r>
      <w:r>
        <w:rPr>
          <w:rFonts w:eastAsia="方正仿宋_GBK"/>
          <w:sz w:val="32"/>
          <w:szCs w:val="32"/>
        </w:rPr>
        <w:t>鼓励健康服务业龙头企业通过兼并重组、合资合作等方式整合、优化产业链，加快发展成为拥有核心技术、能够完善产业链、带动作用强的大企业大集团。鼓励和支持中小微健康服务业企业参与大型企业服务流程协作，培育一批商业模式新颖、专业特色明显、竞争力强的中小微企业群体。（责任单位：区发改委、区市场监督管理局、区金融办、区科技局、区卫健委、区经信委、区大数据局、区招商投资局）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保障措施</w:t>
      </w:r>
    </w:p>
    <w:p>
      <w:p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（一）加强组织领导</w:t>
      </w:r>
    </w:p>
    <w:p>
      <w:p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建立由卫生健康、发展改革、教育、科技、经济和信息化、民政、财政、人力资源</w:t>
      </w:r>
      <w:r>
        <w:rPr>
          <w:rFonts w:hint="eastAsia" w:eastAsia="方正仿宋_GBK"/>
          <w:kern w:val="0"/>
          <w:sz w:val="32"/>
          <w:szCs w:val="32"/>
          <w:lang w:eastAsia="zh-CN"/>
        </w:rPr>
        <w:t>和</w:t>
      </w:r>
      <w:bookmarkStart w:id="0" w:name="_GoBack"/>
      <w:bookmarkEnd w:id="0"/>
      <w:r>
        <w:rPr>
          <w:rFonts w:eastAsia="方正仿宋_GBK"/>
          <w:kern w:val="0"/>
          <w:sz w:val="32"/>
          <w:szCs w:val="32"/>
        </w:rPr>
        <w:t>社会保障、国土资源、环保、住建、商务、税务、体育、统计、市场监管、文化旅游等部门组成的推进健康服务业发展联席会议，负责做好健康服务业政策制定和重大问题、重大项目协调工作，全力推动全区健康服务业发展。（责任单位：区发改委、区卫健委、区教委、区科技局、区经信委、区民政局、区财政局、区人社局、区规划自然资源分局、区生态环境局、区住建委、区商务委、区税务局、区文旅委、区统计局、区市场监督管理局、区金融办）</w:t>
      </w:r>
    </w:p>
    <w:p>
      <w:p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（二）强化要素保障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支持通过盘活存量房产和土地，合理利用楼宇、街巷空间等方式，保障健康服务业发展空间需求。对符合条件的企业，在区租赁自用办公用房或一次性购买、置换新建楼宇建筑面积 2000 平方米以上的自用办公房，按有关规定给予补贴或补助。加强创投引导基金的导向作用，支持设立健康服务业创投机构、天使投资基金等。将健康服务业纳入各类引导资金支持范围并加大支持力度。强化政银企合作，引导各金融机构加大对健康服务业贷款的投入，积极打造具有创新性、针对性的金融产品和服务。发挥多层次资本市场作用，促进健康服务业对接国内资本市场，支持符合条件的企业在国内主板、中小板及创业板上市，在新三板、区域股权市场挂牌，多层次培育上市、挂牌后备企业。（责任单位：区发改委、区金融办、区财政局）</w:t>
      </w:r>
    </w:p>
    <w:p>
      <w:p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（三）厚植人才优势</w:t>
      </w:r>
    </w:p>
    <w:p>
      <w:pPr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eastAsia="方正仿宋_GBK"/>
          <w:sz w:val="32"/>
          <w:szCs w:val="32"/>
        </w:rPr>
        <w:t>以“鸿雁计划”“</w:t>
      </w:r>
      <w:r>
        <w:rPr>
          <w:rFonts w:eastAsia="方正仿宋_GBK"/>
          <w:sz w:val="32"/>
        </w:rPr>
        <w:t>渝中英才计划</w:t>
      </w:r>
      <w:r>
        <w:rPr>
          <w:rFonts w:eastAsia="方正仿宋_GBK"/>
          <w:sz w:val="32"/>
          <w:szCs w:val="32"/>
        </w:rPr>
        <w:t>”为引导，加强人才引进和培育，支持健康服务企业引进海内外高层次创新创业人才，使渝中成为健康产业人才汇聚地。加强领军人物培养引进和创新团队建设，建立企业家队伍，为产业发展提供保障。针对健康领域人才，研究实施个性化、针对性人才政策，按照有关规定在居住、就医、入学等方面加大保障。（责任单位：区卫健委、区人社局）</w:t>
      </w:r>
    </w:p>
    <w:p>
      <w:p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（四）放宽市场准入</w:t>
      </w:r>
    </w:p>
    <w:p>
      <w:pPr>
        <w:pStyle w:val="14"/>
        <w:spacing w:before="0" w:beforeAutospacing="0" w:after="0" w:afterAutospacing="0" w:line="600" w:lineRule="exact"/>
        <w:ind w:firstLine="640" w:firstLineChars="200"/>
        <w:rPr>
          <w:rFonts w:ascii="Times New Roman" w:eastAsia="方正仿宋_GBK" w:cs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eastAsia="方正仿宋_GBK" w:cs="Times New Roman"/>
          <w:color w:val="000000"/>
          <w:sz w:val="32"/>
          <w:szCs w:val="32"/>
        </w:rPr>
        <w:t>推进行政审批制度改革</w:t>
      </w:r>
      <w:r>
        <w:rPr>
          <w:rFonts w:ascii="Times New Roman" w:eastAsia="方正仿宋_GBK" w:cs="Times New Roman"/>
          <w:kern w:val="2"/>
          <w:sz w:val="32"/>
          <w:szCs w:val="32"/>
          <w:shd w:val="clear" w:color="auto" w:fill="FFFFFF"/>
        </w:rPr>
        <w:t>，简化社会办医的审批流程，取消无法定依据的前置条件或证明材料，压缩审批时限。鼓励发展共享医疗服务模式，对共享医技服务的医疗机构相应科室设置和设施不做硬性要求，相关委托协议可作为该医疗机构登记有关诊疗科目的依据。建立更加公开透明的市场准入模式，进一步优化健康服务业营商环境，推进健康服务业蓬勃发展。（责任单位：区卫健委、区市场监督管理局、区司法局）</w:t>
      </w:r>
    </w:p>
    <w:p>
      <w:pPr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（五）加强风险防控</w:t>
      </w:r>
    </w:p>
    <w:p>
      <w:pPr>
        <w:pStyle w:val="14"/>
        <w:spacing w:before="0" w:beforeAutospacing="0" w:after="0" w:afterAutospacing="0" w:line="600" w:lineRule="exact"/>
        <w:ind w:firstLine="482" w:firstLineChars="150"/>
        <w:rPr>
          <w:rFonts w:ascii="Times New Roman" w:eastAsia="方正仿宋_GBK" w:cs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eastAsia="方正仿宋_GBK" w:cs="Times New Roman"/>
          <w:b/>
          <w:kern w:val="2"/>
          <w:sz w:val="32"/>
          <w:szCs w:val="32"/>
          <w:shd w:val="clear" w:color="auto" w:fill="FFFFFF"/>
        </w:rPr>
        <w:t>1.加强监督管理。</w:t>
      </w:r>
      <w:r>
        <w:rPr>
          <w:rFonts w:ascii="Times New Roman" w:eastAsia="方正仿宋_GBK" w:cs="Times New Roman"/>
          <w:kern w:val="2"/>
          <w:sz w:val="32"/>
          <w:szCs w:val="32"/>
          <w:shd w:val="clear" w:color="auto" w:fill="FFFFFF"/>
        </w:rPr>
        <w:t>完善医疗服务监督执法体系，加强监管能力及队伍建设，建立卫生健康、医保、市场监管、民政、公安等多部门联合监管机制，依法规范健康服务机构从业行为，加强健康产品生产、流通、销售环节监管，保障消费者合法权益。对新兴健康服务业，探索包容审慎的监管方式。（责任单位：区卫健委、区医保局、区市场监督管理局、区民政局、区公安分局）</w:t>
      </w:r>
    </w:p>
    <w:p>
      <w:pPr>
        <w:pStyle w:val="14"/>
        <w:spacing w:before="0" w:beforeAutospacing="0" w:after="0" w:afterAutospacing="0" w:line="600" w:lineRule="exact"/>
        <w:ind w:firstLine="482" w:firstLineChars="150"/>
        <w:rPr>
          <w:rFonts w:ascii="Times New Roman" w:eastAsia="方正仿宋_GBK" w:cs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eastAsia="方正仿宋_GBK" w:cs="Times New Roman"/>
          <w:b/>
          <w:kern w:val="2"/>
          <w:sz w:val="32"/>
          <w:szCs w:val="32"/>
          <w:shd w:val="clear" w:color="auto" w:fill="FFFFFF"/>
        </w:rPr>
        <w:t>2.强化行业自律。</w:t>
      </w:r>
      <w:r>
        <w:rPr>
          <w:rFonts w:ascii="Times New Roman" w:eastAsia="方正仿宋_GBK" w:cs="Times New Roman"/>
          <w:kern w:val="2"/>
          <w:sz w:val="32"/>
          <w:szCs w:val="32"/>
          <w:shd w:val="clear" w:color="auto" w:fill="FFFFFF"/>
        </w:rPr>
        <w:t>推动健康服务业及各细分行业建立行业协会、产业发展促进会等行业组织。充分发挥行业组织在业内协调、行业服务、监测研究、标准制订、从业人员执业行为规范、行业信誉维护，与政府沟通桥梁等方面的作用，建立健全行业自我管理、自我协调、自我发展机制，促进健康服务业的持续健康发展。（责任单位：各行业协会）</w:t>
      </w:r>
    </w:p>
    <w:p>
      <w:pPr>
        <w:pStyle w:val="14"/>
        <w:spacing w:before="0" w:beforeAutospacing="0" w:after="0" w:afterAutospacing="0" w:line="594" w:lineRule="exact"/>
        <w:rPr>
          <w:rFonts w:ascii="Times New Roman" w:eastAsia="方正仿宋_GBK" w:cs="Times New Roman"/>
          <w:kern w:val="2"/>
          <w:sz w:val="32"/>
          <w:szCs w:val="32"/>
          <w:shd w:val="clear" w:color="auto" w:fill="FFFFFF"/>
        </w:rPr>
      </w:pPr>
    </w:p>
    <w:p>
      <w:pPr>
        <w:pStyle w:val="14"/>
        <w:spacing w:before="0" w:beforeAutospacing="0" w:after="0" w:afterAutospacing="0" w:line="594" w:lineRule="exact"/>
        <w:rPr>
          <w:rFonts w:ascii="Times New Roman" w:eastAsia="方正仿宋_GBK" w:cs="Times New Roman"/>
          <w:kern w:val="2"/>
          <w:sz w:val="32"/>
          <w:szCs w:val="32"/>
          <w:shd w:val="clear" w:color="auto" w:fill="FFFFFF"/>
        </w:rPr>
      </w:pPr>
    </w:p>
    <w:p>
      <w:pPr>
        <w:pStyle w:val="14"/>
        <w:spacing w:before="0" w:beforeAutospacing="0" w:after="0" w:afterAutospacing="0" w:line="594" w:lineRule="exact"/>
        <w:rPr>
          <w:rFonts w:ascii="Times New Roman" w:eastAsia="方正仿宋_GBK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eastAsia="方正仿宋_GBK" w:cs="Times New Roman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方正仿宋_GBK" w:cs="Times New Roman"/>
          <w:kern w:val="2"/>
          <w:sz w:val="32"/>
          <w:szCs w:val="32"/>
          <w:shd w:val="clear" w:color="auto" w:fill="FFFFFF"/>
        </w:rPr>
        <w:t xml:space="preserve">                </w:t>
      </w:r>
      <w:r>
        <w:rPr>
          <w:rFonts w:hint="eastAsia" w:ascii="Times New Roman" w:eastAsia="方正仿宋_GBK" w:cs="Times New Roman"/>
          <w:kern w:val="2"/>
          <w:sz w:val="32"/>
          <w:szCs w:val="32"/>
          <w:shd w:val="clear" w:color="auto" w:fill="FFFFFF"/>
        </w:rPr>
        <w:t xml:space="preserve">     重庆市</w:t>
      </w:r>
      <w:r>
        <w:rPr>
          <w:rFonts w:ascii="Times New Roman" w:eastAsia="方正仿宋_GBK" w:cs="Times New Roman"/>
          <w:kern w:val="2"/>
          <w:sz w:val="32"/>
          <w:szCs w:val="32"/>
          <w:shd w:val="clear" w:color="auto" w:fill="FFFFFF"/>
        </w:rPr>
        <w:t>渝中区卫生健康委员会</w:t>
      </w:r>
    </w:p>
    <w:p>
      <w:pPr>
        <w:pStyle w:val="2"/>
        <w:spacing w:before="0" w:after="0" w:line="600" w:lineRule="exact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仿宋_GBK"/>
          <w:b w:val="0"/>
          <w:sz w:val="32"/>
          <w:szCs w:val="32"/>
          <w:shd w:val="clear" w:color="auto" w:fill="FFFFFF"/>
        </w:rPr>
        <w:t xml:space="preserve">                             </w:t>
      </w:r>
      <w:r>
        <w:rPr>
          <w:rFonts w:hint="eastAsia" w:ascii="Times New Roman" w:hAnsi="Times New Roman" w:eastAsia="方正仿宋_GBK"/>
          <w:b w:val="0"/>
          <w:sz w:val="32"/>
          <w:szCs w:val="32"/>
          <w:shd w:val="clear" w:color="auto" w:fill="FFFFFF"/>
        </w:rPr>
        <w:t>2019年4月2</w:t>
      </w:r>
      <w:r>
        <w:rPr>
          <w:rFonts w:ascii="Times New Roman" w:hAnsi="Times New Roman" w:eastAsia="方正仿宋_GBK"/>
          <w:b w:val="0"/>
          <w:sz w:val="32"/>
          <w:szCs w:val="32"/>
          <w:shd w:val="clear" w:color="auto" w:fill="FFFFFF"/>
        </w:rPr>
        <w:t>8</w:t>
      </w:r>
      <w:r>
        <w:rPr>
          <w:rFonts w:hint="eastAsia" w:ascii="Times New Roman" w:hAnsi="Times New Roman" w:eastAsia="方正仿宋_GBK"/>
          <w:b w:val="0"/>
          <w:sz w:val="32"/>
          <w:szCs w:val="32"/>
          <w:shd w:val="clear" w:color="auto" w:fill="FFFFFF"/>
        </w:rPr>
        <w:t>日</w:t>
      </w:r>
    </w:p>
    <w:p>
      <w:pPr>
        <w:spacing w:line="600" w:lineRule="exact"/>
        <w:rPr>
          <w:rFonts w:eastAsia="方正小标宋_GBK"/>
          <w:sz w:val="44"/>
          <w:szCs w:val="44"/>
        </w:rPr>
      </w:pPr>
    </w:p>
    <w:p>
      <w:pPr>
        <w:pStyle w:val="2"/>
        <w:spacing w:before="0" w:after="0" w:line="600" w:lineRule="exact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600" w:lineRule="exact"/>
        <w:rPr>
          <w:rFonts w:eastAsia="方正小标宋_GBK"/>
          <w:sz w:val="44"/>
          <w:szCs w:val="44"/>
        </w:rPr>
      </w:pPr>
    </w:p>
    <w:p>
      <w:pPr>
        <w:pStyle w:val="2"/>
        <w:spacing w:before="0" w:after="0" w:line="600" w:lineRule="exact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600" w:lineRule="exact"/>
        <w:rPr>
          <w:rFonts w:eastAsia="方正小标宋_GBK"/>
          <w:sz w:val="44"/>
          <w:szCs w:val="44"/>
        </w:rPr>
      </w:pPr>
    </w:p>
    <w:p>
      <w:pPr>
        <w:pStyle w:val="2"/>
        <w:spacing w:before="0" w:after="0" w:line="600" w:lineRule="exact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600" w:lineRule="exact"/>
        <w:rPr>
          <w:rFonts w:eastAsia="方正小标宋_GBK"/>
          <w:sz w:val="44"/>
          <w:szCs w:val="44"/>
        </w:rPr>
      </w:pPr>
    </w:p>
    <w:p>
      <w:pPr>
        <w:pStyle w:val="2"/>
        <w:spacing w:before="0" w:after="0" w:line="600" w:lineRule="exact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600" w:lineRule="exact"/>
        <w:rPr>
          <w:rFonts w:eastAsia="方正小标宋_GBK"/>
          <w:sz w:val="44"/>
          <w:szCs w:val="44"/>
        </w:rPr>
      </w:pPr>
    </w:p>
    <w:p>
      <w:pPr>
        <w:pStyle w:val="2"/>
        <w:spacing w:before="0" w:after="0" w:line="600" w:lineRule="exact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600" w:lineRule="exact"/>
        <w:rPr>
          <w:rFonts w:eastAsia="方正小标宋_GBK"/>
          <w:sz w:val="44"/>
          <w:szCs w:val="44"/>
        </w:rPr>
      </w:pPr>
    </w:p>
    <w:p>
      <w:pPr>
        <w:pStyle w:val="2"/>
        <w:spacing w:before="0" w:after="0" w:line="600" w:lineRule="exact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600" w:lineRule="exact"/>
        <w:rPr>
          <w:rFonts w:eastAsia="方正小标宋_GBK"/>
          <w:sz w:val="44"/>
          <w:szCs w:val="44"/>
        </w:rPr>
      </w:pPr>
    </w:p>
    <w:p>
      <w:pPr>
        <w:rPr>
          <w:rFonts w:eastAsia="方正小标宋_GBK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 w:chapStyle="1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4937125</wp:posOffset>
              </wp:positionH>
              <wp:positionV relativeFrom="paragraph">
                <wp:posOffset>-332105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75pt;margin-top:-26.1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rF4a52QAAAAwBAAAPAAAAAAAA&#10;AAEAIAAAACIAAABkcnMvZG93bnJldi54bWxQSwECFAAUAAAACACHTuJAspcyjxECAAAJBAAADgAA&#10;AAAAAAABACAAAAAo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64770</wp:posOffset>
              </wp:positionV>
              <wp:extent cx="5519420" cy="20955"/>
              <wp:effectExtent l="0" t="0" r="0" b="0"/>
              <wp:wrapNone/>
              <wp:docPr id="24" name="直接连接符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9420" cy="2095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95pt;margin-top:5.1pt;height:1.65pt;width:434.6pt;z-index:251661312;mso-width-relative:page;mso-height-relative:page;" filled="f" stroked="t" coordsize="21600,21600" o:gfxdata="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2Njg60QAAAAcBAAAPAAAAAAAAAAEAIAAAACIAAABkcnMvZG93bnJldi54bWxQSwEC&#10;FAAUAAAACACHTuJAWFINF8IBAABTAwAADgAAAAAAAAABACAAAAAgAQAAZHJzL2Uyb0RvYy54bWxQ&#10;SwUGAAAAAAYABgBZAQAAVAUAAAAA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</w:rPr>
      <w:t xml:space="preserve">                         </w:t>
    </w:r>
    <w:r>
      <w:rPr>
        <w:rFonts w:ascii="宋体" w:hAnsi="宋体" w:cs="宋体"/>
        <w:b/>
        <w:bCs/>
        <w:color w:val="005192"/>
        <w:sz w:val="28"/>
        <w:szCs w:val="44"/>
        <w:lang w:eastAsia="zh-Hans"/>
      </w:rPr>
      <w:t>重庆市渝中区</w:t>
    </w:r>
    <w:r>
      <w:rPr>
        <w:rFonts w:hint="eastAsia" w:ascii="宋体" w:hAnsi="宋体" w:cs="宋体"/>
        <w:b/>
        <w:bCs/>
        <w:color w:val="005192"/>
        <w:sz w:val="28"/>
        <w:szCs w:val="44"/>
      </w:rPr>
      <w:t>卫生健康委员会</w:t>
    </w:r>
    <w:r>
      <w:rPr>
        <w:rFonts w:ascii="宋体" w:hAnsi="宋体" w:cs="宋体"/>
        <w:b/>
        <w:bCs/>
        <w:color w:val="005192"/>
        <w:sz w:val="28"/>
        <w:szCs w:val="44"/>
        <w:lang w:eastAsia="zh-Hans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both"/>
      <w:textAlignment w:val="center"/>
      <w:rPr>
        <w:rFonts w:ascii="宋体" w:hAnsi="宋体" w:cs="宋体"/>
        <w:b/>
        <w:bCs/>
        <w:color w:val="005192"/>
        <w:sz w:val="32"/>
        <w:szCs w:val="32"/>
      </w:rPr>
    </w:pPr>
  </w:p>
  <w:p>
    <w:pPr>
      <w:pStyle w:val="10"/>
      <w:pBdr>
        <w:bottom w:val="none" w:color="auto" w:sz="0" w:space="1"/>
      </w:pBdr>
      <w:ind w:firstLine="643" w:firstLineChars="200"/>
      <w:jc w:val="both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372745</wp:posOffset>
              </wp:positionV>
              <wp:extent cx="5534025" cy="17145"/>
              <wp:effectExtent l="0" t="0" r="0" b="0"/>
              <wp:wrapNone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534025" cy="1714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.15pt;margin-top:29.35pt;height:1.35pt;width:435.75pt;z-index:251659264;mso-width-relative:page;mso-height-relative:page;" filled="f" stroked="t" coordsize="21600,21600" o:gfxdata="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zkXz9MAAAAHAQAADwAAAAAAAAABACAAAAAiAAAAZHJz&#10;L2Rvd25yZXYueG1sUEsBAhQAFAAAAAgAh07iQIL/DCvQAQAAXgMAAA4AAAAAAAAAAQAgAAAAIgEA&#10;AGRycy9lMm9Eb2MueG1sUEsFBgAAAAAGAAYAWQEAAGQFAAAAAA==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34925</wp:posOffset>
          </wp:positionV>
          <wp:extent cx="308610" cy="308610"/>
          <wp:effectExtent l="0" t="0" r="15240" b="15240"/>
          <wp:wrapTight wrapText="bothSides">
            <wp:wrapPolygon>
              <wp:start x="4000" y="0"/>
              <wp:lineTo x="0" y="4000"/>
              <wp:lineTo x="0" y="9333"/>
              <wp:lineTo x="1333" y="20000"/>
              <wp:lineTo x="18667" y="20000"/>
              <wp:lineTo x="20000" y="5333"/>
              <wp:lineTo x="16000" y="0"/>
              <wp:lineTo x="4000" y="0"/>
            </wp:wrapPolygon>
          </wp:wrapTight>
          <wp:docPr id="22" name="图片 2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cs="宋体"/>
        <w:b/>
        <w:bCs/>
        <w:color w:val="005192"/>
        <w:sz w:val="32"/>
      </w:rPr>
      <w:t>重庆市渝中区卫生健康委员会</w:t>
    </w:r>
    <w:r>
      <w:rPr>
        <w:rFonts w:hint="eastAsia" w:ascii="宋体" w:hAnsi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64459C"/>
    <w:multiLevelType w:val="singleLevel"/>
    <w:tmpl w:val="8064459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B8DD36B"/>
    <w:multiLevelType w:val="singleLevel"/>
    <w:tmpl w:val="CB8DD3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OWU4MDUzNTUyMDA2NTg3OWVhNmNkODI2OTU4OWEifQ=="/>
  </w:docVars>
  <w:rsids>
    <w:rsidRoot w:val="00511337"/>
    <w:rsid w:val="00511337"/>
    <w:rsid w:val="00891361"/>
    <w:rsid w:val="00B673F3"/>
    <w:rsid w:val="00BE3949"/>
    <w:rsid w:val="00F51E38"/>
    <w:rsid w:val="046D648C"/>
    <w:rsid w:val="05550284"/>
    <w:rsid w:val="0E82210E"/>
    <w:rsid w:val="0FD15DC0"/>
    <w:rsid w:val="10A71497"/>
    <w:rsid w:val="13226A27"/>
    <w:rsid w:val="18EC48BA"/>
    <w:rsid w:val="38AE4D06"/>
    <w:rsid w:val="3F417E58"/>
    <w:rsid w:val="44D31042"/>
    <w:rsid w:val="516556E7"/>
    <w:rsid w:val="520A441D"/>
    <w:rsid w:val="53645375"/>
    <w:rsid w:val="57E24855"/>
    <w:rsid w:val="5FA679F4"/>
    <w:rsid w:val="60240EB1"/>
    <w:rsid w:val="7F4140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unhideWhenUsed/>
    <w:uiPriority w:val="1"/>
  </w:style>
  <w:style w:type="table" w:default="1" w:styleId="1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3">
    <w:name w:val="Body Text First Indent"/>
    <w:basedOn w:val="4"/>
    <w:qFormat/>
    <w:uiPriority w:val="99"/>
    <w:pPr>
      <w:ind w:firstLine="420" w:firstLineChars="100"/>
    </w:pPr>
    <w:rPr>
      <w:szCs w:val="24"/>
    </w:rPr>
  </w:style>
  <w:style w:type="paragraph" w:styleId="4">
    <w:name w:val="Body Text"/>
    <w:basedOn w:val="1"/>
    <w:next w:val="1"/>
    <w:link w:val="24"/>
    <w:qFormat/>
    <w:uiPriority w:val="0"/>
    <w:pPr>
      <w:spacing w:after="120"/>
    </w:pPr>
    <w:rPr>
      <w:rFonts w:ascii="Calibri" w:hAnsi="Calibri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link w:val="21"/>
    <w:unhideWhenUsed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25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6"/>
    <w:link w:val="22"/>
    <w:qFormat/>
    <w:uiPriority w:val="0"/>
    <w:pPr>
      <w:adjustRightInd w:val="0"/>
      <w:spacing w:line="312" w:lineRule="atLeast"/>
      <w:ind w:left="200" w:firstLine="200" w:firstLineChars="200"/>
      <w:textAlignment w:val="baseline"/>
    </w:pPr>
    <w:rPr>
      <w:sz w:val="32"/>
      <w:szCs w:val="32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index heading"/>
    <w:basedOn w:val="1"/>
    <w:next w:val="12"/>
    <w:qFormat/>
    <w:uiPriority w:val="0"/>
    <w:rPr>
      <w:rFonts w:ascii="Cambria" w:hAnsi="Cambria"/>
      <w:b/>
      <w:bCs/>
    </w:rPr>
  </w:style>
  <w:style w:type="paragraph" w:styleId="12">
    <w:name w:val="index 1"/>
    <w:basedOn w:val="1"/>
    <w:next w:val="1"/>
    <w:qFormat/>
    <w:uiPriority w:val="0"/>
  </w:style>
  <w:style w:type="paragraph" w:styleId="13">
    <w:name w:val="Message Header"/>
    <w:basedOn w:val="1"/>
    <w:next w:val="4"/>
    <w:link w:val="2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cs="Cambria"/>
      <w:sz w:val="24"/>
      <w:szCs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6">
    <w:name w:val="Strong"/>
    <w:basedOn w:val="15"/>
    <w:qFormat/>
    <w:uiPriority w:val="0"/>
    <w:rPr>
      <w:b/>
      <w:bCs/>
    </w:rPr>
  </w:style>
  <w:style w:type="paragraph" w:customStyle="1" w:styleId="18">
    <w:name w:val="BodyText2"/>
    <w:basedOn w:val="1"/>
    <w:qFormat/>
    <w:uiPriority w:val="0"/>
    <w:pPr>
      <w:snapToGrid w:val="0"/>
      <w:spacing w:line="540" w:lineRule="exact"/>
      <w:textAlignment w:val="baseline"/>
    </w:pPr>
    <w:rPr>
      <w:rFonts w:eastAsia="方正仿宋_GBK"/>
      <w:color w:val="000000"/>
      <w:sz w:val="32"/>
    </w:rPr>
  </w:style>
  <w:style w:type="character" w:customStyle="1" w:styleId="19">
    <w:name w:val="页眉 字符"/>
    <w:basedOn w:val="15"/>
    <w:link w:val="10"/>
    <w:semiHidden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8"/>
    <w:semiHidden/>
    <w:qFormat/>
    <w:uiPriority w:val="99"/>
    <w:rPr>
      <w:sz w:val="18"/>
      <w:szCs w:val="18"/>
    </w:rPr>
  </w:style>
  <w:style w:type="character" w:customStyle="1" w:styleId="21">
    <w:name w:val="正文文本缩进 字符"/>
    <w:basedOn w:val="15"/>
    <w:link w:val="6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2">
    <w:name w:val="正文首行缩进 2 字符"/>
    <w:basedOn w:val="21"/>
    <w:link w:val="9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23">
    <w:name w:val="标题 字符"/>
    <w:basedOn w:val="15"/>
    <w:link w:val="2"/>
    <w:qFormat/>
    <w:uiPriority w:val="0"/>
    <w:rPr>
      <w:rFonts w:ascii="Cambria" w:hAnsi="Cambria" w:eastAsia="宋体" w:cs="Times New Roman"/>
      <w:b/>
      <w:bCs/>
    </w:rPr>
  </w:style>
  <w:style w:type="character" w:customStyle="1" w:styleId="24">
    <w:name w:val="正文文本 字符"/>
    <w:basedOn w:val="15"/>
    <w:link w:val="4"/>
    <w:qFormat/>
    <w:uiPriority w:val="0"/>
    <w:rPr>
      <w:rFonts w:ascii="Calibri" w:hAnsi="Calibri" w:eastAsia="宋体" w:cs="Times New Roman"/>
    </w:rPr>
  </w:style>
  <w:style w:type="character" w:customStyle="1" w:styleId="25">
    <w:name w:val="批注框文本 字符"/>
    <w:basedOn w:val="15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信息标题 字符"/>
    <w:basedOn w:val="15"/>
    <w:link w:val="13"/>
    <w:qFormat/>
    <w:uiPriority w:val="0"/>
    <w:rPr>
      <w:rFonts w:ascii="Cambria" w:hAnsi="Cambria" w:eastAsia="宋体" w:cs="Cambria"/>
      <w:sz w:val="24"/>
      <w:szCs w:val="24"/>
      <w:shd w:val="pct20" w:color="auto" w:fill="auto"/>
    </w:rPr>
  </w:style>
  <w:style w:type="paragraph" w:customStyle="1" w:styleId="27">
    <w:name w:val="p0"/>
    <w:basedOn w:val="1"/>
    <w:qFormat/>
    <w:uiPriority w:val="0"/>
    <w:pPr>
      <w:widowControl/>
    </w:pPr>
    <w:rPr>
      <w:rFonts w:ascii="Calibri" w:hAnsi="Calibri" w:cs="宋体"/>
      <w:kern w:val="0"/>
      <w:szCs w:val="32"/>
    </w:rPr>
  </w:style>
  <w:style w:type="paragraph" w:customStyle="1" w:styleId="28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二级标题"/>
    <w:next w:val="11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楷体_GB2312" w:hAnsi="永中宋体" w:eastAsia="楷体_GB2312" w:cs="Times New Roman"/>
      <w:sz w:val="32"/>
      <w:szCs w:val="32"/>
      <w:lang w:val="en-US" w:eastAsia="zh-CN" w:bidi="ar-SA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font201"/>
    <w:qFormat/>
    <w:uiPriority w:val="0"/>
    <w:rPr>
      <w:rFonts w:ascii="宋体" w:eastAsia="宋体" w:cs="宋体"/>
      <w:b/>
      <w:color w:val="000000"/>
      <w:sz w:val="24"/>
      <w:szCs w:val="24"/>
      <w:u w:val="none"/>
      <w:vertAlign w:val="superscript"/>
      <w:lang w:bidi="ar-SA"/>
    </w:rPr>
  </w:style>
  <w:style w:type="character" w:customStyle="1" w:styleId="32">
    <w:name w:val="font141"/>
    <w:qFormat/>
    <w:uiPriority w:val="0"/>
    <w:rPr>
      <w:rFonts w:ascii="宋体" w:eastAsia="宋体" w:cs="宋体"/>
      <w:b/>
      <w:color w:val="000000"/>
      <w:sz w:val="24"/>
      <w:szCs w:val="24"/>
      <w:u w:val="none"/>
      <w:lang w:bidi="ar-SA"/>
    </w:rPr>
  </w:style>
  <w:style w:type="character" w:customStyle="1" w:styleId="33">
    <w:name w:val="font71"/>
    <w:qFormat/>
    <w:uiPriority w:val="0"/>
    <w:rPr>
      <w:rFonts w:ascii="方正仿宋_GBK" w:eastAsia="方正仿宋_GBK" w:cs="方正仿宋_GBK"/>
      <w:color w:val="000000"/>
      <w:sz w:val="22"/>
      <w:szCs w:val="22"/>
      <w:u w:val="none"/>
      <w:lang w:bidi="ar-SA"/>
    </w:rPr>
  </w:style>
  <w:style w:type="character" w:customStyle="1" w:styleId="34">
    <w:name w:val="font13"/>
    <w:qFormat/>
    <w:uiPriority w:val="0"/>
    <w:rPr>
      <w:rFonts w:ascii="Times New Roman" w:hAnsi="Times New Roman" w:cs="Times New Roman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782</Words>
  <Characters>4461</Characters>
  <Lines>37</Lines>
  <Paragraphs>10</Paragraphs>
  <TotalTime>0</TotalTime>
  <ScaleCrop>false</ScaleCrop>
  <LinksUpToDate>false</LinksUpToDate>
  <CharactersWithSpaces>5233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2023-06-20T10:16:00Z</dcterms:created>
  <dc:creator>PC</dc:creator>
  <cp:lastModifiedBy>Administrator</cp:lastModifiedBy>
  <dcterms:modified xsi:type="dcterms:W3CDTF">2023-10-27T09:05:10Z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3A643ED351F6424E895F2B60D27BC5CF_13</vt:lpwstr>
  </property>
</Properties>
</file>