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_GBK" w:eastAsia="方正小标宋_GBK"/>
          <w:sz w:val="44"/>
          <w:szCs w:val="44"/>
        </w:rPr>
      </w:pPr>
      <w:r>
        <w:rPr>
          <w:rFonts w:ascii="方正小标宋_GBK" w:eastAsia="方正小标宋_GBK"/>
          <w:sz w:val="44"/>
          <w:szCs w:val="44"/>
        </w:rPr>
        <w:t>重庆市渝中区物业专项维修资金管理中心</w:t>
      </w:r>
    </w:p>
    <w:p>
      <w:pPr>
        <w:spacing w:line="600" w:lineRule="exact"/>
        <w:jc w:val="center"/>
        <w:rPr>
          <w:rFonts w:hint="default"/>
        </w:rPr>
      </w:pPr>
      <w:r>
        <w:rPr>
          <w:rFonts w:ascii="方正小标宋_GBK" w:eastAsia="方正小标宋_GBK"/>
          <w:sz w:val="44"/>
          <w:szCs w:val="44"/>
        </w:rPr>
        <w:t>2024年度决算</w:t>
      </w:r>
      <w:r>
        <w:rPr>
          <w:rFonts w:hint="eastAsia" w:ascii="方正小标宋_GBK" w:eastAsia="方正小标宋_GBK"/>
          <w:sz w:val="44"/>
          <w:szCs w:val="44"/>
          <w:lang w:val="en-US" w:eastAsia="zh-CN"/>
        </w:rPr>
        <w:t>情况</w:t>
      </w:r>
      <w:r>
        <w:rPr>
          <w:rFonts w:ascii="方正小标宋_GBK" w:eastAsia="方正小标宋_GBK"/>
          <w:sz w:val="44"/>
          <w:szCs w:val="44"/>
        </w:rPr>
        <w:t>说明</w:t>
      </w:r>
    </w:p>
    <w:p>
      <w:pPr>
        <w:spacing w:line="580" w:lineRule="exact"/>
        <w:rPr>
          <w:rFonts w:hint="default" w:ascii="方正仿宋_GBK" w:eastAsia="方正仿宋_GBK"/>
          <w:sz w:val="32"/>
          <w:szCs w:val="32"/>
        </w:rPr>
      </w:pPr>
    </w:p>
    <w:p>
      <w:pPr>
        <w:spacing w:line="580" w:lineRule="exact"/>
        <w:ind w:firstLine="640" w:firstLineChars="200"/>
        <w:rPr>
          <w:rFonts w:ascii="方正黑体_GBK" w:eastAsia="方正黑体_GBK"/>
          <w:sz w:val="32"/>
          <w:szCs w:val="32"/>
        </w:rPr>
      </w:pPr>
      <w:r>
        <w:rPr>
          <w:rFonts w:ascii="方正黑体_GBK" w:eastAsia="方正黑体_GBK"/>
          <w:sz w:val="32"/>
          <w:szCs w:val="32"/>
        </w:rPr>
        <w:t>一、单位基本情况</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（一）职能职责</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管理物业专项维修资金，保护资金所有人合法权益。负责宣传贯彻落实与物业专项维修资金管理相关的法律法规；负责区域内物业专项维修资金的归集、续筹、使用等管理服务工作；负责物业专项维修资金账户的监督和资金安全管理；承担公共收益主要用于补充物业专项维修资金的管理服务工作；协调处理与物业专项维修资金管理相关的矛盾纠纷；完成上级主管部门交办的其他工作任务。</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（二）机构设置</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中心设置三部一室，分别是资金归集部、使用稽核部、财务部和办公室，编制35人。中心在编在职职工30人，其中领导班子成员共5名，主任1名、书记1名、副主任3名。退休职工4名，劳务派遣4名。</w:t>
      </w:r>
    </w:p>
    <w:p>
      <w:pPr>
        <w:spacing w:line="580" w:lineRule="exact"/>
        <w:ind w:firstLine="640" w:firstLineChars="200"/>
        <w:rPr>
          <w:rFonts w:ascii="方正黑体_GBK" w:eastAsia="方正黑体_GBK"/>
          <w:sz w:val="32"/>
          <w:szCs w:val="32"/>
        </w:rPr>
      </w:pPr>
      <w:r>
        <w:rPr>
          <w:rFonts w:ascii="方正黑体_GBK" w:eastAsia="方正黑体_GBK"/>
          <w:sz w:val="32"/>
          <w:szCs w:val="32"/>
        </w:rPr>
        <w:t>二、单位决算收支情况说明</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（一）收入支出决算总体情况说明。</w:t>
      </w:r>
    </w:p>
    <w:p>
      <w:pPr>
        <w:spacing w:line="580" w:lineRule="exact"/>
        <w:ind w:firstLine="643" w:firstLineChars="200"/>
        <w:rPr>
          <w:rFonts w:ascii="方正仿宋_GBK" w:eastAsia="方正仿宋_GBK"/>
          <w:sz w:val="32"/>
          <w:szCs w:val="32"/>
        </w:rPr>
      </w:pPr>
      <w:r>
        <w:rPr>
          <w:rFonts w:ascii="方正仿宋_GBK" w:eastAsia="方正仿宋_GBK"/>
          <w:b/>
          <w:sz w:val="32"/>
          <w:szCs w:val="32"/>
        </w:rPr>
        <w:t>1.总体情况。</w:t>
      </w:r>
      <w:r>
        <w:rPr>
          <w:rFonts w:ascii="方正仿宋_GBK" w:eastAsia="方正仿宋_GBK"/>
          <w:sz w:val="32"/>
          <w:szCs w:val="32"/>
        </w:rPr>
        <w:t>2024年度收入总计840.13万元，支出总计840.13万元。收、支与2023年度相比，增加60.68万元，增长7.8%，主要原因是绩效工资补发，养老保险、职业年金缴费数增加。</w:t>
      </w:r>
    </w:p>
    <w:p>
      <w:pPr>
        <w:spacing w:line="580" w:lineRule="exact"/>
        <w:ind w:firstLine="643" w:firstLineChars="200"/>
        <w:rPr>
          <w:rFonts w:ascii="方正仿宋_GBK" w:eastAsia="方正仿宋_GBK"/>
          <w:sz w:val="32"/>
          <w:szCs w:val="32"/>
        </w:rPr>
      </w:pPr>
      <w:r>
        <w:rPr>
          <w:rFonts w:ascii="方正仿宋_GBK" w:eastAsia="方正仿宋_GBK"/>
          <w:b/>
          <w:sz w:val="32"/>
          <w:szCs w:val="32"/>
        </w:rPr>
        <w:t>2.收入情况。</w:t>
      </w:r>
      <w:r>
        <w:rPr>
          <w:rFonts w:ascii="方正仿宋_GBK" w:eastAsia="方正仿宋_GBK"/>
          <w:sz w:val="32"/>
          <w:szCs w:val="32"/>
        </w:rPr>
        <w:t>2024年度收入合计840.13万元，与2023年度相比，增加60.68万元，增长7.8%，主要原因是绩效工资补发，养老保险、职业年金缴费数增加。其中：财政拨款收入840.13万元，占100.00%；事业收入0.00万元，占0.00%；经营收入0.00万元，占0.00%；其他收入0.00万元，占0.00%。此外，使用非财政拨款结余和专用结余0.00万元，年初结转和结余0.00万元。</w:t>
      </w:r>
    </w:p>
    <w:p>
      <w:pPr>
        <w:spacing w:line="580" w:lineRule="exact"/>
        <w:ind w:firstLine="643" w:firstLineChars="200"/>
        <w:rPr>
          <w:rFonts w:ascii="方正仿宋_GBK" w:eastAsia="方正仿宋_GBK"/>
          <w:sz w:val="32"/>
          <w:szCs w:val="32"/>
        </w:rPr>
      </w:pPr>
      <w:r>
        <w:rPr>
          <w:rFonts w:ascii="方正仿宋_GBK" w:eastAsia="方正仿宋_GBK"/>
          <w:b/>
          <w:sz w:val="32"/>
          <w:szCs w:val="32"/>
        </w:rPr>
        <w:t>3.支出情况。</w:t>
      </w:r>
      <w:r>
        <w:rPr>
          <w:rFonts w:ascii="方正仿宋_GBK" w:eastAsia="方正仿宋_GBK"/>
          <w:sz w:val="32"/>
          <w:szCs w:val="32"/>
        </w:rPr>
        <w:t>2024年度支出合计840.13万元，与2023年度相比，增加60.68万元，增长7.8%，主要原因是绩效工资补发，养老保险、职业年金缴费数增加。其中：基本支出768.74万元，占91.50%；项目支出71.38万元，占8.50%；经营支出0.00万元，占0.00%。此外，结余分配0.00万元。</w:t>
      </w:r>
    </w:p>
    <w:p>
      <w:pPr>
        <w:spacing w:line="580" w:lineRule="exact"/>
        <w:ind w:firstLine="643" w:firstLineChars="200"/>
        <w:rPr>
          <w:rFonts w:ascii="方正仿宋_GBK" w:eastAsia="方正仿宋_GBK"/>
          <w:sz w:val="32"/>
          <w:szCs w:val="32"/>
        </w:rPr>
      </w:pPr>
      <w:r>
        <w:rPr>
          <w:rFonts w:ascii="方正仿宋_GBK" w:eastAsia="方正仿宋_GBK"/>
          <w:b/>
          <w:bCs/>
          <w:sz w:val="32"/>
          <w:szCs w:val="32"/>
        </w:rPr>
        <w:t>4.结转结余情况。</w:t>
      </w:r>
      <w:r>
        <w:rPr>
          <w:rFonts w:ascii="方正仿宋_GBK" w:eastAsia="方正仿宋_GBK"/>
          <w:sz w:val="32"/>
          <w:szCs w:val="32"/>
        </w:rPr>
        <w:t>2024年度年末结转和结余0.00万元，与2023年度相比，无增减。</w:t>
      </w:r>
      <w:bookmarkStart w:id="0" w:name="_GoBack"/>
      <w:bookmarkEnd w:id="0"/>
    </w:p>
    <w:p>
      <w:pPr>
        <w:spacing w:line="580" w:lineRule="exact"/>
        <w:ind w:firstLine="640" w:firstLineChars="200"/>
        <w:rPr>
          <w:rFonts w:ascii="方正楷体_GBK" w:eastAsia="方正楷体_GBK"/>
          <w:sz w:val="32"/>
          <w:szCs w:val="32"/>
        </w:rPr>
      </w:pPr>
      <w:r>
        <w:rPr>
          <w:rFonts w:ascii="方正楷体_GBK" w:eastAsia="方正楷体_GBK"/>
          <w:sz w:val="32"/>
          <w:szCs w:val="32"/>
        </w:rPr>
        <w:t>（二）财政拨款收入支出决算总体情况说明</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2024年度财政拨款收、支总计840.13万元。与2023年相比，财政拨款收、支总计各增加60.68万元，增长7.8%。主要原因是绩效工资补发，养老保险、职业年金缴费数增加。</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（三）一般公共预算财政拨款收入支出决算情况说明</w:t>
      </w:r>
    </w:p>
    <w:p>
      <w:pPr>
        <w:spacing w:line="580" w:lineRule="exact"/>
        <w:ind w:firstLine="643" w:firstLineChars="200"/>
        <w:rPr>
          <w:rFonts w:ascii="方正仿宋_GBK" w:eastAsia="方正仿宋_GBK"/>
          <w:sz w:val="32"/>
          <w:szCs w:val="32"/>
        </w:rPr>
      </w:pPr>
      <w:r>
        <w:rPr>
          <w:rFonts w:ascii="方正仿宋_GBK" w:eastAsia="方正仿宋_GBK"/>
          <w:b/>
          <w:sz w:val="32"/>
          <w:szCs w:val="32"/>
        </w:rPr>
        <w:t>1.收入情况。</w:t>
      </w:r>
      <w:r>
        <w:rPr>
          <w:rFonts w:ascii="方正仿宋_GBK" w:eastAsia="方正仿宋_GBK"/>
          <w:sz w:val="32"/>
          <w:szCs w:val="32"/>
        </w:rPr>
        <w:t>2024年度一般公共预算财政拨款收入840.13万元，与2023年度相比，增加60.68万元，增长7.8%。主要原因是绩效工资补发，养老保险、职业年金增加。较年初预算数增加62.19万元，增长8.0%。主要原因是绩效工资补发，养老保险、职业年金缴费数增加。此外，年初财政拨款结转和结余0.00万元。</w:t>
      </w:r>
    </w:p>
    <w:p>
      <w:pPr>
        <w:spacing w:line="580" w:lineRule="exact"/>
        <w:ind w:firstLine="643" w:firstLineChars="200"/>
        <w:rPr>
          <w:rFonts w:ascii="方正仿宋_GBK" w:eastAsia="方正仿宋_GBK"/>
          <w:sz w:val="32"/>
          <w:szCs w:val="32"/>
        </w:rPr>
      </w:pPr>
      <w:r>
        <w:rPr>
          <w:rFonts w:ascii="方正仿宋_GBK" w:eastAsia="方正仿宋_GBK"/>
          <w:b/>
          <w:sz w:val="32"/>
          <w:szCs w:val="32"/>
        </w:rPr>
        <w:t>2.支出情况。</w:t>
      </w:r>
      <w:r>
        <w:rPr>
          <w:rFonts w:ascii="方正仿宋_GBK" w:eastAsia="方正仿宋_GBK"/>
          <w:sz w:val="32"/>
          <w:szCs w:val="32"/>
        </w:rPr>
        <w:t>2024年度一般公共预算财政拨款支出840.13万元，与2023年度相比，增加60.68万元，增长7.8%。主要原因是绩效工资补发，养老保险、职业年金缴费数增加。较年初预算数增加62.19万元，增长8.0%。主要原因是绩效工资补发，养老保险、职业年金增加。</w:t>
      </w:r>
    </w:p>
    <w:p>
      <w:pPr>
        <w:spacing w:line="580" w:lineRule="exact"/>
        <w:ind w:firstLine="643" w:firstLineChars="200"/>
        <w:rPr>
          <w:rFonts w:ascii="方正仿宋_GBK" w:eastAsia="方正仿宋_GBK"/>
          <w:sz w:val="32"/>
          <w:szCs w:val="32"/>
        </w:rPr>
      </w:pPr>
      <w:r>
        <w:rPr>
          <w:rFonts w:ascii="方正仿宋_GBK" w:eastAsia="方正仿宋_GBK"/>
          <w:b/>
          <w:sz w:val="32"/>
          <w:szCs w:val="32"/>
        </w:rPr>
        <w:t>3.结转结余情况。</w:t>
      </w:r>
      <w:r>
        <w:rPr>
          <w:rFonts w:ascii="方正仿宋_GBK" w:eastAsia="方正仿宋_GBK"/>
          <w:sz w:val="32"/>
          <w:szCs w:val="32"/>
        </w:rPr>
        <w:t>2024年度年末一般公共预算财政拨款结转和结余0.00万元，与2023年度相比，无增减。</w:t>
      </w:r>
    </w:p>
    <w:p>
      <w:pPr>
        <w:spacing w:line="580" w:lineRule="exact"/>
        <w:rPr>
          <w:rFonts w:ascii="方正仿宋_GBK" w:eastAsia="方正仿宋_GBK"/>
          <w:sz w:val="32"/>
          <w:szCs w:val="32"/>
          <w:highlight w:val="cyan"/>
        </w:rPr>
      </w:pPr>
      <w:r>
        <w:rPr>
          <w:rFonts w:ascii="方正仿宋_GBK" w:eastAsia="方正仿宋_GBK"/>
          <w:sz w:val="32"/>
          <w:szCs w:val="32"/>
        </w:rPr>
        <w:t xml:space="preserve"> </w:t>
      </w:r>
      <w:r>
        <w:rPr>
          <w:rFonts w:hint="default" w:ascii="方正仿宋_GBK" w:eastAsia="方正仿宋_GBK"/>
          <w:sz w:val="32"/>
          <w:szCs w:val="32"/>
        </w:rPr>
        <w:t xml:space="preserve">   </w:t>
      </w:r>
      <w:r>
        <w:rPr>
          <w:rFonts w:ascii="方正仿宋_GBK" w:eastAsia="方正仿宋_GBK"/>
          <w:b/>
          <w:sz w:val="32"/>
          <w:szCs w:val="32"/>
        </w:rPr>
        <w:t>4.比较情况。</w:t>
      </w:r>
      <w:r>
        <w:rPr>
          <w:rFonts w:ascii="方正仿宋_GBK" w:eastAsia="方正仿宋_GBK"/>
          <w:sz w:val="32"/>
          <w:szCs w:val="32"/>
        </w:rPr>
        <w:t>本单位2024年度一般公共预算财政拨款支出主要用于以下几个方面：</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（1）社会保障与就业支出105.11万元，占12.51%，较年初预算数增加34.45万元，增长48.8%，主要原因是养老保险、职业年金缴费数增加。</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（2）卫生健康支出32.08万元，占3.82%，较年初预算数减少1.48万元，下降4.4%，主要原因是在职人员减少3人，分别是退休2人、调出2人、调进1人。</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（3）城乡社区支出663.75万元，占79.01%，较年初预算数增加33.71万元，增长5.4%，主要原因是超额绩效工资补发。</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（4）住房保障支出39.19万元，占4.66%，较年初预算数减少4.50万元，下降10.3%，主要原因是2025年6月，部分职工住房补贴已领取满300个月。</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（四）一般公共预算财政拨款基本支出决算情况说明</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2024年度一般公共财政拨款基本支出768.74万元。其中：人员经费680.72万元，与2023年度相比，增加75.66万元，增长12.5%，主要原因是绩效工资补发，养老保险、职业年金缴费数增加。人员经费用途主要包括职工基本工资、绩效工资、缴纳养老保险、医疗保险、住房公积金等。公用经费88.02万元，与2023年度相比，减少5.11万元，下降5.5%，主要原因是印刷费、工会经费减少。公用经费用途主要包括办公费、工会经费等。</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（五）政府性基金预算收支决算情况说明</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本中心2024年度无政府性基金预算财政拨款收支。</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（六）国有资本经营预算财政拨款支出决算情况说明</w:t>
      </w:r>
    </w:p>
    <w:p>
      <w:pPr>
        <w:spacing w:line="580" w:lineRule="exact"/>
        <w:rPr>
          <w:rFonts w:ascii="方正仿宋_GBK" w:eastAsia="方正仿宋_GBK"/>
          <w:sz w:val="32"/>
          <w:szCs w:val="32"/>
        </w:rPr>
      </w:pPr>
      <w:r>
        <w:rPr>
          <w:rFonts w:ascii="方正仿宋_GBK" w:eastAsia="方正仿宋_GBK"/>
          <w:sz w:val="32"/>
          <w:szCs w:val="32"/>
        </w:rPr>
        <w:t> </w:t>
      </w:r>
      <w:r>
        <w:rPr>
          <w:rFonts w:hint="eastAsia" w:ascii="方正仿宋_GBK" w:eastAsia="方正仿宋_GBK"/>
          <w:sz w:val="32"/>
          <w:szCs w:val="32"/>
          <w:lang w:val="en-US" w:eastAsia="zh-CN"/>
        </w:rPr>
        <w:t xml:space="preserve">   </w:t>
      </w:r>
      <w:r>
        <w:rPr>
          <w:rFonts w:ascii="方正仿宋_GBK" w:eastAsia="方正仿宋_GBK"/>
          <w:sz w:val="32"/>
          <w:szCs w:val="32"/>
        </w:rPr>
        <w:t>本中心2024年度无国有资本经营预算财政拨款支出。</w:t>
      </w:r>
    </w:p>
    <w:p>
      <w:pPr>
        <w:spacing w:line="580" w:lineRule="exact"/>
        <w:ind w:firstLine="640" w:firstLineChars="200"/>
        <w:rPr>
          <w:rFonts w:ascii="方正黑体_GBK" w:eastAsia="方正黑体_GBK"/>
          <w:sz w:val="32"/>
          <w:szCs w:val="32"/>
        </w:rPr>
      </w:pPr>
      <w:r>
        <w:rPr>
          <w:rFonts w:ascii="方正黑体_GBK" w:eastAsia="方正黑体_GBK"/>
          <w:sz w:val="32"/>
          <w:szCs w:val="32"/>
        </w:rPr>
        <w:t>三、财政拨款“三公”经费情况说明</w:t>
      </w:r>
    </w:p>
    <w:p>
      <w:pPr>
        <w:spacing w:line="580" w:lineRule="exact"/>
        <w:rPr>
          <w:rFonts w:ascii="方正楷体_GBK" w:eastAsia="方正楷体_GBK"/>
          <w:sz w:val="32"/>
          <w:szCs w:val="32"/>
        </w:rPr>
      </w:pPr>
      <w:r>
        <w:rPr>
          <w:rFonts w:ascii="方正仿宋_GBK" w:eastAsia="方正仿宋_GBK"/>
          <w:sz w:val="32"/>
          <w:szCs w:val="32"/>
        </w:rPr>
        <w:t xml:space="preserve"> </w:t>
      </w:r>
      <w:r>
        <w:rPr>
          <w:rFonts w:hint="default" w:ascii="方正仿宋_GBK" w:eastAsia="方正仿宋_GBK"/>
          <w:sz w:val="32"/>
          <w:szCs w:val="32"/>
        </w:rPr>
        <w:t xml:space="preserve">   </w:t>
      </w:r>
      <w:r>
        <w:rPr>
          <w:rFonts w:ascii="方正楷体_GBK" w:eastAsia="方正楷体_GBK"/>
          <w:sz w:val="32"/>
          <w:szCs w:val="32"/>
        </w:rPr>
        <w:t>（一）“三公”经费支出总体情况说明</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2024年度“三公”经费支出共计1.33万元，较年初预算数减少2.67万元，下降66.8%，主要原因是车辆使用频次减少，车辆运行维护费减少。较上年支出数减少0.97万元，下降42.2%，主要原因是车辆使用频次减少，车辆运行维护费减少。</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（二）“三公”经费分项支出情况</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2024年度本单位因公出国（境）费用0.00万元，主要原因是2024年未发生因公出国（境）费用。费用支出较年初预算数无增减，主要原因是因公出国(境)费用2024年无年初预算，且2024年未发生因公出国(境)费用。较上年支出数无增减，主要原因是2023年和2024年均未发生因公出国(境)费用。</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公务车购置费0.00万元，主要原因是2024年未发生公务车购置费。费用支出较年初预算数无增减，主要原因是公务车购置费用2024年无年初预算，且2024年未发生公务车购置费。较上年支出数无增减，主要原因是2023年和2024年均未发生公务车购置费。</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公务车运行维护费1.33万元，主要用于公务车维修费、停车费等支出，较年初预算数减少1.47万元，下降53.57%，主要原因是车辆</w:t>
      </w:r>
      <w:r>
        <w:rPr>
          <w:rFonts w:hint="eastAsia" w:ascii="方正仿宋_GBK" w:eastAsia="方正仿宋_GBK"/>
          <w:sz w:val="32"/>
          <w:szCs w:val="32"/>
          <w:lang w:val="en-US" w:eastAsia="zh-CN"/>
        </w:rPr>
        <w:t>老旧、故障频发</w:t>
      </w:r>
      <w:r>
        <w:rPr>
          <w:rFonts w:ascii="方正仿宋_GBK" w:eastAsia="方正仿宋_GBK"/>
          <w:sz w:val="32"/>
          <w:szCs w:val="32"/>
        </w:rPr>
        <w:t>，</w:t>
      </w:r>
      <w:r>
        <w:rPr>
          <w:rFonts w:hint="eastAsia" w:ascii="方正仿宋_GBK" w:eastAsia="方正仿宋_GBK"/>
          <w:sz w:val="32"/>
          <w:szCs w:val="32"/>
          <w:lang w:val="en-US" w:eastAsia="zh-CN"/>
        </w:rPr>
        <w:t>使用频率大幅降低，故</w:t>
      </w:r>
      <w:r>
        <w:rPr>
          <w:rFonts w:ascii="方正仿宋_GBK" w:eastAsia="方正仿宋_GBK"/>
          <w:sz w:val="32"/>
          <w:szCs w:val="32"/>
        </w:rPr>
        <w:t>车辆运行维护费用减少。较上年支出数减少0.97万元，下降42.2%，主要原因是车辆使用频次减少，车辆运行维护费用减少。</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公务接待费0.00万元，费用支出较年初预算数减少1.00万元，下降100.0%，主要原因是本年无公务接待费列支。较上年支出数无增减。</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（三）“三公”经费实物量情况</w:t>
      </w:r>
    </w:p>
    <w:p>
      <w:pPr>
        <w:spacing w:line="580" w:lineRule="exact"/>
        <w:rPr>
          <w:rFonts w:ascii="方正仿宋_GBK" w:eastAsia="方正仿宋_GBK"/>
          <w:sz w:val="32"/>
          <w:szCs w:val="32"/>
        </w:rPr>
      </w:pPr>
      <w:r>
        <w:rPr>
          <w:rFonts w:ascii="方正仿宋_GBK" w:eastAsia="方正仿宋_GBK"/>
          <w:sz w:val="32"/>
          <w:szCs w:val="32"/>
        </w:rPr>
        <w:t xml:space="preserve">  </w:t>
      </w:r>
      <w:r>
        <w:rPr>
          <w:rFonts w:hint="default" w:ascii="方正仿宋_GBK" w:eastAsia="方正仿宋_GBK"/>
          <w:sz w:val="32"/>
          <w:szCs w:val="32"/>
        </w:rPr>
        <w:t xml:space="preserve"> </w:t>
      </w:r>
      <w:r>
        <w:rPr>
          <w:rFonts w:ascii="方正仿宋_GBK" w:eastAsia="方正仿宋_GBK"/>
          <w:sz w:val="32"/>
          <w:szCs w:val="32"/>
        </w:rPr>
        <w:t>2024年度本单位因公出国（境）共计0个团组，0人；公务用车购置0辆，公务车保有量为1辆；国内公务接待0批次0人，其中：国内外事接待0批次，0人；国（境）外公务接待0批次，0人。2024年本单位人均接待费0元，车均购置费0万元，车均维护费1.33万元。</w:t>
      </w:r>
    </w:p>
    <w:p>
      <w:pPr>
        <w:spacing w:line="580" w:lineRule="exact"/>
        <w:ind w:firstLine="640" w:firstLineChars="200"/>
        <w:rPr>
          <w:rFonts w:ascii="方正黑体_GBK" w:eastAsia="方正黑体_GBK"/>
          <w:sz w:val="32"/>
          <w:szCs w:val="32"/>
        </w:rPr>
      </w:pPr>
      <w:r>
        <w:rPr>
          <w:rFonts w:ascii="方正黑体_GBK" w:eastAsia="方正黑体_GBK"/>
          <w:sz w:val="32"/>
          <w:szCs w:val="32"/>
        </w:rPr>
        <w:t>四、其他需要说明的事项</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（一）财政拨款会议费和培训费情况说明</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本年度会议费支出0.00万元，与2023年度相比，无增减，主要原因是2024年无会议费列支。本年度培训费支出5.05万元，与2023年度相比，减少0.04万元，下降0.8%，与去年基本持平。</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（二）机关运行经费情况说明</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按照部门决算列报口径，我单位不在机关运行经费统计范围之内。</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（三）国有资产占用情况说明</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（四）政府采购支出情况说明</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2024年度本单位政府采购支出总额4.50万元，其中：政府采购货物支出4.50万元、政府采购工程支出0.00万元、政府采购服务支出0.00万元。授予中小企业合同金额4.50万元，占政府采购支出总额的100.00%，其中：授予小微企业合同金额4.50万元，占政府采购支出总额的100.00 %。主要用于采购10台电脑。</w:t>
      </w:r>
    </w:p>
    <w:p>
      <w:pPr>
        <w:spacing w:line="580" w:lineRule="exact"/>
        <w:ind w:firstLine="640" w:firstLineChars="200"/>
        <w:rPr>
          <w:rFonts w:ascii="方正黑体_GBK" w:eastAsia="方正黑体_GBK"/>
          <w:sz w:val="32"/>
          <w:szCs w:val="32"/>
        </w:rPr>
      </w:pPr>
      <w:r>
        <w:rPr>
          <w:rFonts w:ascii="方正黑体_GBK" w:eastAsia="方正黑体_GBK"/>
          <w:sz w:val="32"/>
          <w:szCs w:val="32"/>
        </w:rPr>
        <w:t>五、2024年度预算绩效管理情况说明</w:t>
      </w:r>
    </w:p>
    <w:p>
      <w:pPr>
        <w:spacing w:line="580" w:lineRule="exact"/>
        <w:ind w:firstLine="640" w:firstLineChars="200"/>
        <w:rPr>
          <w:rFonts w:ascii="方正楷体_GBK" w:eastAsia="方正楷体_GBK"/>
          <w:sz w:val="32"/>
          <w:szCs w:val="32"/>
        </w:rPr>
      </w:pPr>
      <w:r>
        <w:rPr>
          <w:rFonts w:ascii="方正楷体_GBK" w:eastAsia="方正楷体_GBK"/>
          <w:sz w:val="32"/>
          <w:szCs w:val="32"/>
        </w:rPr>
        <w:t>（一）单位自评情况</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根据预算绩效管理要求，我单位对1个项目开展了绩效自评，其中，以填报目标自评表形式开展自评1项，涉及资金71.38万元。</w:t>
      </w:r>
    </w:p>
    <w:p>
      <w:pPr>
        <w:spacing w:line="580" w:lineRule="exact"/>
        <w:ind w:firstLine="640" w:firstLineChars="200"/>
        <w:rPr>
          <w:rFonts w:ascii="方正黑体_GBK" w:eastAsia="方正黑体_GBK"/>
          <w:sz w:val="32"/>
          <w:szCs w:val="32"/>
        </w:rPr>
      </w:pPr>
      <w:r>
        <w:rPr>
          <w:rFonts w:ascii="方正黑体_GBK" w:eastAsia="方正黑体_GBK"/>
          <w:sz w:val="32"/>
          <w:szCs w:val="32"/>
        </w:rPr>
        <w:t>六、专业名词解释</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（一）财政拨款收入：</w:t>
      </w:r>
      <w:r>
        <w:rPr>
          <w:rFonts w:ascii="方正仿宋_GBK" w:eastAsia="方正仿宋_GBK"/>
          <w:sz w:val="32"/>
          <w:szCs w:val="32"/>
        </w:rPr>
        <w:t>指本年度从本级财政部门取得的财政拨款，包括一般公共预算财政拨款和政府性基金预算财政拨款。</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（二）事业收入：</w:t>
      </w:r>
      <w:r>
        <w:rPr>
          <w:rFonts w:ascii="方正仿宋_GBK" w:eastAsia="方正仿宋_GBK"/>
          <w:sz w:val="32"/>
          <w:szCs w:val="32"/>
        </w:rPr>
        <w:t>指事业单位开展专业业务活动及其辅助活动取得的现金流入；事业单位收到的财政专户实际核拨的教育收费等资金在此反映。</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（三）经营收入：</w:t>
      </w:r>
      <w:r>
        <w:rPr>
          <w:rFonts w:ascii="方正仿宋_GBK" w:eastAsia="方正仿宋_GBK"/>
          <w:sz w:val="32"/>
          <w:szCs w:val="32"/>
        </w:rPr>
        <w:t>指事业单位在专业业务活动及其辅助活动之外开展非独立核算经营活动取得的现金流入。</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（四）其他收入：</w:t>
      </w:r>
      <w:r>
        <w:rPr>
          <w:rFonts w:ascii="方正仿宋_GBK" w:eastAsia="方正仿宋_GBK"/>
          <w:sz w:val="32"/>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（五）使用非财政拨款结余：</w:t>
      </w:r>
      <w:r>
        <w:rPr>
          <w:rFonts w:ascii="方正仿宋_GBK" w:eastAsia="方正仿宋_GBK"/>
          <w:sz w:val="32"/>
          <w:szCs w:val="32"/>
        </w:rPr>
        <w:t>指单位在当年的“财政拨款收入”、“事业收入”、“经营收入”、“其他收入”等不足以安排当年支出的情况下，使用以前年度积累的非财政拨款结余弥补本年度收支缺口的资金。</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（六）年初结转和结余：</w:t>
      </w:r>
      <w:r>
        <w:rPr>
          <w:rFonts w:ascii="方正仿宋_GBK" w:eastAsia="方正仿宋_GBK"/>
          <w:sz w:val="32"/>
          <w:szCs w:val="32"/>
        </w:rPr>
        <w:t>指单位上年结转本年使用的基本支出结转、项目支出结转和结余、经营结余。</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（七）结余分配：</w:t>
      </w:r>
      <w:r>
        <w:rPr>
          <w:rFonts w:ascii="方正仿宋_GBK" w:eastAsia="方正仿宋_GBK"/>
          <w:sz w:val="32"/>
          <w:szCs w:val="32"/>
        </w:rPr>
        <w:t>指单位按照国家有关规定，缴纳所得税、提取专用基金、转入非财政拨款结余等当年结余的分配情况。</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（八）年末结转和结余：</w:t>
      </w:r>
      <w:r>
        <w:rPr>
          <w:rFonts w:ascii="方正仿宋_GBK" w:eastAsia="方正仿宋_GBK"/>
          <w:sz w:val="32"/>
          <w:szCs w:val="32"/>
        </w:rPr>
        <w:t>指单位结转下年的基本支出结转、项目支出结转和结余、经营结余。</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（九）基本支出：</w:t>
      </w:r>
      <w:r>
        <w:rPr>
          <w:rFonts w:ascii="方正仿宋_GBK" w:eastAsia="方正仿宋_GBK"/>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（十）项目支出：</w:t>
      </w:r>
      <w:r>
        <w:rPr>
          <w:rFonts w:ascii="方正仿宋_GBK" w:eastAsia="方正仿宋_GBK"/>
          <w:sz w:val="32"/>
          <w:szCs w:val="32"/>
        </w:rPr>
        <w:t>指在基本支出之外为完成特定行政任务和事业发展目标所发生的支出。</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（十一）经营支出：</w:t>
      </w:r>
      <w:r>
        <w:rPr>
          <w:rFonts w:ascii="方正仿宋_GBK" w:eastAsia="方正仿宋_GBK"/>
          <w:sz w:val="32"/>
          <w:szCs w:val="32"/>
        </w:rPr>
        <w:t>指事业单位在专业业务活动及其辅助活动之外开展非独立核算经营活动发生的支出。</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（十二）“三公”经费：</w:t>
      </w:r>
      <w:r>
        <w:rPr>
          <w:rFonts w:ascii="方正仿宋_GBK" w:eastAsia="方正仿宋_GBK"/>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（十三）机关运行经费：</w:t>
      </w:r>
      <w:r>
        <w:rPr>
          <w:rFonts w:ascii="方正仿宋_GBK" w:eastAsia="方正仿宋_GBK"/>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（十四）工资福利支出（支出经济分类科目类级）：</w:t>
      </w:r>
      <w:r>
        <w:rPr>
          <w:rFonts w:ascii="方正仿宋_GBK" w:eastAsia="方正仿宋_GBK"/>
          <w:sz w:val="32"/>
          <w:szCs w:val="32"/>
        </w:rPr>
        <w:t>反映单位开支的在职职工和编制外长期聘用人员的各类劳动报酬，以及为上述人员缴纳的各项社会保险费等。</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（十五）商品和服务支出（支出经济分类科目类级）：</w:t>
      </w:r>
      <w:r>
        <w:rPr>
          <w:rFonts w:ascii="方正仿宋_GBK" w:eastAsia="方正仿宋_GBK"/>
          <w:sz w:val="32"/>
          <w:szCs w:val="32"/>
        </w:rPr>
        <w:t>反映单位购买商品和服务的支出（不包括用于购置固定资产的支出、战略性和应急储备支出）。</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（十六）对个人和家庭的补助（支出经济分类科目类级）：</w:t>
      </w:r>
      <w:r>
        <w:rPr>
          <w:rFonts w:ascii="方正仿宋_GBK" w:eastAsia="方正仿宋_GBK"/>
          <w:sz w:val="32"/>
          <w:szCs w:val="32"/>
        </w:rPr>
        <w:t>反映用于对个人和家庭的补助支出。</w:t>
      </w:r>
    </w:p>
    <w:p>
      <w:pPr>
        <w:spacing w:line="580" w:lineRule="exact"/>
        <w:ind w:firstLine="640" w:firstLineChars="200"/>
        <w:rPr>
          <w:rFonts w:ascii="方正仿宋_GBK" w:eastAsia="方正仿宋_GBK"/>
          <w:sz w:val="32"/>
          <w:szCs w:val="32"/>
        </w:rPr>
      </w:pPr>
      <w:r>
        <w:rPr>
          <w:rFonts w:ascii="方正楷体_GBK" w:eastAsia="方正楷体_GBK"/>
          <w:sz w:val="32"/>
          <w:szCs w:val="32"/>
        </w:rPr>
        <w:t>（十七）其他资本性支出（支出经济分类科目类级）：</w:t>
      </w:r>
      <w:r>
        <w:rPr>
          <w:rFonts w:ascii="方正仿宋_GBK" w:eastAsia="方正仿宋_GBK"/>
          <w:sz w:val="32"/>
          <w:szCs w:val="32"/>
        </w:rPr>
        <w:t>反映非各级发展与改革部门集中安排的用于购置固定资产、战略性和应急性储备、土地和无形资产，以及构建基础设施、大型修缮和财政支持企业更新改造所发生的支出。</w:t>
      </w:r>
    </w:p>
    <w:p>
      <w:pPr>
        <w:spacing w:line="580" w:lineRule="exact"/>
        <w:ind w:firstLine="640" w:firstLineChars="200"/>
        <w:rPr>
          <w:rFonts w:ascii="方正黑体_GBK" w:eastAsia="方正黑体_GBK"/>
          <w:sz w:val="32"/>
          <w:szCs w:val="32"/>
        </w:rPr>
      </w:pPr>
      <w:r>
        <w:rPr>
          <w:rFonts w:ascii="方正黑体_GBK" w:eastAsia="方正黑体_GBK"/>
          <w:sz w:val="32"/>
          <w:szCs w:val="32"/>
        </w:rPr>
        <w:t>七、决算公开联系方式及信息反馈渠道</w:t>
      </w:r>
    </w:p>
    <w:p>
      <w:pPr>
        <w:spacing w:line="580" w:lineRule="exact"/>
        <w:ind w:firstLine="640" w:firstLineChars="200"/>
        <w:rPr>
          <w:rFonts w:ascii="方正仿宋_GBK" w:eastAsia="方正仿宋_GBK"/>
          <w:sz w:val="32"/>
          <w:szCs w:val="32"/>
        </w:rPr>
      </w:pPr>
      <w:r>
        <w:rPr>
          <w:rFonts w:ascii="方正仿宋_GBK" w:eastAsia="方正仿宋_GBK"/>
          <w:sz w:val="32"/>
          <w:szCs w:val="32"/>
        </w:rPr>
        <w:t>本单位决算公开信息反馈和联系方式：</w:t>
      </w:r>
    </w:p>
    <w:p>
      <w:pPr>
        <w:spacing w:line="580" w:lineRule="exact"/>
        <w:rPr>
          <w:rFonts w:hint="default"/>
        </w:rPr>
      </w:pPr>
      <w:r>
        <w:rPr>
          <w:rFonts w:ascii="方正仿宋_GBK" w:eastAsia="方正仿宋_GBK"/>
          <w:sz w:val="32"/>
          <w:szCs w:val="32"/>
        </w:rPr>
        <w:t xml:space="preserve">    </w:t>
      </w:r>
      <w:r>
        <w:rPr>
          <w:rFonts w:hint="eastAsia" w:ascii="方正仿宋_GBK" w:eastAsia="方正仿宋_GBK"/>
          <w:sz w:val="32"/>
          <w:szCs w:val="32"/>
          <w:lang w:val="en-US" w:eastAsia="zh-CN"/>
        </w:rPr>
        <w:t xml:space="preserve">高阅   </w:t>
      </w:r>
      <w:r>
        <w:rPr>
          <w:rFonts w:ascii="方正仿宋_GBK" w:eastAsia="方正仿宋_GBK"/>
          <w:sz w:val="32"/>
          <w:szCs w:val="32"/>
        </w:rPr>
        <w:t>023-63848362</w:t>
      </w:r>
    </w:p>
    <w:sectPr>
      <w:headerReference r:id="rId3" w:type="default"/>
      <w:footerReference r:id="rId4" w:type="default"/>
      <w:pgSz w:w="11850" w:h="16783"/>
      <w:pgMar w:top="1701" w:right="1587" w:bottom="1587"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w:pict>
        <v:shape id="_x0000_s3074" o:spid="_x0000_s3074" o:spt="202" type="#_x0000_t202" style="position:absolute;left:0pt;margin-top:0pt;height:144pt;width:144pt;mso-position-horizontal:center;mso-position-horizontal-relative:margin;mso-wrap-style:none;z-index:251660288;mso-width-relative:page;mso-height-relative:page;" filled="f" stroked="f" coordsize="21600,21600" o:allowoverlap="f">
          <v:path/>
          <v:fill on="f" focussize="0,0"/>
          <v:stroke on="f" weight="0.5pt" joinstyle="miter"/>
          <v:imagedata o:title=""/>
          <o:lock v:ext="edit"/>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1 -</w:t>
                </w:r>
                <w:r>
                  <w:fldChar w:fldCharType="end"/>
                </w:r>
                <w:r>
                  <w:t xml:space="preserve"> </w:t>
                </w:r>
              </w:p>
            </w:txbxContent>
          </v:textbox>
        </v:shape>
      </w:pict>
    </w:r>
    <w:r>
      <w:rPr>
        <w:rFonts w:hint="default"/>
      </w:rPr>
      <w:pict>
        <v:shape id="_x0000_s3075" o:spid="_x0000_s3075"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v:path/>
          <v:fill on="f" focussize="0,0"/>
          <v:stroke on="f" weight="0.5pt" joinstyle="miter"/>
          <v:imagedata o:title=""/>
          <o:lock v:ext="edit"/>
          <v:textbox inset="0mm,0mm,0mm,0mm">
            <w:txbxContent>
              <w:p>
                <w:pPr>
                  <w:pStyle w:val="4"/>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133A6"/>
    <w:rsid w:val="001B74BC"/>
    <w:rsid w:val="001D3BB7"/>
    <w:rsid w:val="002B254B"/>
    <w:rsid w:val="0034050A"/>
    <w:rsid w:val="0044504F"/>
    <w:rsid w:val="00466C9B"/>
    <w:rsid w:val="00486CFC"/>
    <w:rsid w:val="00491DDD"/>
    <w:rsid w:val="00550ABE"/>
    <w:rsid w:val="00595631"/>
    <w:rsid w:val="005A0FC7"/>
    <w:rsid w:val="00623A85"/>
    <w:rsid w:val="006564CD"/>
    <w:rsid w:val="006D6EF9"/>
    <w:rsid w:val="00770383"/>
    <w:rsid w:val="007819D4"/>
    <w:rsid w:val="00790DB5"/>
    <w:rsid w:val="007B419D"/>
    <w:rsid w:val="007B7C4B"/>
    <w:rsid w:val="007D3D39"/>
    <w:rsid w:val="00844539"/>
    <w:rsid w:val="008C5E17"/>
    <w:rsid w:val="008F5DEC"/>
    <w:rsid w:val="00984C6A"/>
    <w:rsid w:val="00994AF7"/>
    <w:rsid w:val="009B67B8"/>
    <w:rsid w:val="009C14C9"/>
    <w:rsid w:val="009D2B67"/>
    <w:rsid w:val="009D4D20"/>
    <w:rsid w:val="009E1452"/>
    <w:rsid w:val="00A566F9"/>
    <w:rsid w:val="00AF2751"/>
    <w:rsid w:val="00B03CCD"/>
    <w:rsid w:val="00B208E0"/>
    <w:rsid w:val="00BB5698"/>
    <w:rsid w:val="00BE2B89"/>
    <w:rsid w:val="00BF0D89"/>
    <w:rsid w:val="00C10E9E"/>
    <w:rsid w:val="00C16FE9"/>
    <w:rsid w:val="00C20C3E"/>
    <w:rsid w:val="00C4591D"/>
    <w:rsid w:val="00C50629"/>
    <w:rsid w:val="00C5163E"/>
    <w:rsid w:val="00CF2ACF"/>
    <w:rsid w:val="00D03AAF"/>
    <w:rsid w:val="00D8322C"/>
    <w:rsid w:val="00DA311F"/>
    <w:rsid w:val="00DD0539"/>
    <w:rsid w:val="00E07662"/>
    <w:rsid w:val="00E368E9"/>
    <w:rsid w:val="00E925F2"/>
    <w:rsid w:val="00ED22AE"/>
    <w:rsid w:val="00EE1E33"/>
    <w:rsid w:val="00F479D5"/>
    <w:rsid w:val="00F73F90"/>
    <w:rsid w:val="00FB4B3B"/>
    <w:rsid w:val="00FE6B2C"/>
    <w:rsid w:val="01474EBF"/>
    <w:rsid w:val="01F3521E"/>
    <w:rsid w:val="03103BA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036A3D"/>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BF5436"/>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2FFFC5F6"/>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12434D"/>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C91F26"/>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D8303"/>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4B92825"/>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7C128C"/>
    <w:rsid w:val="5DA80C2C"/>
    <w:rsid w:val="5F2D4A41"/>
    <w:rsid w:val="5FFFA5B7"/>
    <w:rsid w:val="60C74F6C"/>
    <w:rsid w:val="61015958"/>
    <w:rsid w:val="61025A59"/>
    <w:rsid w:val="613D5BBC"/>
    <w:rsid w:val="61536C39"/>
    <w:rsid w:val="623E461A"/>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49313F"/>
    <w:rsid w:val="6883293E"/>
    <w:rsid w:val="688412AD"/>
    <w:rsid w:val="68EB1B71"/>
    <w:rsid w:val="696C0310"/>
    <w:rsid w:val="6A6C7940"/>
    <w:rsid w:val="6A9F1565"/>
    <w:rsid w:val="6AAD2300"/>
    <w:rsid w:val="6ADA04F4"/>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7C1CBE"/>
    <w:rsid w:val="73934AD2"/>
    <w:rsid w:val="750837F0"/>
    <w:rsid w:val="754758CF"/>
    <w:rsid w:val="75595ECD"/>
    <w:rsid w:val="762C06AE"/>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5EF0C2"/>
    <w:rsid w:val="7D7406BB"/>
    <w:rsid w:val="7DE94331"/>
    <w:rsid w:val="7E965EE0"/>
    <w:rsid w:val="7F446A19"/>
    <w:rsid w:val="7F7452B9"/>
    <w:rsid w:val="9FD7F398"/>
    <w:rsid w:val="A77FEEB2"/>
    <w:rsid w:val="B62F8454"/>
    <w:rsid w:val="D7FF0D6F"/>
    <w:rsid w:val="DFBE33AC"/>
    <w:rsid w:val="DFD3CFC2"/>
    <w:rsid w:val="E4FFAD93"/>
    <w:rsid w:val="EFBBBA74"/>
    <w:rsid w:val="FB7BD8D7"/>
    <w:rsid w:val="FF5EF5E9"/>
    <w:rsid w:val="FFBC7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paragraph" w:styleId="2">
    <w:name w:val="heading 1"/>
    <w:basedOn w:val="1"/>
    <w:next w:val="1"/>
    <w:qFormat/>
    <w:uiPriority w:val="0"/>
    <w:pPr>
      <w:ind w:firstLine="200" w:firstLineChars="200"/>
      <w:outlineLvl w:val="0"/>
    </w:pPr>
    <w:rPr>
      <w:rFonts w:eastAsia="方正黑体_GBK"/>
      <w:kern w:val="44"/>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8"/>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字符"/>
    <w:basedOn w:val="8"/>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4266</Words>
  <Characters>4784</Characters>
  <Lines>34</Lines>
  <Paragraphs>9</Paragraphs>
  <TotalTime>280</TotalTime>
  <ScaleCrop>false</ScaleCrop>
  <LinksUpToDate>false</LinksUpToDate>
  <CharactersWithSpaces>4807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重庆市渝中区重点项目建设事务中心</cp:lastModifiedBy>
  <dcterms:modified xsi:type="dcterms:W3CDTF">2025-10-15T08:14:01Z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BB46EABDBB2749749395447164B066B3_12</vt:lpwstr>
  </property>
  <property fmtid="{D5CDD505-2E9C-101B-9397-08002B2CF9AE}" pid="4" name="KSOTemplateDocerSaveRecord">
    <vt:lpwstr>eyJoZGlkIjoiMTcxOTM3MjQ2YTQ2NjQ1MDNlMzhmOTU1Mzg4MmYwMzkiLCJ1c2VySWQiOiI3OTgyMDg0NTYifQ==</vt:lpwstr>
  </property>
</Properties>
</file>