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重庆市渝中区住房和城市建设委员会</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重庆市渝中区规划和自然资源局</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重庆市渝中区城市管理局</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关于印发《渝中区城市更新实施细则（试行）》的通知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渝中住建〔2022〕181号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spacing w:line="594" w:lineRule="exact"/>
        <w:jc w:val="both"/>
        <w:textAlignment w:val="auto"/>
        <w:rPr>
          <w:rFonts w:eastAsia="方正仿宋_GBK"/>
          <w:kern w:val="32"/>
          <w:sz w:val="32"/>
          <w:szCs w:val="32"/>
        </w:rPr>
      </w:pPr>
      <w:r>
        <w:rPr>
          <w:rFonts w:hint="eastAsia" w:eastAsia="方正仿宋_GBK"/>
          <w:kern w:val="32"/>
          <w:sz w:val="32"/>
          <w:szCs w:val="32"/>
        </w:rPr>
        <w:t>区级国家机关各部门，各管委会、街道办事处，各人民团体，区管事业单位，区属重点国有企业：</w:t>
      </w:r>
    </w:p>
    <w:p>
      <w:pPr>
        <w:keepNext w:val="0"/>
        <w:keepLines w:val="0"/>
        <w:pageBreakBefore w:val="0"/>
        <w:widowControl w:val="0"/>
        <w:kinsoku/>
        <w:wordWrap/>
        <w:overflowPunct/>
        <w:topLinePunct w:val="0"/>
        <w:autoSpaceDE/>
        <w:autoSpaceDN/>
        <w:bidi w:val="0"/>
        <w:spacing w:line="594" w:lineRule="exact"/>
        <w:ind w:firstLine="640"/>
        <w:jc w:val="both"/>
        <w:textAlignment w:val="auto"/>
        <w:rPr>
          <w:rFonts w:hint="eastAsia" w:eastAsia="方正仿宋_GBK"/>
          <w:kern w:val="32"/>
          <w:sz w:val="32"/>
          <w:szCs w:val="32"/>
        </w:rPr>
      </w:pPr>
      <w:r>
        <w:rPr>
          <w:rFonts w:hint="eastAsia" w:eastAsia="方正仿宋_GBK"/>
          <w:kern w:val="32"/>
          <w:sz w:val="32"/>
          <w:szCs w:val="32"/>
        </w:rPr>
        <w:t>《</w:t>
      </w:r>
      <w:r>
        <w:rPr>
          <w:rFonts w:hint="eastAsia" w:eastAsia="方正仿宋_GBK"/>
          <w:kern w:val="32"/>
          <w:sz w:val="32"/>
          <w:szCs w:val="32"/>
          <w:lang w:eastAsia="zh-CN"/>
        </w:rPr>
        <w:t>渝中区城市更新实施细则（试行）</w:t>
      </w:r>
      <w:r>
        <w:rPr>
          <w:rFonts w:hint="eastAsia" w:eastAsia="方正仿宋_GBK"/>
          <w:kern w:val="32"/>
          <w:sz w:val="32"/>
          <w:szCs w:val="32"/>
        </w:rPr>
        <w:t>》已经区委全面深化改革委员会会议、区政府常务会议审议通过，现印发给你们，请认真贯彻执行。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20" w:firstLineChars="200"/>
        <w:jc w:val="center"/>
        <w:textAlignment w:val="auto"/>
      </w:pPr>
    </w:p>
    <w:p>
      <w:pPr>
        <w:pStyle w:val="2"/>
      </w:pPr>
    </w:p>
    <w:p>
      <w:pPr>
        <w:rPr>
          <w:rFonts w:hint="eastAsia"/>
          <w:lang w:val="en-US" w:eastAsia="zh-CN"/>
        </w:rPr>
      </w:pPr>
    </w:p>
    <w:p>
      <w:pPr>
        <w:pStyle w:val="2"/>
        <w:keepNext w:val="0"/>
        <w:keepLines w:val="0"/>
        <w:pageBreakBefore w:val="0"/>
        <w:widowControl w:val="0"/>
        <w:kinsoku/>
        <w:wordWrap/>
        <w:overflowPunct/>
        <w:topLinePunct w:val="0"/>
        <w:autoSpaceDE/>
        <w:autoSpaceDN/>
        <w:bidi w:val="0"/>
        <w:spacing w:after="0" w:line="594" w:lineRule="exact"/>
        <w:ind w:firstLine="2880" w:firstLineChars="900"/>
        <w:jc w:val="both"/>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重庆市渝中区住房和城市建设委员会</w:t>
      </w:r>
    </w:p>
    <w:p>
      <w:pPr>
        <w:pStyle w:val="2"/>
        <w:keepNext w:val="0"/>
        <w:keepLines w:val="0"/>
        <w:pageBreakBefore w:val="0"/>
        <w:widowControl w:val="0"/>
        <w:kinsoku/>
        <w:wordWrap/>
        <w:overflowPunct/>
        <w:topLinePunct w:val="0"/>
        <w:autoSpaceDE/>
        <w:autoSpaceDN/>
        <w:bidi w:val="0"/>
        <w:spacing w:after="0" w:line="594" w:lineRule="exact"/>
        <w:ind w:firstLine="4160" w:firstLineChars="1300"/>
        <w:jc w:val="both"/>
        <w:textAlignment w:val="auto"/>
        <w:rPr>
          <w:rFonts w:hint="eastAsia" w:ascii="Times New Roman" w:hAnsi="Times New Roman" w:eastAsia="方正仿宋_GBK" w:cs="Times New Roman"/>
          <w:kern w:val="32"/>
          <w:sz w:val="32"/>
          <w:szCs w:val="32"/>
          <w:lang w:val="en-US" w:eastAsia="zh-CN" w:bidi="ar-SA"/>
        </w:rPr>
      </w:pPr>
    </w:p>
    <w:p>
      <w:pPr>
        <w:pStyle w:val="2"/>
        <w:keepNext w:val="0"/>
        <w:keepLines w:val="0"/>
        <w:pageBreakBefore w:val="0"/>
        <w:widowControl w:val="0"/>
        <w:kinsoku/>
        <w:wordWrap/>
        <w:overflowPunct/>
        <w:topLinePunct w:val="0"/>
        <w:autoSpaceDE/>
        <w:autoSpaceDN/>
        <w:bidi w:val="0"/>
        <w:spacing w:after="0" w:line="594" w:lineRule="exact"/>
        <w:ind w:firstLine="4160" w:firstLineChars="1300"/>
        <w:jc w:val="both"/>
        <w:textAlignment w:val="auto"/>
        <w:rPr>
          <w:rFonts w:hint="eastAsia" w:ascii="Times New Roman" w:hAnsi="Times New Roman" w:eastAsia="方正仿宋_GBK" w:cs="Times New Roman"/>
          <w:kern w:val="32"/>
          <w:sz w:val="32"/>
          <w:szCs w:val="32"/>
          <w:lang w:val="en-US" w:eastAsia="zh-CN" w:bidi="ar-SA"/>
        </w:rPr>
      </w:pPr>
    </w:p>
    <w:p>
      <w:pPr>
        <w:pStyle w:val="2"/>
        <w:keepNext w:val="0"/>
        <w:keepLines w:val="0"/>
        <w:pageBreakBefore w:val="0"/>
        <w:widowControl w:val="0"/>
        <w:kinsoku/>
        <w:wordWrap/>
        <w:overflowPunct/>
        <w:topLinePunct w:val="0"/>
        <w:autoSpaceDE/>
        <w:autoSpaceDN/>
        <w:bidi w:val="0"/>
        <w:spacing w:after="0" w:line="594" w:lineRule="exact"/>
        <w:ind w:firstLine="4160" w:firstLineChars="1300"/>
        <w:jc w:val="both"/>
        <w:textAlignment w:val="auto"/>
        <w:rPr>
          <w:rFonts w:hint="eastAsia" w:ascii="Times New Roman" w:hAnsi="Times New Roman" w:eastAsia="方正仿宋_GBK" w:cs="Times New Roman"/>
          <w:kern w:val="32"/>
          <w:sz w:val="32"/>
          <w:szCs w:val="32"/>
          <w:lang w:val="en-US" w:eastAsia="zh-CN" w:bidi="ar-SA"/>
        </w:rPr>
      </w:pPr>
    </w:p>
    <w:p>
      <w:pPr>
        <w:pStyle w:val="2"/>
        <w:keepNext w:val="0"/>
        <w:keepLines w:val="0"/>
        <w:pageBreakBefore w:val="0"/>
        <w:widowControl w:val="0"/>
        <w:kinsoku/>
        <w:wordWrap/>
        <w:overflowPunct/>
        <w:topLinePunct w:val="0"/>
        <w:autoSpaceDE/>
        <w:autoSpaceDN/>
        <w:bidi w:val="0"/>
        <w:spacing w:after="0" w:line="594" w:lineRule="exact"/>
        <w:ind w:firstLine="3520" w:firstLineChars="1100"/>
        <w:jc w:val="both"/>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重庆市渝中区规划和自然资源局</w:t>
      </w:r>
    </w:p>
    <w:p>
      <w:pPr>
        <w:pStyle w:val="2"/>
        <w:keepNext w:val="0"/>
        <w:keepLines w:val="0"/>
        <w:pageBreakBefore w:val="0"/>
        <w:widowControl w:val="0"/>
        <w:kinsoku/>
        <w:wordWrap/>
        <w:overflowPunct/>
        <w:topLinePunct w:val="0"/>
        <w:autoSpaceDE/>
        <w:autoSpaceDN/>
        <w:bidi w:val="0"/>
        <w:spacing w:after="0" w:line="594" w:lineRule="exact"/>
        <w:ind w:firstLine="4480" w:firstLineChars="1400"/>
        <w:jc w:val="both"/>
        <w:textAlignment w:val="auto"/>
        <w:rPr>
          <w:rFonts w:hint="eastAsia" w:ascii="Times New Roman" w:hAnsi="Times New Roman" w:eastAsia="方正仿宋_GBK" w:cs="Times New Roman"/>
          <w:kern w:val="32"/>
          <w:sz w:val="32"/>
          <w:szCs w:val="32"/>
          <w:lang w:val="en-US" w:eastAsia="zh-CN" w:bidi="ar-SA"/>
        </w:rPr>
      </w:pPr>
    </w:p>
    <w:p>
      <w:pPr>
        <w:pStyle w:val="2"/>
        <w:keepNext w:val="0"/>
        <w:keepLines w:val="0"/>
        <w:pageBreakBefore w:val="0"/>
        <w:widowControl w:val="0"/>
        <w:kinsoku/>
        <w:wordWrap/>
        <w:overflowPunct/>
        <w:topLinePunct w:val="0"/>
        <w:autoSpaceDE/>
        <w:autoSpaceDN/>
        <w:bidi w:val="0"/>
        <w:spacing w:after="0" w:line="594" w:lineRule="exact"/>
        <w:ind w:firstLine="4480" w:firstLineChars="1400"/>
        <w:jc w:val="both"/>
        <w:textAlignment w:val="auto"/>
        <w:rPr>
          <w:rFonts w:hint="eastAsia" w:ascii="Times New Roman" w:hAnsi="Times New Roman" w:eastAsia="方正仿宋_GBK" w:cs="Times New Roman"/>
          <w:kern w:val="32"/>
          <w:sz w:val="32"/>
          <w:szCs w:val="32"/>
          <w:lang w:val="en-US" w:eastAsia="zh-CN" w:bidi="ar-SA"/>
        </w:rPr>
      </w:pPr>
    </w:p>
    <w:p>
      <w:pPr>
        <w:pStyle w:val="2"/>
        <w:keepNext w:val="0"/>
        <w:keepLines w:val="0"/>
        <w:pageBreakBefore w:val="0"/>
        <w:widowControl w:val="0"/>
        <w:kinsoku/>
        <w:wordWrap/>
        <w:overflowPunct/>
        <w:topLinePunct w:val="0"/>
        <w:autoSpaceDE/>
        <w:autoSpaceDN/>
        <w:bidi w:val="0"/>
        <w:spacing w:after="0" w:line="594" w:lineRule="exact"/>
        <w:ind w:firstLine="4480" w:firstLineChars="1400"/>
        <w:jc w:val="both"/>
        <w:textAlignment w:val="auto"/>
        <w:rPr>
          <w:rFonts w:hint="eastAsia" w:ascii="Times New Roman" w:hAnsi="Times New Roman" w:eastAsia="方正仿宋_GBK" w:cs="Times New Roman"/>
          <w:kern w:val="32"/>
          <w:sz w:val="32"/>
          <w:szCs w:val="32"/>
          <w:lang w:val="en-US" w:eastAsia="zh-CN" w:bidi="ar-SA"/>
        </w:rPr>
      </w:pPr>
    </w:p>
    <w:p>
      <w:pPr>
        <w:pStyle w:val="2"/>
        <w:keepNext w:val="0"/>
        <w:keepLines w:val="0"/>
        <w:pageBreakBefore w:val="0"/>
        <w:widowControl w:val="0"/>
        <w:kinsoku/>
        <w:wordWrap/>
        <w:overflowPunct/>
        <w:topLinePunct w:val="0"/>
        <w:autoSpaceDE/>
        <w:autoSpaceDN/>
        <w:bidi w:val="0"/>
        <w:spacing w:after="0" w:line="594" w:lineRule="exact"/>
        <w:ind w:firstLine="4480" w:firstLineChars="1400"/>
        <w:jc w:val="both"/>
        <w:textAlignment w:val="auto"/>
        <w:rPr>
          <w:rFonts w:hint="default" w:ascii="Times New Roman" w:hAnsi="Times New Roman" w:eastAsia="方正仿宋_GBK" w:cs="Times New Roman"/>
          <w:kern w:val="32"/>
          <w:sz w:val="32"/>
          <w:szCs w:val="32"/>
          <w:lang w:val="en-US" w:eastAsia="zh-CN" w:bidi="ar-SA"/>
        </w:rPr>
      </w:pPr>
      <w:r>
        <w:rPr>
          <w:rFonts w:hint="default" w:ascii="Times New Roman" w:hAnsi="Times New Roman" w:eastAsia="方正仿宋_GBK" w:cs="Times New Roman"/>
          <w:kern w:val="32"/>
          <w:sz w:val="32"/>
          <w:szCs w:val="32"/>
          <w:lang w:val="en-US" w:eastAsia="zh-CN" w:bidi="ar-SA"/>
        </w:rPr>
        <w:t>重庆市渝中区城市管理局</w:t>
      </w:r>
    </w:p>
    <w:p>
      <w:pPr>
        <w:keepNext w:val="0"/>
        <w:keepLines w:val="0"/>
        <w:pageBreakBefore w:val="0"/>
        <w:widowControl w:val="0"/>
        <w:kinsoku/>
        <w:wordWrap/>
        <w:overflowPunct/>
        <w:topLinePunct w:val="0"/>
        <w:autoSpaceDE/>
        <w:autoSpaceDN/>
        <w:bidi w:val="0"/>
        <w:spacing w:line="594" w:lineRule="exact"/>
        <w:jc w:val="both"/>
        <w:textAlignment w:val="auto"/>
        <w:rPr>
          <w:rFonts w:hint="default" w:ascii="Times New Roman" w:hAnsi="Times New Roman" w:eastAsia="方正仿宋_GBK" w:cs="Times New Roman"/>
          <w:kern w:val="32"/>
          <w:sz w:val="32"/>
          <w:szCs w:val="32"/>
          <w:lang w:val="en-US" w:eastAsia="zh-CN"/>
        </w:rPr>
      </w:pPr>
      <w:r>
        <w:rPr>
          <w:rFonts w:hint="default" w:ascii="Times New Roman" w:hAnsi="Times New Roman" w:eastAsia="方正仿宋_GBK" w:cs="Times New Roman"/>
          <w:kern w:val="32"/>
          <w:sz w:val="32"/>
          <w:szCs w:val="32"/>
          <w:lang w:val="en-US" w:eastAsia="zh-CN"/>
        </w:rPr>
        <w:t xml:space="preserve">                               2022年4月26日</w:t>
      </w:r>
    </w:p>
    <w:p>
      <w:pPr>
        <w:pStyle w:val="2"/>
        <w:keepNext w:val="0"/>
        <w:keepLines w:val="0"/>
        <w:pageBreakBefore w:val="0"/>
        <w:widowControl w:val="0"/>
        <w:kinsoku/>
        <w:wordWrap/>
        <w:overflowPunct/>
        <w:topLinePunct w:val="0"/>
        <w:autoSpaceDE/>
        <w:autoSpaceDN/>
        <w:bidi w:val="0"/>
        <w:spacing w:after="0" w:line="594" w:lineRule="exact"/>
        <w:jc w:val="both"/>
        <w:textAlignment w:val="auto"/>
        <w:rPr>
          <w:rFonts w:hint="eastAsia" w:eastAsia="方正仿宋_GBK"/>
          <w:kern w:val="32"/>
          <w:sz w:val="32"/>
          <w:szCs w:val="32"/>
        </w:rPr>
      </w:pPr>
    </w:p>
    <w:p>
      <w:pPr>
        <w:keepNext w:val="0"/>
        <w:keepLines w:val="0"/>
        <w:pageBreakBefore w:val="0"/>
        <w:widowControl w:val="0"/>
        <w:kinsoku/>
        <w:wordWrap/>
        <w:overflowPunct/>
        <w:topLinePunct w:val="0"/>
        <w:autoSpaceDE/>
        <w:autoSpaceDN/>
        <w:bidi w:val="0"/>
        <w:spacing w:line="594" w:lineRule="exact"/>
        <w:jc w:val="both"/>
        <w:textAlignment w:val="auto"/>
        <w:rPr>
          <w:rFonts w:hint="eastAsia"/>
          <w:szCs w:val="32"/>
        </w:rPr>
      </w:pPr>
    </w:p>
    <w:p>
      <w:pPr>
        <w:keepNext w:val="0"/>
        <w:keepLines w:val="0"/>
        <w:pageBreakBefore w:val="0"/>
        <w:widowControl w:val="0"/>
        <w:kinsoku/>
        <w:wordWrap/>
        <w:overflowPunct/>
        <w:topLinePunct w:val="0"/>
        <w:autoSpaceDE/>
        <w:autoSpaceDN/>
        <w:bidi w:val="0"/>
        <w:spacing w:line="594" w:lineRule="exact"/>
        <w:jc w:val="both"/>
        <w:textAlignment w:val="auto"/>
        <w:rPr>
          <w:rFonts w:hint="eastAsia"/>
          <w:szCs w:val="32"/>
        </w:rPr>
      </w:pPr>
    </w:p>
    <w:p>
      <w:pPr>
        <w:keepNext w:val="0"/>
        <w:keepLines w:val="0"/>
        <w:pageBreakBefore w:val="0"/>
        <w:widowControl w:val="0"/>
        <w:kinsoku/>
        <w:wordWrap/>
        <w:overflowPunct/>
        <w:topLinePunct w:val="0"/>
        <w:autoSpaceDE/>
        <w:autoSpaceDN/>
        <w:bidi w:val="0"/>
        <w:spacing w:line="594" w:lineRule="exact"/>
        <w:jc w:val="both"/>
        <w:textAlignment w:val="auto"/>
        <w:rPr>
          <w:rFonts w:hint="eastAsia"/>
          <w:szCs w:val="32"/>
        </w:rPr>
      </w:pPr>
    </w:p>
    <w:p>
      <w:pPr>
        <w:keepNext w:val="0"/>
        <w:keepLines w:val="0"/>
        <w:pageBreakBefore w:val="0"/>
        <w:widowControl w:val="0"/>
        <w:kinsoku/>
        <w:wordWrap/>
        <w:overflowPunct/>
        <w:topLinePunct w:val="0"/>
        <w:autoSpaceDE/>
        <w:autoSpaceDN/>
        <w:bidi w:val="0"/>
        <w:spacing w:line="594" w:lineRule="exact"/>
        <w:jc w:val="both"/>
        <w:textAlignment w:val="auto"/>
        <w:rPr>
          <w:rFonts w:hint="eastAsia"/>
          <w:szCs w:val="32"/>
        </w:rPr>
      </w:pPr>
    </w:p>
    <w:p>
      <w:pPr>
        <w:keepNext w:val="0"/>
        <w:keepLines w:val="0"/>
        <w:pageBreakBefore w:val="0"/>
        <w:widowControl w:val="0"/>
        <w:kinsoku/>
        <w:wordWrap/>
        <w:overflowPunct/>
        <w:topLinePunct w:val="0"/>
        <w:autoSpaceDE/>
        <w:autoSpaceDN/>
        <w:bidi w:val="0"/>
        <w:spacing w:line="594" w:lineRule="exact"/>
        <w:jc w:val="both"/>
        <w:textAlignment w:val="auto"/>
        <w:rPr>
          <w:rFonts w:hint="eastAsia"/>
          <w:szCs w:val="32"/>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2"/>
        <w:rPr>
          <w:rFonts w:hint="eastAsia"/>
          <w:lang w:val="en-US"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渝中区城市更新实施细则（试行）</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600" w:lineRule="exact"/>
        <w:ind w:left="0" w:right="0"/>
        <w:jc w:val="center"/>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第一章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总</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宋体" w:cs="Times New Roman"/>
          <w:kern w:val="2"/>
          <w:sz w:val="24"/>
          <w:szCs w:val="24"/>
        </w:rPr>
      </w:pPr>
      <w:r>
        <w:rPr>
          <w:rFonts w:hint="eastAsia" w:ascii="方正黑体_GBK" w:hAnsi="方正黑体_GBK" w:eastAsia="方正黑体_GBK" w:cs="方正黑体_GBK"/>
          <w:kern w:val="2"/>
          <w:sz w:val="32"/>
          <w:szCs w:val="32"/>
          <w:lang w:val="en-US" w:eastAsia="zh-CN" w:bidi="ar"/>
        </w:rPr>
        <w:t>第一条</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为落实国家城市更新行动决策部署，规范渝中区城市更新活动，建立科学、有序的城市更新实施机制，根据《住房和城乡建设部关于在实施城市更新行动中防止大拆大建问题的通知》（建科〔</w:t>
      </w:r>
      <w:r>
        <w:rPr>
          <w:rFonts w:hint="default"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63</w:t>
      </w:r>
      <w:r>
        <w:rPr>
          <w:rFonts w:hint="eastAsia" w:ascii="方正仿宋_GBK" w:hAnsi="方正仿宋_GBK" w:eastAsia="方正仿宋_GBK" w:cs="方正仿宋_GBK"/>
          <w:kern w:val="2"/>
          <w:sz w:val="32"/>
          <w:szCs w:val="32"/>
          <w:lang w:val="en-US" w:eastAsia="zh-CN" w:bidi="ar"/>
        </w:rPr>
        <w:t>号）、《重庆市城市更新管理办法》（渝府发〔</w:t>
      </w:r>
      <w:r>
        <w:rPr>
          <w:rFonts w:hint="default"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15</w:t>
      </w:r>
      <w:r>
        <w:rPr>
          <w:rFonts w:hint="eastAsia" w:ascii="方正仿宋_GBK" w:hAnsi="方正仿宋_GBK" w:eastAsia="方正仿宋_GBK" w:cs="方正仿宋_GBK"/>
          <w:kern w:val="2"/>
          <w:sz w:val="32"/>
          <w:szCs w:val="32"/>
          <w:lang w:val="en-US" w:eastAsia="zh-CN" w:bidi="ar"/>
        </w:rPr>
        <w:t>号）、《重庆市城市更新技术导则》（渝建发〔</w:t>
      </w:r>
      <w:r>
        <w:rPr>
          <w:rFonts w:hint="default" w:ascii="Times New Roman" w:hAnsi="Times New Roman" w:eastAsia="方正仿宋_GBK" w:cs="Times New Roman"/>
          <w:kern w:val="2"/>
          <w:sz w:val="32"/>
          <w:szCs w:val="32"/>
          <w:lang w:val="en-US" w:eastAsia="zh-CN" w:bidi="ar"/>
        </w:rPr>
        <w:t>2022</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号）、《关于加强城市更新项目管理的通知》（渝建人居〔</w:t>
      </w:r>
      <w:r>
        <w:rPr>
          <w:rFonts w:hint="default" w:ascii="Times New Roman" w:hAnsi="Times New Roman" w:eastAsia="方正仿宋_GBK" w:cs="Times New Roman"/>
          <w:kern w:val="2"/>
          <w:sz w:val="32"/>
          <w:szCs w:val="32"/>
          <w:lang w:val="en-US" w:eastAsia="zh-CN" w:bidi="ar"/>
        </w:rPr>
        <w:t>2022</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19</w:t>
      </w:r>
      <w:r>
        <w:rPr>
          <w:rFonts w:hint="eastAsia" w:ascii="方正仿宋_GBK" w:hAnsi="方正仿宋_GBK" w:eastAsia="方正仿宋_GBK" w:cs="方正仿宋_GBK"/>
          <w:kern w:val="2"/>
          <w:sz w:val="32"/>
          <w:szCs w:val="32"/>
          <w:lang w:val="en-US" w:eastAsia="zh-CN" w:bidi="ar"/>
        </w:rPr>
        <w:t>号）等文件，结合实际，制定本细则。</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第二条</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城市更新，是指对我区城市空间形态和功能进行整治提升的活动。</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第三条</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城市更新主要内容包括完善生活功能、补齐公共设施短板，完善产业功能、打造就业创新载体，完善生态功能、保护修复绿地绿廊绿道，完善人文功能、积淀文化元素魅力，完善安全功能、增强防灾减灾能力。</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第四条</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城市更新应当遵循以下原则：</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（一）以人为本，共建共享。</w:t>
      </w:r>
      <w:r>
        <w:rPr>
          <w:rFonts w:hint="eastAsia" w:ascii="方正仿宋_GBK" w:hAnsi="方正仿宋_GBK" w:eastAsia="方正仿宋_GBK" w:cs="方正仿宋_GBK"/>
          <w:kern w:val="2"/>
          <w:sz w:val="32"/>
          <w:szCs w:val="32"/>
          <w:lang w:val="en-US" w:eastAsia="zh-CN" w:bidi="ar"/>
        </w:rPr>
        <w:t>坚持以人民为中心，尊重民意，切实改善民生，群策群力，构建</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共商共治，共建共享</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的社会治理新格局。切实改善居住条件，完善公共服务配套，推进基本公共服务均等化，提升城市功能和品质。</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（二）政府引导，市场运作。</w:t>
      </w:r>
      <w:r>
        <w:rPr>
          <w:rFonts w:hint="eastAsia" w:ascii="方正仿宋_GBK" w:hAnsi="方正仿宋_GBK" w:eastAsia="方正仿宋_GBK" w:cs="方正仿宋_GBK"/>
          <w:kern w:val="2"/>
          <w:sz w:val="32"/>
          <w:szCs w:val="32"/>
          <w:lang w:val="en-US" w:eastAsia="zh-CN" w:bidi="ar"/>
        </w:rPr>
        <w:t>遵循城市发展内在规律，统筹把控城市更新工作方向。充分发挥市场作用，注重激发市场主体的投资活力和创新活力，完善对市场运作的政策引导，促进经济、社会的平稳健康发展。</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（三）统筹谋划，持续更新。</w:t>
      </w:r>
      <w:r>
        <w:rPr>
          <w:rFonts w:hint="eastAsia" w:ascii="方正仿宋_GBK" w:hAnsi="方正仿宋_GBK" w:eastAsia="方正仿宋_GBK" w:cs="方正仿宋_GBK"/>
          <w:kern w:val="2"/>
          <w:sz w:val="32"/>
          <w:szCs w:val="32"/>
          <w:lang w:val="en-US" w:eastAsia="zh-CN" w:bidi="ar"/>
        </w:rPr>
        <w:t>注重更新工作统筹谋划，注重推动区域连片改造，形成示范效应。科学制定片区策划，在可持续发展的基础上坚持有机更新。</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（四）产城融合，激发活力。</w:t>
      </w:r>
      <w:r>
        <w:rPr>
          <w:rFonts w:hint="eastAsia" w:ascii="方正仿宋_GBK" w:hAnsi="方正仿宋_GBK" w:eastAsia="方正仿宋_GBK" w:cs="方正仿宋_GBK"/>
          <w:kern w:val="2"/>
          <w:sz w:val="32"/>
          <w:szCs w:val="32"/>
          <w:lang w:val="en-US" w:eastAsia="zh-CN" w:bidi="ar"/>
        </w:rPr>
        <w:t>以城市为基础，加强产业导入，承载产业空间，促进产业结构调整和转型升级，以产业为保障，驱动城市更新。注重整合创新要素，优化资源配置，激活闲置存量资产，促进经济要素集聚，增强发展后劲。</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（五）保护文脉，修复生态。</w:t>
      </w:r>
      <w:r>
        <w:rPr>
          <w:rFonts w:hint="eastAsia" w:ascii="方正仿宋_GBK" w:hAnsi="方正仿宋_GBK" w:eastAsia="方正仿宋_GBK" w:cs="方正仿宋_GBK"/>
          <w:kern w:val="2"/>
          <w:sz w:val="32"/>
          <w:szCs w:val="32"/>
          <w:lang w:val="en-US" w:eastAsia="zh-CN" w:bidi="ar"/>
        </w:rPr>
        <w:t>深入推进</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人文渝中</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建设，注重保护巴渝文化、革命文化、移民文化、抗战文化和统战文化等特有的历史文化资源，传承历史文脉、延续城市肌理。在城市更新中落实海绵城市建设要求，补齐城市生态短板，有序实施生态修复。</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楷体_GBK" w:cs="Times New Roman"/>
          <w:kern w:val="2"/>
          <w:sz w:val="32"/>
          <w:szCs w:val="32"/>
        </w:rPr>
      </w:pPr>
      <w:r>
        <w:rPr>
          <w:rFonts w:hint="eastAsia" w:ascii="方正黑体_GBK" w:hAnsi="方正黑体_GBK" w:eastAsia="方正黑体_GBK" w:cs="方正黑体_GBK"/>
          <w:kern w:val="2"/>
          <w:sz w:val="32"/>
          <w:szCs w:val="32"/>
          <w:lang w:val="en-US" w:eastAsia="zh-CN" w:bidi="ar"/>
        </w:rPr>
        <w:t>第五条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城市更新方式分为以下三种：</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600" w:lineRule="exact"/>
        <w:ind w:left="0" w:right="0" w:firstLine="640" w:firstLineChars="200"/>
        <w:jc w:val="both"/>
        <w:textAlignment w:val="auto"/>
        <w:outlineLvl w:val="9"/>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lang w:val="en-US" w:eastAsia="zh-CN" w:bidi="ar"/>
        </w:rPr>
        <w:t>1.保护修缮</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对于建设情况较好、公共服务配套设施较齐全或具有历史文化保护价值的建筑物，以延续文脉、消除安全隐患、完善使用功能为目标，在不改变建筑主体结构、建筑整体风貌和重要饰面材料的前提下，对建筑及建筑所在区域的市政基础设施、公共服务配套设施、公共空间等进行保护、修缮、整治，更新前后建筑规模不变。</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600" w:lineRule="exact"/>
        <w:ind w:left="0" w:right="0" w:firstLine="640" w:firstLineChars="200"/>
        <w:jc w:val="both"/>
        <w:textAlignment w:val="auto"/>
        <w:outlineLvl w:val="9"/>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lang w:val="en-US" w:eastAsia="zh-CN" w:bidi="ar"/>
        </w:rPr>
        <w:t>2.改造提升</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对于具备改造条件的建筑物，在不拆除主体建筑的前提下，对现有建筑进行局部改造，通过少量增加用地或建筑规模等方式提升完善建筑使用功能；对于老旧的市政设施和脏乱差、品质低的城市环境及公共空间，通过整改整治，促进人居环境的改善提升。</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600" w:lineRule="exact"/>
        <w:ind w:left="0" w:right="0" w:firstLine="640" w:firstLineChars="200"/>
        <w:jc w:val="both"/>
        <w:textAlignment w:val="auto"/>
        <w:outlineLvl w:val="9"/>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lang w:val="en-US" w:eastAsia="zh-CN" w:bidi="ar"/>
        </w:rPr>
        <w:t>3.拆旧建新</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对于存在严重安全隐患、建筑年久失修、现有土地用途和建筑使用功能明显不符合经济社会发展要求的项目，通过整治、改造无法消除负面影响的，可拆除部分原有建筑，并按照规划进行重新建设。</w:t>
      </w:r>
    </w:p>
    <w:p>
      <w:pPr>
        <w:keepNext w:val="0"/>
        <w:keepLines w:val="0"/>
        <w:widowControl w:val="0"/>
        <w:suppressLineNumbers w:val="0"/>
        <w:adjustRightInd w:val="0"/>
        <w:spacing w:before="0" w:beforeAutospacing="0" w:after="0" w:afterAutospacing="0" w:line="620" w:lineRule="exact"/>
        <w:ind w:left="0" w:right="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w:t>
      </w:r>
    </w:p>
    <w:p>
      <w:pPr>
        <w:keepNext w:val="0"/>
        <w:keepLines w:val="0"/>
        <w:widowControl w:val="0"/>
        <w:suppressLineNumbers w:val="0"/>
        <w:adjustRightInd w:val="0"/>
        <w:spacing w:before="0" w:beforeAutospacing="0" w:after="0" w:afterAutospacing="0" w:line="620" w:lineRule="exact"/>
        <w:ind w:left="0" w:right="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第二章</w:t>
      </w:r>
      <w:r>
        <w:rPr>
          <w:rFonts w:hint="default"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工作机制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pacing w:before="0" w:beforeAutospacing="0" w:after="0" w:afterAutospacing="0" w:line="620" w:lineRule="exact"/>
        <w:ind w:left="0" w:right="0" w:firstLine="640" w:firstLineChars="200"/>
        <w:jc w:val="both"/>
        <w:rPr>
          <w:rFonts w:hint="default" w:ascii="Times New Roman" w:hAnsi="Times New Roman" w:eastAsia="方正仿宋_GBK" w:cs="Times New Roman"/>
          <w:spacing w:val="-4"/>
          <w:kern w:val="2"/>
          <w:sz w:val="32"/>
          <w:szCs w:val="32"/>
        </w:rPr>
      </w:pPr>
      <w:r>
        <w:rPr>
          <w:rFonts w:hint="eastAsia" w:ascii="方正黑体_GBK" w:hAnsi="方正黑体_GBK" w:eastAsia="方正黑体_GBK" w:cs="方正黑体_GBK"/>
          <w:kern w:val="2"/>
          <w:sz w:val="32"/>
          <w:szCs w:val="32"/>
          <w:lang w:val="en-US" w:eastAsia="zh-CN" w:bidi="ar"/>
        </w:rPr>
        <w:t>第六条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成立区城市更新工作领导小组</w:t>
      </w:r>
      <w:r>
        <w:rPr>
          <w:rFonts w:hint="eastAsia" w:ascii="方正仿宋_GBK" w:hAnsi="方正仿宋_GBK" w:eastAsia="方正仿宋_GBK" w:cs="方正仿宋_GBK"/>
          <w:spacing w:val="-4"/>
          <w:kern w:val="2"/>
          <w:sz w:val="32"/>
          <w:szCs w:val="32"/>
          <w:lang w:val="en-US" w:eastAsia="zh-CN" w:bidi="ar"/>
        </w:rPr>
        <w:t>，</w:t>
      </w:r>
      <w:r>
        <w:rPr>
          <w:rFonts w:hint="eastAsia" w:ascii="方正仿宋_GBK" w:hAnsi="方正仿宋_GBK" w:eastAsia="方正仿宋_GBK" w:cs="方正仿宋_GBK"/>
          <w:kern w:val="32"/>
          <w:sz w:val="32"/>
          <w:szCs w:val="32"/>
          <w:lang w:val="en-US" w:eastAsia="zh-CN" w:bidi="ar"/>
        </w:rPr>
        <w:t>负责落实市委市政府和区委区政府关于城市更新工作的安排部署。审议和研究城市更新工作重大事项、重要制度、专项规划、片区策划、年度计划和实施方案。统筹协调、指挥调度、部署推进全区城市更新各项工作，研究解决城市更新工作中的困难和问题。对各有关部门、街道、单位推进城市更新工作情况进行监督、检查和考核，总结部署阶段性工作</w:t>
      </w:r>
      <w:r>
        <w:rPr>
          <w:rFonts w:hint="eastAsia" w:ascii="方正仿宋_GBK" w:hAnsi="方正仿宋_GBK" w:eastAsia="方正仿宋_GBK" w:cs="方正仿宋_GBK"/>
          <w:spacing w:val="-4"/>
          <w:kern w:val="2"/>
          <w:sz w:val="32"/>
          <w:szCs w:val="32"/>
          <w:lang w:val="en-US" w:eastAsia="zh-CN" w:bidi="ar"/>
        </w:rPr>
        <w:t>。</w:t>
      </w:r>
    </w:p>
    <w:p>
      <w:pPr>
        <w:keepNext w:val="0"/>
        <w:keepLines w:val="0"/>
        <w:widowControl w:val="0"/>
        <w:suppressLineNumbers w:val="0"/>
        <w:adjustRightInd w:val="0"/>
        <w:spacing w:before="0" w:beforeAutospacing="0" w:after="0" w:afterAutospacing="0" w:line="620" w:lineRule="exact"/>
        <w:ind w:left="0" w:right="0" w:firstLine="640" w:firstLineChars="200"/>
        <w:jc w:val="both"/>
        <w:rPr>
          <w:rFonts w:hint="default" w:ascii="Times New Roman" w:hAnsi="Times New Roman" w:eastAsia="方正仿宋_GBK" w:cs="Times New Roman"/>
          <w:spacing w:val="-8"/>
          <w:kern w:val="2"/>
          <w:sz w:val="32"/>
          <w:szCs w:val="32"/>
        </w:rPr>
      </w:pPr>
      <w:r>
        <w:rPr>
          <w:rFonts w:hint="eastAsia" w:ascii="方正黑体_GBK" w:hAnsi="方正黑体_GBK" w:eastAsia="方正黑体_GBK" w:cs="方正黑体_GBK"/>
          <w:kern w:val="2"/>
          <w:sz w:val="32"/>
          <w:szCs w:val="32"/>
          <w:lang w:val="en-US" w:eastAsia="zh-CN" w:bidi="ar"/>
        </w:rPr>
        <w:t>第七条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区城市更新工作领导小组</w:t>
      </w:r>
      <w:r>
        <w:rPr>
          <w:rFonts w:hint="eastAsia" w:ascii="方正仿宋_GBK" w:hAnsi="方正仿宋_GBK" w:eastAsia="方正仿宋_GBK" w:cs="方正仿宋_GBK"/>
          <w:spacing w:val="-8"/>
          <w:kern w:val="2"/>
          <w:sz w:val="32"/>
          <w:szCs w:val="32"/>
          <w:lang w:val="en-US" w:eastAsia="zh-CN" w:bidi="ar"/>
        </w:rPr>
        <w:t>办公室设在区住房</w:t>
      </w:r>
      <w:bookmarkStart w:id="0" w:name="_GoBack"/>
      <w:bookmarkEnd w:id="0"/>
      <w:r>
        <w:rPr>
          <w:rFonts w:hint="eastAsia" w:ascii="方正仿宋_GBK" w:hAnsi="方正仿宋_GBK" w:eastAsia="方正仿宋_GBK" w:cs="方正仿宋_GBK"/>
          <w:spacing w:val="-8"/>
          <w:kern w:val="2"/>
          <w:sz w:val="32"/>
          <w:szCs w:val="32"/>
          <w:lang w:val="en-US" w:eastAsia="zh-CN" w:bidi="ar"/>
        </w:rPr>
        <w:t>城市建设委，承担领导小组日常工作，</w:t>
      </w:r>
      <w:r>
        <w:rPr>
          <w:rFonts w:hint="eastAsia" w:ascii="方正仿宋_GBK" w:hAnsi="方正仿宋_GBK" w:eastAsia="方正仿宋_GBK" w:cs="方正仿宋_GBK"/>
          <w:kern w:val="32"/>
          <w:sz w:val="32"/>
          <w:szCs w:val="32"/>
          <w:lang w:val="en-US" w:eastAsia="zh-CN" w:bidi="ar"/>
        </w:rPr>
        <w:t>负责组织协调、政策拟定、计划编制、督促推进、通报考核等城市更新具体工作</w:t>
      </w:r>
      <w:r>
        <w:rPr>
          <w:rFonts w:hint="eastAsia" w:ascii="方正仿宋_GBK" w:hAnsi="方正仿宋_GBK" w:eastAsia="方正仿宋_GBK" w:cs="方正仿宋_GBK"/>
          <w:spacing w:val="-8"/>
          <w:kern w:val="2"/>
          <w:sz w:val="32"/>
          <w:szCs w:val="32"/>
          <w:lang w:val="en-US" w:eastAsia="zh-CN" w:bidi="ar"/>
        </w:rPr>
        <w:t>。</w:t>
      </w:r>
    </w:p>
    <w:p>
      <w:pPr>
        <w:keepNext w:val="0"/>
        <w:keepLines w:val="0"/>
        <w:widowControl w:val="0"/>
        <w:suppressLineNumbers w:val="0"/>
        <w:adjustRightInd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32"/>
          <w:sz w:val="32"/>
          <w:szCs w:val="32"/>
        </w:rPr>
      </w:pPr>
      <w:r>
        <w:rPr>
          <w:rFonts w:hint="eastAsia" w:ascii="方正黑体_GBK" w:hAnsi="方正黑体_GBK" w:eastAsia="方正黑体_GBK" w:cs="方正黑体_GBK"/>
          <w:kern w:val="2"/>
          <w:sz w:val="32"/>
          <w:szCs w:val="32"/>
          <w:lang w:val="en-US" w:eastAsia="zh-CN" w:bidi="ar"/>
        </w:rPr>
        <w:t>第八条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spacing w:val="-8"/>
          <w:kern w:val="2"/>
          <w:sz w:val="32"/>
          <w:szCs w:val="32"/>
          <w:lang w:val="en-US" w:eastAsia="zh-CN" w:bidi="ar"/>
        </w:rPr>
        <w:t>区住房城市建设委</w:t>
      </w:r>
      <w:r>
        <w:rPr>
          <w:rFonts w:hint="eastAsia" w:ascii="方正仿宋_GBK" w:hAnsi="方正仿宋_GBK" w:eastAsia="方正仿宋_GBK" w:cs="方正仿宋_GBK"/>
          <w:kern w:val="32"/>
          <w:sz w:val="32"/>
          <w:szCs w:val="32"/>
          <w:lang w:val="en-US" w:eastAsia="zh-CN" w:bidi="ar"/>
        </w:rPr>
        <w:t>为城市更新工作的统筹单位</w:t>
      </w:r>
      <w:r>
        <w:rPr>
          <w:rFonts w:hint="eastAsia" w:ascii="方正仿宋_GBK" w:hAnsi="方正仿宋_GBK" w:eastAsia="方正仿宋_GBK" w:cs="方正仿宋_GBK"/>
          <w:kern w:val="2"/>
          <w:sz w:val="32"/>
          <w:szCs w:val="32"/>
          <w:lang w:val="en-US" w:eastAsia="zh-CN" w:bidi="ar"/>
        </w:rPr>
        <w:t>。</w:t>
      </w:r>
      <w:r>
        <w:rPr>
          <w:rFonts w:hint="eastAsia" w:ascii="方正仿宋_GBK" w:hAnsi="方正仿宋_GBK" w:eastAsia="方正仿宋_GBK" w:cs="方正仿宋_GBK"/>
          <w:kern w:val="32"/>
          <w:sz w:val="32"/>
          <w:szCs w:val="32"/>
          <w:lang w:val="en-US" w:eastAsia="zh-CN" w:bidi="ar"/>
        </w:rPr>
        <w:t>区政府各相关部门、各管委会和街道办事处、国有平台公司在各自职责范围内负责城市更新相关工作。</w:t>
      </w:r>
    </w:p>
    <w:p>
      <w:pPr>
        <w:keepNext w:val="0"/>
        <w:keepLines w:val="0"/>
        <w:widowControl w:val="0"/>
        <w:suppressLineNumbers w:val="0"/>
        <w:adjustRightInd w:val="0"/>
        <w:spacing w:before="0" w:beforeAutospacing="0" w:after="0" w:afterAutospacing="0" w:line="62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pacing w:before="0" w:beforeAutospacing="0" w:after="0" w:afterAutospacing="0" w:line="620" w:lineRule="exact"/>
        <w:ind w:left="0" w:right="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第三章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一般规定</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default" w:ascii="Times New Roman" w:hAnsi="Times New Roman" w:eastAsia="方正黑体_GBK" w:cs="Times New Roman"/>
          <w:spacing w:val="-4"/>
          <w:kern w:val="2"/>
          <w:sz w:val="32"/>
          <w:szCs w:val="32"/>
        </w:rPr>
      </w:pPr>
      <w:r>
        <w:rPr>
          <w:rFonts w:hint="default" w:ascii="Times New Roman" w:hAnsi="Times New Roman" w:eastAsia="方正黑体_GBK" w:cs="Times New Roman"/>
          <w:spacing w:val="-4"/>
          <w:kern w:val="2"/>
          <w:sz w:val="32"/>
          <w:szCs w:val="32"/>
          <w:lang w:val="en-US" w:eastAsia="zh-CN" w:bidi="ar"/>
        </w:rPr>
        <w:t xml:space="preserve"> </w:t>
      </w:r>
    </w:p>
    <w:p>
      <w:pPr>
        <w:keepNext w:val="0"/>
        <w:keepLines w:val="0"/>
        <w:widowControl w:val="0"/>
        <w:suppressLineNumbers w:val="0"/>
        <w:adjustRightInd w:val="0"/>
        <w:spacing w:before="0" w:beforeAutospacing="0" w:after="0" w:afterAutospacing="0" w:line="620" w:lineRule="exact"/>
        <w:ind w:left="0" w:right="0" w:firstLine="624" w:firstLineChars="200"/>
        <w:jc w:val="both"/>
        <w:rPr>
          <w:rFonts w:hint="default" w:ascii="Times New Roman" w:hAnsi="Times New Roman" w:eastAsia="方正仿宋_GBK" w:cs="Times New Roman"/>
          <w:spacing w:val="-8"/>
          <w:kern w:val="2"/>
          <w:sz w:val="32"/>
          <w:szCs w:val="32"/>
        </w:rPr>
      </w:pPr>
      <w:r>
        <w:rPr>
          <w:rFonts w:hint="eastAsia" w:ascii="方正黑体_GBK" w:hAnsi="方正黑体_GBK" w:eastAsia="方正黑体_GBK" w:cs="方正黑体_GBK"/>
          <w:spacing w:val="-4"/>
          <w:kern w:val="2"/>
          <w:sz w:val="32"/>
          <w:szCs w:val="32"/>
          <w:lang w:val="en-US" w:eastAsia="zh-CN" w:bidi="ar"/>
        </w:rPr>
        <w:t>第九条</w:t>
      </w:r>
      <w:r>
        <w:rPr>
          <w:rFonts w:hint="eastAsia" w:ascii="Times New Roman" w:hAnsi="Times New Roman" w:eastAsia="方正黑体_GBK" w:cs="Times New Roman"/>
          <w:spacing w:val="-4"/>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spacing w:val="-4"/>
          <w:kern w:val="2"/>
          <w:sz w:val="32"/>
          <w:szCs w:val="32"/>
          <w:lang w:val="en-US" w:eastAsia="zh-CN" w:bidi="ar"/>
        </w:rPr>
        <w:t>建立城市更新基础数据调查制度，</w:t>
      </w:r>
      <w:r>
        <w:rPr>
          <w:rFonts w:hint="eastAsia" w:ascii="方正仿宋_GBK" w:hAnsi="方正仿宋_GBK" w:eastAsia="方正仿宋_GBK" w:cs="方正仿宋_GBK"/>
          <w:spacing w:val="-8"/>
          <w:kern w:val="2"/>
          <w:sz w:val="32"/>
          <w:szCs w:val="32"/>
          <w:lang w:val="en-US" w:eastAsia="zh-CN" w:bidi="ar"/>
        </w:rPr>
        <w:t>收集辖区范围内的土地、房屋、人口、经济、产业、文</w:t>
      </w:r>
      <w:r>
        <w:rPr>
          <w:rFonts w:hint="eastAsia" w:ascii="方正仿宋_GBK" w:hAnsi="方正仿宋_GBK" w:eastAsia="方正仿宋_GBK" w:cs="方正仿宋_GBK"/>
          <w:spacing w:val="-9"/>
          <w:kern w:val="2"/>
          <w:sz w:val="32"/>
          <w:szCs w:val="32"/>
          <w:lang w:val="en-US" w:eastAsia="zh-CN" w:bidi="ar"/>
        </w:rPr>
        <w:t>化遗产、公建配套、市政设施及城市绿地等现状基础数据，开展公众意愿调查，结合城市体检评估成果，逐步建立健全城市更新数据库。</w:t>
      </w:r>
    </w:p>
    <w:p>
      <w:pPr>
        <w:keepNext w:val="0"/>
        <w:keepLines w:val="0"/>
        <w:widowControl w:val="0"/>
        <w:suppressLineNumbers w:val="0"/>
        <w:adjustRightInd w:val="0"/>
        <w:spacing w:before="0" w:beforeAutospacing="0" w:after="0" w:afterAutospacing="0" w:line="620" w:lineRule="exact"/>
        <w:ind w:left="0" w:right="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第十条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bCs/>
          <w:kern w:val="2"/>
          <w:sz w:val="32"/>
          <w:szCs w:val="32"/>
          <w:lang w:val="en-US" w:eastAsia="zh-CN" w:bidi="ar"/>
        </w:rPr>
        <w:t>建立</w:t>
      </w:r>
      <w:r>
        <w:rPr>
          <w:rFonts w:hint="default" w:ascii="Times New Roman" w:hAnsi="Times New Roman" w:eastAsia="方正仿宋_GBK" w:cs="Times New Roman"/>
          <w:bCs/>
          <w:kern w:val="2"/>
          <w:sz w:val="32"/>
          <w:szCs w:val="32"/>
          <w:lang w:val="en-US" w:eastAsia="zh-CN" w:bidi="ar"/>
        </w:rPr>
        <w:t>“</w:t>
      </w:r>
      <w:r>
        <w:rPr>
          <w:rFonts w:hint="eastAsia" w:ascii="方正仿宋_GBK" w:hAnsi="方正仿宋_GBK" w:eastAsia="方正仿宋_GBK" w:cs="方正仿宋_GBK"/>
          <w:bCs/>
          <w:kern w:val="2"/>
          <w:sz w:val="32"/>
          <w:szCs w:val="32"/>
          <w:lang w:val="en-US" w:eastAsia="zh-CN" w:bidi="ar"/>
        </w:rPr>
        <w:t>一年一体检、五年一评估</w:t>
      </w:r>
      <w:r>
        <w:rPr>
          <w:rFonts w:hint="default" w:ascii="Times New Roman" w:hAnsi="Times New Roman" w:eastAsia="方正仿宋_GBK" w:cs="Times New Roman"/>
          <w:bCs/>
          <w:kern w:val="2"/>
          <w:sz w:val="32"/>
          <w:szCs w:val="32"/>
          <w:lang w:val="en-US" w:eastAsia="zh-CN" w:bidi="ar"/>
        </w:rPr>
        <w:t>”</w:t>
      </w:r>
      <w:r>
        <w:rPr>
          <w:rFonts w:hint="eastAsia" w:ascii="方正仿宋_GBK" w:hAnsi="方正仿宋_GBK" w:eastAsia="方正仿宋_GBK" w:cs="方正仿宋_GBK"/>
          <w:bCs/>
          <w:kern w:val="2"/>
          <w:sz w:val="32"/>
          <w:szCs w:val="32"/>
          <w:lang w:val="en-US" w:eastAsia="zh-CN" w:bidi="ar"/>
        </w:rPr>
        <w:t>工作机制，形成对城市的总体评估与对城市重点专项的系统体检分析，</w:t>
      </w:r>
      <w:r>
        <w:rPr>
          <w:rFonts w:hint="eastAsia" w:ascii="方正仿宋_GBK" w:hAnsi="方正仿宋_GBK" w:eastAsia="方正仿宋_GBK" w:cs="方正仿宋_GBK"/>
          <w:kern w:val="2"/>
          <w:sz w:val="32"/>
          <w:szCs w:val="32"/>
          <w:lang w:val="en-US" w:eastAsia="zh-CN" w:bidi="ar"/>
        </w:rPr>
        <w:t>针对</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城市病</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清单，探索以</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城市体检</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推动</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城市更新</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，辅助城市更新项目生成</w:t>
      </w:r>
      <w:r>
        <w:rPr>
          <w:rFonts w:hint="eastAsia" w:ascii="方正仿宋_GBK" w:hAnsi="方正仿宋_GBK" w:eastAsia="方正仿宋_GBK" w:cs="方正仿宋_GBK"/>
          <w:bCs/>
          <w:kern w:val="2"/>
          <w:sz w:val="32"/>
          <w:szCs w:val="32"/>
          <w:lang w:val="en-US" w:eastAsia="zh-CN" w:bidi="ar"/>
        </w:rPr>
        <w:t>。</w:t>
      </w:r>
    </w:p>
    <w:p>
      <w:pPr>
        <w:keepNext w:val="0"/>
        <w:keepLines w:val="0"/>
        <w:widowControl w:val="0"/>
        <w:suppressLineNumbers w:val="0"/>
        <w:adjustRightInd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第十一条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城市更新实行专家咨询制度，建立城市更新规划设计专家库、投融资专家库和商管运营专家库，领导小组</w:t>
      </w:r>
      <w:r>
        <w:rPr>
          <w:rFonts w:hint="eastAsia" w:ascii="方正仿宋_GBK" w:hAnsi="方正仿宋_GBK" w:eastAsia="方正仿宋_GBK" w:cs="方正仿宋_GBK"/>
          <w:spacing w:val="-6"/>
          <w:kern w:val="2"/>
          <w:sz w:val="32"/>
          <w:szCs w:val="32"/>
          <w:lang w:val="en-US" w:eastAsia="zh-CN" w:bidi="ar"/>
        </w:rPr>
        <w:t>可依托专业第三方单位，为城市更新活动提供全过程咨询和服务。</w:t>
      </w:r>
    </w:p>
    <w:p>
      <w:pPr>
        <w:keepNext w:val="0"/>
        <w:keepLines w:val="0"/>
        <w:widowControl w:val="0"/>
        <w:suppressLineNumbers w:val="0"/>
        <w:adjustRightInd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第十二条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结合城市体检满意度调查，充分征求利益相关人和社会公众的意见，发挥好社区</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三师</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（规划师、建筑师和工程师）的作用，鼓励居民和社会各界人士广泛参与城市更新。</w:t>
      </w:r>
    </w:p>
    <w:p>
      <w:pPr>
        <w:pStyle w:val="7"/>
        <w:keepNext w:val="0"/>
        <w:keepLines w:val="0"/>
        <w:widowControl w:val="0"/>
        <w:suppressLineNumbers w:val="0"/>
        <w:spacing w:before="0" w:beforeAutospacing="1" w:after="0" w:afterAutospacing="1" w:line="620" w:lineRule="exact"/>
        <w:ind w:left="100" w:right="0" w:firstLine="559"/>
        <w:jc w:val="left"/>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kern w:val="2"/>
          <w:sz w:val="32"/>
          <w:szCs w:val="32"/>
          <w:lang w:val="en-US" w:eastAsia="zh-CN" w:bidi="ar"/>
        </w:rPr>
        <w:t>第十三条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鼓励引入第三方专业团队开展后续运营、维护和管理。</w:t>
      </w:r>
    </w:p>
    <w:p>
      <w:pPr>
        <w:keepNext w:val="0"/>
        <w:keepLines w:val="0"/>
        <w:widowControl w:val="0"/>
        <w:suppressLineNumbers w:val="0"/>
        <w:adjustRightInd w:val="0"/>
        <w:spacing w:before="0" w:beforeAutospacing="0" w:after="0" w:afterAutospacing="0" w:line="62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pacing w:before="0" w:beforeAutospacing="0" w:after="0" w:afterAutospacing="0" w:line="620" w:lineRule="exact"/>
        <w:ind w:left="0" w:right="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第四章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规划与计划</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第十四条</w:t>
      </w:r>
      <w:r>
        <w:rPr>
          <w:rFonts w:hint="eastAsia"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区规划自然资源局组织编制渝中区城市更新规划，明确划分更新片区范围和重要更新项目，并将成果纳入渝中区国土空间分区规划。</w:t>
      </w:r>
    </w:p>
    <w:p>
      <w:pPr>
        <w:keepNext w:val="0"/>
        <w:keepLines w:val="0"/>
        <w:widowControl w:val="0"/>
        <w:suppressLineNumbers w:val="0"/>
        <w:spacing w:before="0" w:beforeAutospacing="0" w:after="0" w:afterAutospacing="0" w:line="620" w:lineRule="exact"/>
        <w:ind w:left="0" w:right="0" w:firstLine="640" w:firstLineChars="200"/>
        <w:jc w:val="both"/>
        <w:outlineLvl w:val="0"/>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第十五条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区住房城市建设委会同区发展改革委、区规划自然资源局，根据渝中区城市更新规划和有关技术导则，编制更新片区策划方案，明确片区发展目标、产业定位、更新方式、经济指标、实施计划、规划调整建议等内容。</w:t>
      </w:r>
    </w:p>
    <w:p>
      <w:pPr>
        <w:keepNext w:val="0"/>
        <w:keepLines w:val="0"/>
        <w:widowControl w:val="0"/>
        <w:suppressLineNumbers w:val="0"/>
        <w:spacing w:before="0" w:beforeAutospacing="0" w:after="0" w:afterAutospacing="0" w:line="620" w:lineRule="exact"/>
        <w:ind w:left="0" w:right="0" w:firstLine="640" w:firstLineChars="200"/>
        <w:jc w:val="both"/>
        <w:outlineLvl w:val="0"/>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片区策划方案应当由区住房城市建设委组织专家论证，征求相关部门及单位、利益相关人、社会公众、意向实施主体的意见，经区城市更新工作领导小组审定后，报市城市更新工作领导小组办公室备案。市政府确定的重要地区、重要地段片区策划方案应当报市城市更新工作领导小组审议。</w:t>
      </w:r>
    </w:p>
    <w:p>
      <w:pPr>
        <w:keepNext w:val="0"/>
        <w:keepLines w:val="0"/>
        <w:widowControl w:val="0"/>
        <w:suppressLineNumbers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第十六条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区住房城市建设委会同区发展改革委、区规划自然资源局，以城市更新规划和片区策划为基础，将符合城市更新定义和内容的项目纳入年度计划。年度计划应当包括具体项目、前期业主或实施主体、边界和规模、投资及进度安排等内容。年度计划经区城市更新工作领导小组审查后，以区政府名义报市城市更新工作领导小组审定。</w:t>
      </w:r>
    </w:p>
    <w:p>
      <w:pPr>
        <w:keepNext w:val="0"/>
        <w:keepLines w:val="0"/>
        <w:widowControl w:val="0"/>
        <w:suppressLineNumbers w:val="0"/>
        <w:adjustRightInd w:val="0"/>
        <w:snapToGrid w:val="0"/>
        <w:spacing w:before="0" w:beforeAutospacing="0" w:after="0" w:afterAutospacing="0" w:line="620" w:lineRule="exact"/>
        <w:ind w:left="0" w:right="0" w:firstLine="656" w:firstLineChars="200"/>
        <w:jc w:val="both"/>
        <w:rPr>
          <w:rFonts w:hint="default" w:ascii="Times New Roman" w:hAnsi="Times New Roman" w:eastAsia="方正仿宋_GBK" w:cs="Times New Roman"/>
          <w:spacing w:val="4"/>
          <w:kern w:val="2"/>
          <w:sz w:val="32"/>
          <w:szCs w:val="32"/>
        </w:rPr>
      </w:pPr>
      <w:r>
        <w:rPr>
          <w:rFonts w:hint="eastAsia" w:ascii="方正黑体_GBK" w:hAnsi="方正黑体_GBK" w:eastAsia="方正黑体_GBK" w:cs="方正黑体_GBK"/>
          <w:spacing w:val="4"/>
          <w:kern w:val="2"/>
          <w:sz w:val="32"/>
          <w:szCs w:val="32"/>
          <w:lang w:val="en-US" w:eastAsia="zh-CN" w:bidi="ar"/>
        </w:rPr>
        <w:t>第十七条</w:t>
      </w:r>
      <w:r>
        <w:rPr>
          <w:rFonts w:hint="eastAsia" w:ascii="Times New Roman" w:hAnsi="Times New Roman" w:eastAsia="方正黑体_GBK" w:cs="Times New Roman"/>
          <w:spacing w:val="4"/>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结合渝中区城市更新的发展需要，城市更新项目年度计划实施动态监督管理。纳入城市更新年度计划的项目若需调整，应报领导小组审定；纳入市级年度计划的城市更新项目，按市级规定程序进行调整。</w:t>
      </w:r>
    </w:p>
    <w:p>
      <w:pPr>
        <w:keepNext w:val="0"/>
        <w:keepLines w:val="0"/>
        <w:widowControl w:val="0"/>
        <w:suppressLineNumbers w:val="0"/>
        <w:adjustRightInd w:val="0"/>
        <w:spacing w:before="0" w:beforeAutospacing="0" w:after="0" w:afterAutospacing="0" w:line="620" w:lineRule="exact"/>
        <w:ind w:left="0" w:right="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w:t>
      </w:r>
    </w:p>
    <w:p>
      <w:pPr>
        <w:keepNext w:val="0"/>
        <w:keepLines w:val="0"/>
        <w:widowControl w:val="0"/>
        <w:suppressLineNumbers w:val="0"/>
        <w:adjustRightInd w:val="0"/>
        <w:spacing w:before="0" w:beforeAutospacing="0" w:after="0" w:afterAutospacing="0" w:line="620" w:lineRule="exact"/>
        <w:ind w:left="0" w:right="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第五章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项目实施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第十八条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划定更新项目时，应结合更新片区的发展目标、产业定位，充分考虑用地权属的独立性、权属人更新意愿、项目实际需求、经济效益、实施时序、周边规划道路情况及国土空间详细规划地块完整性等因素。</w:t>
      </w:r>
    </w:p>
    <w:p>
      <w:pPr>
        <w:keepNext w:val="0"/>
        <w:keepLines w:val="0"/>
        <w:widowControl w:val="0"/>
        <w:suppressLineNumbers w:val="0"/>
        <w:adjustRightInd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第十九条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城市更新项目可由政府、物业权利人作为实施主体，或由政府、物业权利人通过直接委托、公开招标等方式引入的相关主体作为实施主体。</w:t>
      </w:r>
    </w:p>
    <w:p>
      <w:pPr>
        <w:keepNext w:val="0"/>
        <w:keepLines w:val="0"/>
        <w:widowControl w:val="0"/>
        <w:suppressLineNumbers w:val="0"/>
        <w:adjustRightInd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充分发挥各方主体优势，鼓励政府平台公司与专业化企业开展合作，加大资源整合力度，实现高水平策划、市场化招商、专业化设计、企业化运营。</w:t>
      </w:r>
    </w:p>
    <w:p>
      <w:pPr>
        <w:keepNext w:val="0"/>
        <w:keepLines w:val="0"/>
        <w:widowControl w:val="0"/>
        <w:suppressLineNumbers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符合相关条件的城市更新项目在规划、用地、投资、园林绿化、消防、财税等审批或政策申请过程中，按城市更新相关规程明确的流程推进。其他按现有规定及流程实施。</w:t>
      </w:r>
    </w:p>
    <w:p>
      <w:pPr>
        <w:keepNext w:val="0"/>
        <w:keepLines w:val="0"/>
        <w:widowControl w:val="0"/>
        <w:suppressLineNumbers w:val="0"/>
        <w:spacing w:before="0" w:beforeAutospacing="0" w:after="0" w:afterAutospacing="0" w:line="62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620" w:lineRule="exact"/>
        <w:ind w:left="0" w:right="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第六章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资金筹措</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第二十一条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多渠道筹集城市更新资金，具体包括：</w:t>
      </w:r>
    </w:p>
    <w:p>
      <w:pPr>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（一）各级财政安排的城市更新资金；</w:t>
      </w:r>
    </w:p>
    <w:p>
      <w:pPr>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（二）金融机构融资资金；</w:t>
      </w:r>
    </w:p>
    <w:p>
      <w:pPr>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（三）参与城市更新的市场主体投入的资金；</w:t>
      </w:r>
    </w:p>
    <w:p>
      <w:pPr>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（四）土地使用权人和房屋所有权人自筹资金；</w:t>
      </w:r>
    </w:p>
    <w:p>
      <w:pPr>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（五）其他符合规定的资金。</w:t>
      </w:r>
    </w:p>
    <w:p>
      <w:pPr>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kern w:val="2"/>
          <w:sz w:val="32"/>
          <w:szCs w:val="32"/>
          <w:lang w:val="en-US" w:eastAsia="zh-CN" w:bidi="ar"/>
        </w:rPr>
        <w:t>第二十二条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加大市、区级财政资金等对城市更新项目的支持力度，统筹整合使用中央和市级与城市更新相关的老旧小区改造、住房租赁、养老、托幼、卫生健康等专项资金。</w:t>
      </w:r>
    </w:p>
    <w:p>
      <w:pPr>
        <w:keepNext w:val="0"/>
        <w:keepLines w:val="0"/>
        <w:widowControl w:val="0"/>
        <w:suppressLineNumbers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第二十三条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引导金融机构根据改造项目的具体情况，探索贷款投放和担保新模式；市区联动探索设立城市更新专项基金。</w:t>
      </w:r>
    </w:p>
    <w:p>
      <w:pPr>
        <w:keepNext w:val="0"/>
        <w:keepLines w:val="0"/>
        <w:widowControl w:val="0"/>
        <w:suppressLineNumbers w:val="0"/>
        <w:adjustRightInd w:val="0"/>
        <w:snapToGrid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第二十四条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积极引入市场资本，</w:t>
      </w:r>
      <w:r>
        <w:rPr>
          <w:rFonts w:hint="eastAsia" w:ascii="方正仿宋_GBK" w:hAnsi="方正仿宋_GBK" w:eastAsia="方正仿宋_GBK" w:cs="方正仿宋_GBK"/>
          <w:kern w:val="2"/>
          <w:sz w:val="32"/>
          <w:szCs w:val="32"/>
          <w:lang w:val="en-US" w:eastAsia="zh-CN" w:bidi="ar"/>
        </w:rPr>
        <w:t>依托更新地块、重点工程、产业载体</w:t>
      </w:r>
      <w:r>
        <w:rPr>
          <w:rFonts w:hint="eastAsia" w:ascii="方正仿宋_GBK" w:hAnsi="方正仿宋_GBK" w:eastAsia="方正仿宋_GBK" w:cs="方正仿宋_GBK"/>
          <w:kern w:val="0"/>
          <w:sz w:val="32"/>
          <w:szCs w:val="32"/>
          <w:lang w:val="en-US" w:eastAsia="zh-CN" w:bidi="ar"/>
        </w:rPr>
        <w:t>以及特许经营权等资源，激发社会资本参与热情</w:t>
      </w:r>
      <w:r>
        <w:rPr>
          <w:rFonts w:hint="eastAsia" w:ascii="方正仿宋_GBK" w:hAnsi="方正仿宋_GBK" w:eastAsia="方正仿宋_GBK" w:cs="方正仿宋_GBK"/>
          <w:kern w:val="2"/>
          <w:sz w:val="32"/>
          <w:szCs w:val="32"/>
          <w:lang w:val="en-US" w:eastAsia="zh-CN" w:bidi="ar"/>
        </w:rPr>
        <w:t>；探索</w:t>
      </w:r>
      <w:r>
        <w:rPr>
          <w:rFonts w:hint="default" w:ascii="Times New Roman" w:hAnsi="Times New Roman" w:eastAsia="方正仿宋_GBK" w:cs="Times New Roman"/>
          <w:kern w:val="2"/>
          <w:sz w:val="32"/>
          <w:szCs w:val="32"/>
          <w:lang w:val="en-US" w:eastAsia="zh-CN" w:bidi="ar"/>
        </w:rPr>
        <w:t>PPP</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EPC+O</w:t>
      </w:r>
      <w:r>
        <w:rPr>
          <w:rFonts w:hint="eastAsia" w:ascii="方正仿宋_GBK" w:hAnsi="方正仿宋_GBK" w:eastAsia="方正仿宋_GBK" w:cs="方正仿宋_GBK"/>
          <w:kern w:val="2"/>
          <w:sz w:val="32"/>
          <w:szCs w:val="32"/>
          <w:lang w:val="en-US" w:eastAsia="zh-CN" w:bidi="ar"/>
        </w:rPr>
        <w:t>等模式吸引社会资本参与城市更新项目建设和运营。</w:t>
      </w:r>
    </w:p>
    <w:p>
      <w:pPr>
        <w:keepNext w:val="0"/>
        <w:keepLines w:val="0"/>
        <w:widowControl w:val="0"/>
        <w:suppressLineNumbers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第二十五条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按照</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谁受益、谁出资</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原则，积极引导居民</w:t>
      </w:r>
      <w:r>
        <w:rPr>
          <w:rFonts w:hint="eastAsia" w:ascii="方正仿宋_GBK" w:hAnsi="方正仿宋_GBK" w:eastAsia="方正仿宋_GBK" w:cs="方正仿宋_GBK"/>
          <w:kern w:val="2"/>
          <w:sz w:val="32"/>
          <w:szCs w:val="32"/>
          <w:lang w:val="en-US" w:eastAsia="zh-CN" w:bidi="ar"/>
        </w:rPr>
        <w:t>和产权单位</w:t>
      </w:r>
      <w:r>
        <w:rPr>
          <w:rFonts w:hint="eastAsia" w:ascii="方正仿宋_GBK" w:hAnsi="方正仿宋_GBK" w:eastAsia="方正仿宋_GBK" w:cs="方正仿宋_GBK"/>
          <w:kern w:val="0"/>
          <w:sz w:val="32"/>
          <w:szCs w:val="32"/>
          <w:lang w:val="en-US" w:eastAsia="zh-CN" w:bidi="ar"/>
        </w:rPr>
        <w:t>通过直接出资、让渡小区公共收益等方式落实出资</w:t>
      </w:r>
      <w:r>
        <w:rPr>
          <w:rFonts w:hint="eastAsia" w:ascii="方正仿宋_GBK" w:hAnsi="方正仿宋_GBK" w:eastAsia="方正仿宋_GBK" w:cs="方正仿宋_GBK"/>
          <w:kern w:val="2"/>
          <w:sz w:val="32"/>
          <w:szCs w:val="32"/>
          <w:lang w:val="en-US" w:eastAsia="zh-CN" w:bidi="ar"/>
        </w:rPr>
        <w:t>。</w:t>
      </w:r>
    </w:p>
    <w:p>
      <w:pPr>
        <w:keepNext w:val="0"/>
        <w:keepLines w:val="0"/>
        <w:widowControl w:val="0"/>
        <w:suppressLineNumbers w:val="0"/>
        <w:adjustRightInd w:val="0"/>
        <w:snapToGrid w:val="0"/>
        <w:spacing w:before="0" w:beforeAutospacing="0" w:after="0" w:afterAutospacing="0" w:line="62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620" w:lineRule="exact"/>
        <w:ind w:left="0" w:right="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第七章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政策支持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overflowPunct w:val="0"/>
        <w:spacing w:before="0" w:beforeAutospacing="0" w:after="0" w:afterAutospacing="0" w:line="620" w:lineRule="exact"/>
        <w:ind w:left="0" w:right="0" w:firstLine="512" w:firstLineChars="16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第二十六条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区发改委、区规划自然资源局、区住房城市建设委、区城管局、区财政局、区税务局等职能部门分别就渝中区城市更新中涉及的审批、规划、土地、消防、园林绿化、财税等相关工作制定出台具体政策、规程、细则。</w:t>
      </w:r>
    </w:p>
    <w:p>
      <w:pPr>
        <w:keepNext w:val="0"/>
        <w:keepLines w:val="0"/>
        <w:widowControl w:val="0"/>
        <w:suppressLineNumbers w:val="0"/>
        <w:adjustRightInd w:val="0"/>
        <w:spacing w:before="0" w:beforeAutospacing="0" w:after="0" w:afterAutospacing="0" w:line="62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pacing w:before="0" w:beforeAutospacing="0" w:after="0" w:afterAutospacing="0" w:line="620" w:lineRule="exact"/>
        <w:ind w:left="0" w:right="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第八章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附</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第二十七条</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相关管理部门、实施主体及相关人员在城市更新管理中有违法违纪行为的，应当依法依规追究相关责任。</w:t>
      </w:r>
    </w:p>
    <w:p>
      <w:pPr>
        <w:keepNext w:val="0"/>
        <w:keepLines w:val="0"/>
        <w:widowControl w:val="0"/>
        <w:suppressLineNumbers w:val="0"/>
        <w:adjustRightInd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第二十八条</w:t>
      </w:r>
      <w:r>
        <w:rPr>
          <w:rFonts w:hint="eastAsia"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建立目标考核制度，将城市更新工作纳入年度目标考核和督办督查，定期对项目进展情况检查通报，加强考核结果运用。</w:t>
      </w:r>
    </w:p>
    <w:p>
      <w:pPr>
        <w:keepNext w:val="0"/>
        <w:keepLines w:val="0"/>
        <w:widowControl w:val="0"/>
        <w:suppressLineNumbers w:val="0"/>
        <w:spacing w:before="0" w:beforeAutospacing="0" w:after="0" w:afterAutospacing="0" w:line="62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第二十九条</w:t>
      </w:r>
      <w:r>
        <w:rPr>
          <w:rFonts w:hint="default"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黑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未尽事宜原则上按照《重庆市城市更新管理办法》（渝府发〔</w:t>
      </w:r>
      <w:r>
        <w:rPr>
          <w:rFonts w:hint="default"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15</w:t>
      </w:r>
      <w:r>
        <w:rPr>
          <w:rFonts w:hint="eastAsia" w:ascii="方正仿宋_GBK" w:hAnsi="方正仿宋_GBK" w:eastAsia="方正仿宋_GBK" w:cs="方正仿宋_GBK"/>
          <w:kern w:val="2"/>
          <w:sz w:val="32"/>
          <w:szCs w:val="32"/>
          <w:lang w:val="en-US" w:eastAsia="zh-CN" w:bidi="ar"/>
        </w:rPr>
        <w:t>号）、《重庆市城市更新技术导则》（渝建发〔</w:t>
      </w:r>
      <w:r>
        <w:rPr>
          <w:rFonts w:hint="default" w:ascii="Times New Roman" w:hAnsi="Times New Roman" w:eastAsia="方正仿宋_GBK" w:cs="Times New Roman"/>
          <w:kern w:val="2"/>
          <w:sz w:val="32"/>
          <w:szCs w:val="32"/>
          <w:lang w:val="en-US" w:eastAsia="zh-CN" w:bidi="ar"/>
        </w:rPr>
        <w:t>2022</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号）、《关于加强城市更新项目管理的通知》（渝建人居〔</w:t>
      </w:r>
      <w:r>
        <w:rPr>
          <w:rFonts w:hint="default" w:ascii="Times New Roman" w:hAnsi="Times New Roman" w:eastAsia="方正仿宋_GBK" w:cs="Times New Roman"/>
          <w:kern w:val="2"/>
          <w:sz w:val="32"/>
          <w:szCs w:val="32"/>
          <w:lang w:val="en-US" w:eastAsia="zh-CN" w:bidi="ar"/>
        </w:rPr>
        <w:t>2022</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19</w:t>
      </w:r>
      <w:r>
        <w:rPr>
          <w:rFonts w:hint="eastAsia" w:ascii="方正仿宋_GBK" w:hAnsi="方正仿宋_GBK" w:eastAsia="方正仿宋_GBK" w:cs="方正仿宋_GBK"/>
          <w:kern w:val="2"/>
          <w:sz w:val="32"/>
          <w:szCs w:val="32"/>
          <w:lang w:val="en-US" w:eastAsia="zh-CN" w:bidi="ar"/>
        </w:rPr>
        <w:t>号）等文件规定执行。</w:t>
      </w:r>
    </w:p>
    <w:p>
      <w:pPr>
        <w:keepNext w:val="0"/>
        <w:keepLines w:val="0"/>
        <w:widowControl w:val="0"/>
        <w:suppressLineNumbers w:val="0"/>
        <w:spacing w:before="0" w:beforeAutospacing="0" w:after="0" w:afterAutospacing="0" w:line="620" w:lineRule="exact"/>
        <w:ind w:left="0" w:right="0" w:firstLine="640" w:firstLineChars="200"/>
        <w:jc w:val="both"/>
        <w:rPr>
          <w:rFonts w:hint="default" w:ascii="Calibri" w:hAnsi="Calibri" w:eastAsia="宋体" w:cs="Times New Roman"/>
          <w:kern w:val="2"/>
          <w:sz w:val="21"/>
          <w:szCs w:val="21"/>
        </w:rPr>
      </w:pPr>
      <w:r>
        <w:rPr>
          <w:rFonts w:hint="eastAsia" w:ascii="方正黑体_GBK" w:hAnsi="方正黑体_GBK" w:eastAsia="方正黑体_GBK" w:cs="方正黑体_GBK"/>
          <w:kern w:val="2"/>
          <w:sz w:val="32"/>
          <w:szCs w:val="32"/>
          <w:lang w:val="en-US" w:eastAsia="zh-CN" w:bidi="ar"/>
        </w:rPr>
        <w:t>第三十条</w:t>
      </w:r>
      <w:r>
        <w:rPr>
          <w:rFonts w:hint="eastAsia"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本细则自印发之日起试行。</w:t>
      </w:r>
    </w:p>
    <w:p>
      <w:pPr>
        <w:pStyle w:val="2"/>
        <w:rPr>
          <w:rFonts w:hint="eastAsi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128905</wp:posOffset>
              </wp:positionV>
              <wp:extent cx="5620385" cy="0"/>
              <wp:effectExtent l="0" t="10795" r="3810" b="2159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0.15pt;height:0pt;width:442.55pt;z-index:251661312;mso-width-relative:page;mso-height-relative:page;" filled="f" stroked="t" coordsize="21600,21600" o:gfxdata="UEsDBAoAAAAAAIdO4kAAAAAAAAAAAAAAAAAEAAAAZHJzL1BLAwQUAAAACACHTuJA5+y2wdUAAAAI&#10;AQAADwAAAGRycy9kb3ducmV2LnhtbE2PzU7DMBCE70h9B2srcWvtJKKKQpxKROIEHGjh7sbbOKr/&#10;ZLtJeXuMOMBxdkYz37b7m9FkxhAnZzkUWwYE7eDkZEcOH8fnTQ0kJmGl0M4ihy+MsO9Wd61opFvs&#10;O86HNJJcYmMjOKiUfENpHBQaEbfOo83e2QUjUpZhpDKIJZcbTUvGdtSIyeYFJTz2CofL4Wo49C++&#10;7NXbcQnlU3wd50r78+WT8/t1wR6BJLylvzD84Gd06DLTyV2tjERz2BQPOcmhZBWQ7Nd1tQNy+j3Q&#10;rqX/H+i+AVBLAwQUAAAACACHTuJAYKn+tsoBAABkAwAADgAAAGRycy9lMm9Eb2MueG1srVNLjhMx&#10;EN0jcQfLe9KdRhmFVjqzmGjYIIgEHKDitrst+SeXSSeX4AJI7GDFkj23YTgGZSeT4bNDeFFtl6te&#10;1XuuXl0frGF7GVF71/H5rOZMOuF77YaOv31z+2TJGSZwPRjvZMePEvn1+vGj1RRa2fjRm15GRiAO&#10;2yl0fEwptFWFYpQWcOaDdHSpfLSQ6BiHqo8wEbo1VVPXV9XkYx+iFxKRvJvTJV8XfKWkSK+UQpmY&#10;6Tj1loqNxe6yrdYraIcIYdTi3Ab8QxcWtKOiF6gNJGDvov4LymoRPXqVZsLbyiulhSwciM28/oPN&#10;6xGCLFxIHAwXmfD/wYqX+21kuu94w5kDS0909+Hr9/effnz7SPbuy2fWZJGmgC3F3rhtPJ8wbGNm&#10;fFDR5i9xYYci7PEirDwkJsi5uGrqp8sFZ+L+rnpIDBHTc+kty5uOG+0yZ2hh/wITFaPQ+5Dsdv5W&#10;G1PezTg2UeO0MjTQ+CgDibY2ECF0A2dgBppLkWKBRG90n9MzEMZhd2Mi20OejXoxf1aYUrnfwnLt&#10;DeB4iitXp6mxOtHoGm07vqzzym7KNo4+Wa+TQnm38/2xCFf89JQl8Dx2eVZ+PZfsh59j/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7LbB1QAAAAgBAAAPAAAAAAAAAAEAIAAAACIAAABkcnMvZG93&#10;bnJldi54bWxQSwECFAAUAAAACACHTuJAYKn+tsoBAABkAwAADgAAAAAAAAABACAAAAAkAQAAZHJz&#10;L2Uyb0RvYy54bWxQSwUGAAAAAAYABgBZAQAAYAUAAAAA&#10;">
              <v:fill on="f" focussize="0,0"/>
              <v:stroke weight="1.75pt" color="#005192 [3204]" miterlimit="8" joinstyle="miter"/>
              <v:imagedata o:title=""/>
              <o:lock v:ext="edit" aspectratio="f"/>
            </v:line>
          </w:pict>
        </mc:Fallback>
      </mc:AlternateContent>
    </w:r>
  </w:p>
  <w:p>
    <w:pPr>
      <w:pStyle w:val="6"/>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渝中区住建委、渝中区规资局、渝中区城管局发布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385445</wp:posOffset>
              </wp:positionV>
              <wp:extent cx="5620385" cy="0"/>
              <wp:effectExtent l="0" t="10795" r="3810" b="2159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30.35pt;height:0pt;width:442.55pt;z-index:251660288;mso-width-relative:page;mso-height-relative:page;" filled="f" stroked="t" coordsize="21600,21600" o:gfxdata="UEsDBAoAAAAAAIdO4kAAAAAAAAAAAAAAAAAEAAAAZHJzL1BLAwQUAAAACACHTuJAlIwJw9QAAAAH&#10;AQAADwAAAGRycy9kb3ducmV2LnhtbE2OwU7DMBBE70j8g7VI3Fq7oSpRiFOJSJyAA225u7GbRLXX&#10;lu0m5e9ZxAFOo50Zzb56e3WWTSam0aOE1VIAM9h5PWIv4bB/WZTAUlaolfVoJHyZBNvm9qZWlfYz&#10;fphpl3tGI5gqJWHIOVScp24wTqWlDwYpO/noVKYz9lxHNdO4s7wQYsOdGpE+DCqYdjDdeXdxEtrX&#10;ULTD+36OxXN666cHG07nTynv71biCVg21/xXhh98QoeGmI7+gjoxK2HxSEUJG0FKcVmu18COvwZv&#10;av6fv/kGUEsDBBQAAAAIAIdO4kBMsxWgywEAAGQDAAAOAAAAZHJzL2Uyb0RvYy54bWytU0uOEzEQ&#10;3SNxB8t70p0wGYVWOrOYaNggiAQcoOK2uy35J5dJJ5fgAkjsYMWSPbdhOAZlJ5OBmR3Ci2q7Pq/8&#10;nquXV3tr2E5G1N61fDqpOZNO+E67vuXv3908W3CGCVwHxjvZ8oNEfrV6+mQ5hkbO/OBNJyMjEIfN&#10;GFo+pBSaqkIxSAs48UE6CiofLSQ6xr7qIoyEbk01q+vLavSxC9ELiUje9THIVwVfKSnSG6VQJmZa&#10;TndLxcZit9lWqyU0fYQwaHG6BvzDLSxoR03PUGtIwD5E/QjKahE9epUmwtvKK6WFLByIzbR+wObt&#10;AEEWLiQOhrNM+P9gxevdJjLdtfyCMweWnuj20/efH7/8+vGZ7O23r+wiizQGbCj32m3i6YRhEzPj&#10;vYo2f4kL2xdhD2dh5T4xQc755ax+vphzJu5i1X1hiJheSm9Z3rTcaJc5QwO7V5ioGaXepWS38zfa&#10;mPJuxrGx5TNaGRpofJSBRFsbiBC6njMwPc2lSLFAoje6y+UZCGO/vTaR7SDPRj2fvphlptTur7Tc&#10;ew04HPNK6Dg1VicaXaNtyxd1Xqdq4wgk63VUKO+2vjsU4YqfnrK0OY1dnpU/z6X6/ud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UjAnD1AAAAAcBAAAPAAAAAAAAAAEAIAAAACIAAABkcnMvZG93&#10;bnJldi54bWxQSwECFAAUAAAACACHTuJATLMVoMsBAABkAwAADgAAAAAAAAABACAAAAAjAQAAZHJz&#10;L2Uyb0RvYy54bWxQSwUGAAAAAAYABgBZAQAAY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渝中区住建委、渝中区规资局、渝中区城管局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zkwNjc1NDFiZWM1OGUxNDI1ODU2ZGE1NmNkYzk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17138"/>
    <w:rsid w:val="1E6523AC"/>
    <w:rsid w:val="22440422"/>
    <w:rsid w:val="22BB4BBB"/>
    <w:rsid w:val="25EB1AF4"/>
    <w:rsid w:val="2DD05FE1"/>
    <w:rsid w:val="2EAE3447"/>
    <w:rsid w:val="31A15F24"/>
    <w:rsid w:val="36FB1DF0"/>
    <w:rsid w:val="395347B5"/>
    <w:rsid w:val="39A232A0"/>
    <w:rsid w:val="39E745AA"/>
    <w:rsid w:val="3B5A6BBB"/>
    <w:rsid w:val="3CA154E3"/>
    <w:rsid w:val="3ED01E68"/>
    <w:rsid w:val="3EDA13A6"/>
    <w:rsid w:val="3FF56C14"/>
    <w:rsid w:val="417B75E9"/>
    <w:rsid w:val="42430A63"/>
    <w:rsid w:val="42F058B7"/>
    <w:rsid w:val="436109F6"/>
    <w:rsid w:val="441A38D4"/>
    <w:rsid w:val="4504239D"/>
    <w:rsid w:val="497447AA"/>
    <w:rsid w:val="4BC77339"/>
    <w:rsid w:val="4C9236C5"/>
    <w:rsid w:val="4E250A85"/>
    <w:rsid w:val="4FFD4925"/>
    <w:rsid w:val="505C172E"/>
    <w:rsid w:val="506405EA"/>
    <w:rsid w:val="507C1191"/>
    <w:rsid w:val="52F46F0B"/>
    <w:rsid w:val="532B6A10"/>
    <w:rsid w:val="539E4E99"/>
    <w:rsid w:val="53D8014D"/>
    <w:rsid w:val="550C209A"/>
    <w:rsid w:val="55E064E0"/>
    <w:rsid w:val="572C6D10"/>
    <w:rsid w:val="5DC34279"/>
    <w:rsid w:val="5FCD688E"/>
    <w:rsid w:val="5FF9BDAA"/>
    <w:rsid w:val="608816D1"/>
    <w:rsid w:val="60EF4E7F"/>
    <w:rsid w:val="62C4528C"/>
    <w:rsid w:val="648B0A32"/>
    <w:rsid w:val="658F6764"/>
    <w:rsid w:val="665233C1"/>
    <w:rsid w:val="69AC0D42"/>
    <w:rsid w:val="6AD9688B"/>
    <w:rsid w:val="6B68303F"/>
    <w:rsid w:val="6D0E3F22"/>
    <w:rsid w:val="744E4660"/>
    <w:rsid w:val="753355A2"/>
    <w:rsid w:val="759F1C61"/>
    <w:rsid w:val="75A64277"/>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3689</Words>
  <Characters>3733</Characters>
  <Lines>1</Lines>
  <Paragraphs>1</Paragraphs>
  <TotalTime>0</TotalTime>
  <ScaleCrop>false</ScaleCrop>
  <LinksUpToDate>false</LinksUpToDate>
  <CharactersWithSpaces>3863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2023-10-27T09:30:55Z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08D496BD836E47BD95590CD133C48776_13</vt:lpwstr>
  </property>
</Properties>
</file>