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line="360" w:lineRule="exact"/>
        <w:ind w:firstLine="2150" w:firstLineChars="595"/>
        <w:rPr>
          <w:rFonts w:ascii="宋体" w:cs="宋体"/>
          <w:b/>
          <w:bCs/>
          <w:sz w:val="36"/>
          <w:szCs w:val="36"/>
          <w:lang w:val="zh-CN"/>
        </w:rPr>
      </w:pPr>
      <w:bookmarkStart w:id="0" w:name="_Hlk37239649"/>
      <w:bookmarkEnd w:id="0"/>
      <w:bookmarkStart w:id="1" w:name="Content"/>
      <w:bookmarkEnd w:id="1"/>
      <w:bookmarkStart w:id="2" w:name="_top"/>
      <w:bookmarkEnd w:id="2"/>
    </w:p>
    <w:p>
      <w:pPr>
        <w:autoSpaceDE w:val="0"/>
        <w:autoSpaceDN w:val="0"/>
        <w:adjustRightInd w:val="0"/>
        <w:spacing w:line="360" w:lineRule="exact"/>
        <w:ind w:firstLine="1190" w:firstLineChars="595"/>
        <w:rPr>
          <w:rFonts w:ascii="宋体" w:cs="宋体"/>
          <w:b/>
          <w:bCs/>
          <w:sz w:val="36"/>
          <w:szCs w:val="36"/>
          <w:lang w:val="zh-CN"/>
        </w:rPr>
      </w:pPr>
      <w:r>
        <w:rPr>
          <w:sz w:val="20"/>
        </w:rPr>
        <w:pict>
          <v:group id="_x0000_s1026" o:spid="_x0000_s1026" o:spt="203" style="position:absolute;left:0pt;margin-left:-8.55pt;margin-top:10.45pt;height:129.9pt;width:467.8pt;z-index:251660288;mso-width-relative:page;mso-height-relative:page;" coordsize="9356,2598">
            <o:lock v:ext="edit" grouping="f" rotation="f" text="f" aspectratio="f"/>
            <v:line id="_x0000_s1027" o:spid="_x0000_s1027" o:spt="20" style="position:absolute;left:0;top:2598;height:0;width:9356;" filled="f" stroked="t" coordsize="21600,21600">
              <v:path arrowok="t"/>
              <v:fill on="f" focussize="0,0"/>
              <v:stroke weight="2.25pt" color="#FF0000"/>
              <v:imagedata o:title=""/>
              <o:lock v:ext="edit" grouping="f" rotation="f" text="f" aspectratio="f"/>
            </v:line>
            <v:shape id="_x0000_s1028" o:spid="_x0000_s1028" o:spt="136" type="#_x0000_t136" style="position:absolute;left:277;top:0;height:1020;width:8847;" fillcolor="#FF0000" filled="t" stroked="t" coordsize="21600,21600" adj="10800">
              <v:path/>
              <v:fill on="t" color2="#FFFFFF" focussize="0,0"/>
              <v:stroke color="#FF0000"/>
              <v:imagedata o:title=""/>
              <o:lock v:ext="edit" grouping="f" rotation="f" text="f" aspectratio="f"/>
              <v:textpath on="t" fitshape="t" fitpath="t" trim="t" xscale="f" string="重庆市渝中区住房和城市建设委员会文件" style="font-family:方正小标宋_GBK;font-size:36pt;v-text-align:center;"/>
            </v:shape>
          </v:group>
        </w:pict>
      </w:r>
    </w:p>
    <w:p>
      <w:pPr>
        <w:autoSpaceDE w:val="0"/>
        <w:autoSpaceDN w:val="0"/>
        <w:adjustRightInd w:val="0"/>
        <w:spacing w:line="520" w:lineRule="exact"/>
        <w:ind w:firstLine="2150" w:firstLineChars="595"/>
        <w:rPr>
          <w:rFonts w:ascii="宋体" w:cs="宋体"/>
          <w:b/>
          <w:bCs/>
          <w:sz w:val="36"/>
          <w:szCs w:val="36"/>
          <w:lang w:val="zh-CN"/>
        </w:rPr>
      </w:pPr>
    </w:p>
    <w:p>
      <w:pPr>
        <w:autoSpaceDE w:val="0"/>
        <w:autoSpaceDN w:val="0"/>
        <w:adjustRightInd w:val="0"/>
        <w:spacing w:line="360" w:lineRule="exact"/>
        <w:ind w:firstLine="2150" w:firstLineChars="595"/>
        <w:rPr>
          <w:rFonts w:ascii="宋体" w:cs="宋体"/>
          <w:b/>
          <w:bCs/>
          <w:sz w:val="36"/>
          <w:szCs w:val="36"/>
          <w:lang w:val="zh-CN"/>
        </w:rPr>
      </w:pPr>
    </w:p>
    <w:p>
      <w:pPr>
        <w:autoSpaceDE w:val="0"/>
        <w:autoSpaceDN w:val="0"/>
        <w:adjustRightInd w:val="0"/>
        <w:spacing w:line="360" w:lineRule="exact"/>
        <w:ind w:firstLine="2150" w:firstLineChars="595"/>
        <w:rPr>
          <w:rFonts w:ascii="宋体" w:cs="宋体"/>
          <w:b/>
          <w:bCs/>
          <w:sz w:val="36"/>
          <w:szCs w:val="36"/>
          <w:lang w:val="zh-CN"/>
        </w:rPr>
      </w:pPr>
    </w:p>
    <w:p>
      <w:pPr>
        <w:autoSpaceDE w:val="0"/>
        <w:autoSpaceDN w:val="0"/>
        <w:adjustRightInd w:val="0"/>
        <w:spacing w:line="160" w:lineRule="exact"/>
        <w:rPr>
          <w:rFonts w:ascii="宋体" w:cs="宋体"/>
          <w:b/>
          <w:bCs/>
          <w:sz w:val="36"/>
          <w:szCs w:val="36"/>
          <w:lang w:val="zh-CN"/>
        </w:rPr>
      </w:pPr>
    </w:p>
    <w:p>
      <w:pPr>
        <w:autoSpaceDE w:val="0"/>
        <w:autoSpaceDN w:val="0"/>
        <w:adjustRightInd w:val="0"/>
        <w:spacing w:line="140" w:lineRule="exact"/>
        <w:ind w:firstLine="2150" w:firstLineChars="595"/>
        <w:rPr>
          <w:rFonts w:ascii="宋体" w:cs="宋体"/>
          <w:b/>
          <w:bCs/>
          <w:sz w:val="36"/>
          <w:szCs w:val="36"/>
          <w:lang w:val="zh-CN"/>
        </w:rPr>
      </w:pPr>
    </w:p>
    <w:p>
      <w:pPr>
        <w:autoSpaceDE w:val="0"/>
        <w:autoSpaceDN w:val="0"/>
        <w:adjustRightInd w:val="0"/>
        <w:spacing w:line="200" w:lineRule="exact"/>
        <w:rPr>
          <w:rFonts w:ascii="宋体" w:cs="宋体"/>
          <w:b/>
          <w:bCs/>
          <w:sz w:val="36"/>
          <w:szCs w:val="36"/>
          <w:lang w:val="zh-CN"/>
        </w:rPr>
      </w:pPr>
    </w:p>
    <w:p>
      <w:pPr>
        <w:keepNext w:val="0"/>
        <w:keepLines w:val="0"/>
        <w:pageBreakBefore w:val="0"/>
        <w:widowControl w:val="0"/>
        <w:kinsoku/>
        <w:wordWrap/>
        <w:overflowPunct/>
        <w:topLinePunct w:val="0"/>
        <w:autoSpaceDE/>
        <w:autoSpaceDN/>
        <w:bidi w:val="0"/>
        <w:adjustRightInd/>
        <w:snapToGrid/>
        <w:spacing w:after="200" w:afterLines="0" w:line="560" w:lineRule="exact"/>
        <w:jc w:val="center"/>
        <w:textAlignment w:val="auto"/>
        <w:outlineLvl w:val="9"/>
        <w:rPr>
          <w:rFonts w:ascii="方正楷体_GBK" w:eastAsia="方正楷体_GBK"/>
          <w:bCs/>
          <w:szCs w:val="32"/>
        </w:rPr>
      </w:pPr>
      <w:r>
        <w:rPr>
          <w:rFonts w:hint="eastAsia" w:ascii="方正仿宋_GBK" w:eastAsia="方正仿宋_GBK"/>
          <w:bCs/>
          <w:sz w:val="32"/>
          <w:szCs w:val="32"/>
        </w:rPr>
        <w:t>渝中住建〔</w:t>
      </w:r>
      <w:r>
        <w:rPr>
          <w:rFonts w:hint="eastAsia" w:ascii="方正仿宋_GBK" w:eastAsia="方正仿宋_GBK"/>
          <w:bCs/>
          <w:sz w:val="32"/>
          <w:szCs w:val="32"/>
          <w:lang w:val="en-US" w:eastAsia="zh-CN"/>
        </w:rPr>
        <w:t>2025</w:t>
      </w:r>
      <w:r>
        <w:rPr>
          <w:rFonts w:hint="eastAsia" w:ascii="方正仿宋_GBK" w:eastAsia="方正仿宋_GBK"/>
          <w:bCs/>
          <w:sz w:val="32"/>
          <w:szCs w:val="32"/>
        </w:rPr>
        <w:t>〕</w:t>
      </w:r>
      <w:r>
        <w:rPr>
          <w:rFonts w:hint="eastAsia" w:ascii="方正仿宋_GBK"/>
          <w:bCs/>
          <w:sz w:val="32"/>
          <w:szCs w:val="32"/>
          <w:lang w:val="en-US" w:eastAsia="zh-CN"/>
        </w:rPr>
        <w:t>509</w:t>
      </w:r>
      <w:r>
        <w:rPr>
          <w:rFonts w:hint="eastAsia" w:ascii="方正仿宋_GBK" w:eastAsia="方正仿宋_GBK"/>
          <w:bCs/>
          <w:sz w:val="32"/>
          <w:szCs w:val="32"/>
        </w:rPr>
        <w:t>号</w:t>
      </w:r>
    </w:p>
    <w:p>
      <w:pPr>
        <w:keepNext w:val="0"/>
        <w:keepLines w:val="0"/>
        <w:pageBreakBefore w:val="0"/>
        <w:widowControl w:val="0"/>
        <w:kinsoku/>
        <w:wordWrap/>
        <w:overflowPunct/>
        <w:topLinePunct w:val="0"/>
        <w:autoSpaceDE w:val="0"/>
        <w:autoSpaceDN w:val="0"/>
        <w:bidi w:val="0"/>
        <w:adjustRightInd w:val="0"/>
        <w:snapToGrid/>
        <w:spacing w:line="400" w:lineRule="exact"/>
        <w:ind w:firstLine="2150" w:firstLineChars="595"/>
        <w:textAlignment w:val="auto"/>
        <w:outlineLvl w:val="9"/>
        <w:rPr>
          <w:b/>
          <w:bCs/>
          <w:sz w:val="36"/>
          <w:szCs w:val="36"/>
          <w:lang w:val="zh-CN"/>
        </w:rPr>
      </w:pPr>
    </w:p>
    <w:p>
      <w:pPr>
        <w:keepNext w:val="0"/>
        <w:keepLines w:val="0"/>
        <w:pageBreakBefore w:val="0"/>
        <w:widowControl w:val="0"/>
        <w:kinsoku/>
        <w:wordWrap/>
        <w:overflowPunct/>
        <w:topLinePunct w:val="0"/>
        <w:autoSpaceDE w:val="0"/>
        <w:autoSpaceDN w:val="0"/>
        <w:bidi w:val="0"/>
        <w:adjustRightInd w:val="0"/>
        <w:snapToGrid/>
        <w:spacing w:line="400" w:lineRule="exact"/>
        <w:ind w:firstLine="2618" w:firstLineChars="595"/>
        <w:textAlignment w:val="auto"/>
        <w:outlineLvl w:val="9"/>
        <w:rPr>
          <w:rFonts w:hint="default" w:ascii="Times New Roman" w:hAnsi="Times New Roman" w:eastAsia="方正小标宋_GBK" w:cs="Times New Roman"/>
          <w:bCs/>
          <w:color w:val="000000"/>
          <w:sz w:val="44"/>
          <w:szCs w:val="44"/>
          <w:lang w:val="zh-CN"/>
        </w:rPr>
      </w:pPr>
    </w:p>
    <w:p>
      <w:pPr>
        <w:keepNext w:val="0"/>
        <w:keepLines w:val="0"/>
        <w:pageBreakBefore w:val="0"/>
        <w:widowControl w:val="0"/>
        <w:kinsoku/>
        <w:wordWrap/>
        <w:overflowPunct w:val="0"/>
        <w:topLinePunct/>
        <w:autoSpaceDE/>
        <w:autoSpaceDN/>
        <w:bidi w:val="0"/>
        <w:adjustRightInd/>
        <w:snapToGrid/>
        <w:spacing w:line="594" w:lineRule="exact"/>
        <w:ind w:left="0" w:leftChars="0"/>
        <w:jc w:val="center"/>
        <w:textAlignment w:val="auto"/>
        <w:rPr>
          <w:rFonts w:hint="default" w:ascii="Times New Roman" w:hAnsi="Times New Roman" w:eastAsia="方正小标宋_GBK" w:cs="Times New Roman"/>
          <w:color w:val="000000" w:themeColor="text1"/>
          <w:sz w:val="44"/>
          <w:szCs w:val="44"/>
          <w:highlight w:val="none"/>
          <w:lang w:eastAsia="zh-CN"/>
          <w14:textFill>
            <w14:solidFill>
              <w14:schemeClr w14:val="tx1"/>
            </w14:solidFill>
          </w14:textFill>
        </w:rPr>
      </w:pPr>
      <w:r>
        <w:rPr>
          <w:rFonts w:hint="default" w:ascii="Times New Roman" w:hAnsi="Times New Roman" w:eastAsia="方正小标宋_GBK" w:cs="Times New Roman"/>
          <w:color w:val="000000" w:themeColor="text1"/>
          <w:sz w:val="44"/>
          <w:szCs w:val="44"/>
          <w:highlight w:val="none"/>
          <w:lang w:eastAsia="zh-CN"/>
          <w14:textFill>
            <w14:solidFill>
              <w14:schemeClr w14:val="tx1"/>
            </w14:solidFill>
          </w14:textFill>
        </w:rPr>
        <w:t>重庆市渝中区住房和城市建设委员会</w:t>
      </w:r>
    </w:p>
    <w:p>
      <w:pPr>
        <w:keepNext w:val="0"/>
        <w:keepLines w:val="0"/>
        <w:pageBreakBefore w:val="0"/>
        <w:widowControl w:val="0"/>
        <w:kinsoku/>
        <w:wordWrap/>
        <w:overflowPunct w:val="0"/>
        <w:topLinePunct/>
        <w:autoSpaceDE/>
        <w:autoSpaceDN/>
        <w:bidi w:val="0"/>
        <w:spacing w:line="594" w:lineRule="exact"/>
        <w:ind w:left="0" w:leftChars="0"/>
        <w:jc w:val="center"/>
        <w:textAlignment w:val="auto"/>
        <w:rPr>
          <w:rFonts w:hint="default" w:ascii="Times New Roman" w:hAnsi="Times New Roman" w:eastAsia="方正小标宋_GBK" w:cs="Times New Roman"/>
          <w:color w:val="000000" w:themeColor="text1"/>
          <w:sz w:val="44"/>
          <w:szCs w:val="44"/>
          <w:highlight w:val="none"/>
          <w:lang w:eastAsia="zh-CN"/>
          <w14:textFill>
            <w14:solidFill>
              <w14:schemeClr w14:val="tx1"/>
            </w14:solidFill>
          </w14:textFill>
        </w:rPr>
      </w:pPr>
      <w:r>
        <w:rPr>
          <w:rFonts w:hint="default" w:ascii="Times New Roman" w:hAnsi="Times New Roman" w:eastAsia="方正小标宋_GBK" w:cs="Times New Roman"/>
          <w:color w:val="000000" w:themeColor="text1"/>
          <w:sz w:val="44"/>
          <w:szCs w:val="44"/>
          <w:highlight w:val="none"/>
          <w:lang w:eastAsia="zh-CN"/>
          <w14:textFill>
            <w14:solidFill>
              <w14:schemeClr w14:val="tx1"/>
            </w14:solidFill>
          </w14:textFill>
        </w:rPr>
        <w:t>关于印发《重庆市渝中区规范住宅小区公共</w:t>
      </w:r>
    </w:p>
    <w:p>
      <w:pPr>
        <w:keepNext w:val="0"/>
        <w:keepLines w:val="0"/>
        <w:pageBreakBefore w:val="0"/>
        <w:widowControl w:val="0"/>
        <w:kinsoku/>
        <w:wordWrap/>
        <w:overflowPunct w:val="0"/>
        <w:topLinePunct/>
        <w:autoSpaceDE/>
        <w:autoSpaceDN/>
        <w:bidi w:val="0"/>
        <w:spacing w:line="594" w:lineRule="exact"/>
        <w:ind w:left="0" w:leftChars="0"/>
        <w:jc w:val="center"/>
        <w:textAlignment w:val="auto"/>
        <w:rPr>
          <w:rFonts w:hint="default" w:ascii="Times New Roman" w:hAnsi="Times New Roman" w:eastAsia="方正小标宋_GBK" w:cs="Times New Roman"/>
          <w:color w:val="000000" w:themeColor="text1"/>
          <w:sz w:val="44"/>
          <w:szCs w:val="44"/>
          <w:highlight w:val="none"/>
          <w:lang w:eastAsia="zh-CN"/>
          <w14:textFill>
            <w14:solidFill>
              <w14:schemeClr w14:val="tx1"/>
            </w14:solidFill>
          </w14:textFill>
        </w:rPr>
      </w:pPr>
      <w:r>
        <w:rPr>
          <w:rFonts w:hint="default" w:ascii="Times New Roman" w:hAnsi="Times New Roman" w:eastAsia="方正小标宋_GBK" w:cs="Times New Roman"/>
          <w:color w:val="000000" w:themeColor="text1"/>
          <w:sz w:val="44"/>
          <w:szCs w:val="44"/>
          <w:highlight w:val="none"/>
          <w:lang w:eastAsia="zh-CN"/>
          <w14:textFill>
            <w14:solidFill>
              <w14:schemeClr w14:val="tx1"/>
            </w14:solidFill>
          </w14:textFill>
        </w:rPr>
        <w:t>收益管理的指导意见（试行）》的通知</w:t>
      </w:r>
    </w:p>
    <w:p>
      <w:pPr>
        <w:pStyle w:val="2"/>
        <w:keepNext w:val="0"/>
        <w:keepLines w:val="0"/>
        <w:pageBreakBefore w:val="0"/>
        <w:widowControl w:val="0"/>
        <w:kinsoku/>
        <w:wordWrap/>
        <w:overflowPunct w:val="0"/>
        <w:topLinePunct/>
        <w:autoSpaceDE/>
        <w:autoSpaceDN/>
        <w:bidi w:val="0"/>
        <w:adjustRightInd/>
        <w:snapToGrid w:val="0"/>
        <w:spacing w:line="360" w:lineRule="exact"/>
        <w:ind w:left="0" w:leftChars="0"/>
        <w:jc w:val="both"/>
        <w:textAlignment w:val="auto"/>
        <w:rPr>
          <w:rFonts w:hint="default" w:ascii="Times New Roman" w:hAnsi="Times New Roman" w:cs="Times New Roman"/>
          <w:color w:val="000000" w:themeColor="text1"/>
          <w:highlight w:val="none"/>
          <w14:textFill>
            <w14:solidFill>
              <w14:schemeClr w14:val="tx1"/>
            </w14:solidFill>
          </w14:textFill>
        </w:rPr>
      </w:pPr>
    </w:p>
    <w:p>
      <w:pPr>
        <w:keepNext w:val="0"/>
        <w:keepLines w:val="0"/>
        <w:pageBreakBefore w:val="0"/>
        <w:widowControl w:val="0"/>
        <w:kinsoku/>
        <w:wordWrap/>
        <w:overflowPunct w:val="0"/>
        <w:topLinePunct/>
        <w:autoSpaceDE/>
        <w:autoSpaceDN/>
        <w:bidi w:val="0"/>
        <w:adjustRightInd/>
        <w:snapToGrid/>
        <w:spacing w:line="560" w:lineRule="exact"/>
        <w:ind w:left="0" w:leftChars="0"/>
        <w:jc w:val="both"/>
        <w:textAlignment w:val="auto"/>
        <w:rPr>
          <w:rFonts w:hint="default" w:ascii="Times New Roman" w:hAnsi="Times New Roman" w:eastAsia="方正仿宋_GBK" w:cs="Times New Roman"/>
          <w:color w:val="000000" w:themeColor="text1"/>
          <w:spacing w:val="-11"/>
          <w:kern w:val="2"/>
          <w:sz w:val="32"/>
          <w:szCs w:val="32"/>
          <w:highlight w:val="none"/>
          <w:lang w:val="en-US" w:eastAsia="zh-CN" w:bidi="ar-SA"/>
          <w14:textFill>
            <w14:solidFill>
              <w14:schemeClr w14:val="tx1"/>
            </w14:solidFill>
          </w14:textFill>
        </w:rPr>
      </w:pPr>
      <w:r>
        <w:rPr>
          <w:rFonts w:hint="default" w:ascii="Times New Roman" w:hAnsi="Times New Roman" w:eastAsia="方正仿宋_GBK" w:cs="Times New Roman"/>
          <w:color w:val="000000" w:themeColor="text1"/>
          <w:spacing w:val="-11"/>
          <w:kern w:val="2"/>
          <w:sz w:val="32"/>
          <w:szCs w:val="32"/>
          <w:highlight w:val="none"/>
          <w:lang w:val="en-US" w:eastAsia="zh-CN" w:bidi="ar-SA"/>
          <w14:textFill>
            <w14:solidFill>
              <w14:schemeClr w14:val="tx1"/>
            </w14:solidFill>
          </w14:textFill>
        </w:rPr>
        <w:t>各街道办事处、物业服务企业、业主委员会：</w:t>
      </w:r>
    </w:p>
    <w:p>
      <w:pPr>
        <w:keepNext w:val="0"/>
        <w:keepLines w:val="0"/>
        <w:pageBreakBefore w:val="0"/>
        <w:widowControl w:val="0"/>
        <w:kinsoku/>
        <w:wordWrap/>
        <w:overflowPunct w:val="0"/>
        <w:topLinePunct/>
        <w:autoSpaceDE/>
        <w:autoSpaceDN/>
        <w:bidi w:val="0"/>
        <w:adjustRightInd w:val="0"/>
        <w:snapToGrid w:val="0"/>
        <w:spacing w:line="560" w:lineRule="exact"/>
        <w:ind w:left="0" w:leftChars="0" w:firstLine="640" w:firstLineChars="200"/>
        <w:jc w:val="both"/>
        <w:textAlignment w:val="auto"/>
        <w:outlineLvl w:val="9"/>
        <w:rPr>
          <w:rFonts w:hint="default" w:ascii="Times New Roman" w:hAnsi="Times New Roman" w:eastAsia="方正仿宋_GBK" w:cs="Times New Roman"/>
          <w:color w:val="000000" w:themeColor="text1"/>
          <w:sz w:val="32"/>
          <w:szCs w:val="32"/>
          <w:highlight w:val="none"/>
          <w:lang w:eastAsia="zh-CN"/>
          <w14:textFill>
            <w14:solidFill>
              <w14:schemeClr w14:val="tx1"/>
            </w14:solidFill>
          </w14:textFill>
        </w:rPr>
      </w:pPr>
      <w:r>
        <w:rPr>
          <w:rFonts w:hint="default" w:ascii="Times New Roman" w:hAnsi="Times New Roman" w:eastAsia="方正仿宋_GBK" w:cs="Times New Roman"/>
          <w:color w:val="000000" w:themeColor="text1"/>
          <w:kern w:val="2"/>
          <w:sz w:val="32"/>
          <w:szCs w:val="32"/>
          <w:highlight w:val="none"/>
          <w:lang w:val="en-US" w:eastAsia="zh-CN" w:bidi="ar-SA"/>
          <w14:textFill>
            <w14:solidFill>
              <w14:schemeClr w14:val="tx1"/>
            </w14:solidFill>
          </w14:textFill>
        </w:rPr>
        <w:t>为规范我区住宅小区公共收益管理，维护保障业主的合法权益，根据《中华人民共和国民法典》《物业管理条例》《重庆市物业管理条例》《重庆市物业专项维修资金管理办法》等相关规定，结合我区实际，制定本指导意见，</w:t>
      </w:r>
      <w:r>
        <w:rPr>
          <w:rFonts w:hint="default" w:ascii="Times New Roman" w:hAnsi="Times New Roman" w:eastAsia="方正仿宋_GBK" w:cs="Times New Roman"/>
          <w:color w:val="000000" w:themeColor="text1"/>
          <w:sz w:val="32"/>
          <w:szCs w:val="32"/>
          <w:highlight w:val="none"/>
          <w:lang w:eastAsia="zh-CN"/>
          <w14:textFill>
            <w14:solidFill>
              <w14:schemeClr w14:val="tx1"/>
            </w14:solidFill>
          </w14:textFill>
        </w:rPr>
        <w:t>现印发给你们，请认真贯彻执行。</w:t>
      </w:r>
    </w:p>
    <w:p>
      <w:pPr>
        <w:keepNext w:val="0"/>
        <w:keepLines w:val="0"/>
        <w:pageBreakBefore w:val="0"/>
        <w:widowControl w:val="0"/>
        <w:kinsoku/>
        <w:wordWrap/>
        <w:overflowPunct w:val="0"/>
        <w:topLinePunct/>
        <w:autoSpaceDE/>
        <w:autoSpaceDN/>
        <w:bidi w:val="0"/>
        <w:adjustRightInd w:val="0"/>
        <w:snapToGrid w:val="0"/>
        <w:spacing w:line="560" w:lineRule="exact"/>
        <w:ind w:left="0" w:leftChars="0" w:firstLine="640" w:firstLineChars="200"/>
        <w:jc w:val="both"/>
        <w:textAlignment w:val="auto"/>
        <w:outlineLvl w:val="9"/>
        <w:rPr>
          <w:rFonts w:hint="default" w:ascii="Times New Roman" w:hAnsi="Times New Roman" w:eastAsia="方正仿宋_GBK"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highlight w:val="none"/>
          <w:lang w:eastAsia="zh-CN"/>
          <w14:textFill>
            <w14:solidFill>
              <w14:schemeClr w14:val="tx1"/>
            </w14:solidFill>
          </w14:textFill>
        </w:rPr>
        <w:t>特此通知</w:t>
      </w:r>
      <w:r>
        <w:rPr>
          <w:rFonts w:hint="default" w:ascii="Times New Roman" w:hAnsi="Times New Roman" w:eastAsia="方正仿宋_GBK" w:cs="Times New Roman"/>
          <w:color w:val="000000" w:themeColor="text1"/>
          <w:sz w:val="32"/>
          <w:szCs w:val="32"/>
          <w:highlight w:val="none"/>
          <w:lang w:val="en-US" w:eastAsia="zh-CN"/>
          <w14:textFill>
            <w14:solidFill>
              <w14:schemeClr w14:val="tx1"/>
            </w14:solidFill>
          </w14:textFill>
        </w:rPr>
        <w:t>。</w:t>
      </w:r>
    </w:p>
    <w:p>
      <w:pPr>
        <w:keepNext w:val="0"/>
        <w:keepLines w:val="0"/>
        <w:pageBreakBefore w:val="0"/>
        <w:widowControl w:val="0"/>
        <w:kinsoku/>
        <w:wordWrap/>
        <w:overflowPunct w:val="0"/>
        <w:topLinePunct/>
        <w:autoSpaceDE/>
        <w:autoSpaceDN/>
        <w:bidi w:val="0"/>
        <w:adjustRightInd/>
        <w:snapToGrid/>
        <w:spacing w:line="500" w:lineRule="exact"/>
        <w:ind w:left="0" w:leftChars="0" w:firstLine="640" w:firstLineChars="200"/>
        <w:jc w:val="both"/>
        <w:textAlignment w:val="auto"/>
        <w:rPr>
          <w:rFonts w:hint="default" w:ascii="Times New Roman" w:hAnsi="Times New Roman" w:eastAsia="方正仿宋_GBK" w:cs="Times New Roman"/>
          <w:color w:val="000000" w:themeColor="text1"/>
          <w:kern w:val="2"/>
          <w:sz w:val="32"/>
          <w:szCs w:val="32"/>
          <w:highlight w:val="none"/>
          <w:lang w:val="en-US" w:eastAsia="zh-CN" w:bidi="ar-SA"/>
          <w14:textFill>
            <w14:solidFill>
              <w14:schemeClr w14:val="tx1"/>
            </w14:solidFill>
          </w14:textFill>
        </w:rPr>
      </w:pPr>
    </w:p>
    <w:p>
      <w:pPr>
        <w:pStyle w:val="2"/>
        <w:keepNext w:val="0"/>
        <w:keepLines w:val="0"/>
        <w:pageBreakBefore w:val="0"/>
        <w:widowControl w:val="0"/>
        <w:kinsoku/>
        <w:wordWrap/>
        <w:overflowPunct w:val="0"/>
        <w:topLinePunct/>
        <w:autoSpaceDE/>
        <w:autoSpaceDN/>
        <w:bidi w:val="0"/>
        <w:spacing w:line="560" w:lineRule="exact"/>
        <w:ind w:left="1600" w:leftChars="200" w:hanging="960" w:hangingChars="300"/>
        <w:jc w:val="both"/>
        <w:textAlignment w:val="auto"/>
        <w:rPr>
          <w:rFonts w:hint="default" w:ascii="Times New Roman" w:hAnsi="Times New Roman" w:eastAsia="方正仿宋_GBK" w:cs="Times New Roman"/>
          <w:color w:val="000000" w:themeColor="text1"/>
          <w:sz w:val="32"/>
          <w:szCs w:val="32"/>
          <w:highlight w:val="none"/>
          <w:lang w:eastAsia="zh-CN"/>
          <w14:textFill>
            <w14:solidFill>
              <w14:schemeClr w14:val="tx1"/>
            </w14:solidFill>
          </w14:textFill>
        </w:rPr>
      </w:pPr>
      <w:r>
        <w:rPr>
          <w:rFonts w:hint="default" w:ascii="Times New Roman" w:hAnsi="Times New Roman" w:eastAsia="方正仿宋_GBK" w:cs="Times New Roman"/>
          <w:color w:val="000000" w:themeColor="text1"/>
          <w:sz w:val="32"/>
          <w:szCs w:val="32"/>
          <w:highlight w:val="none"/>
          <w:lang w:eastAsia="zh-CN"/>
          <w14:textFill>
            <w14:solidFill>
              <w14:schemeClr w14:val="tx1"/>
            </w14:solidFill>
          </w14:textFill>
        </w:rPr>
        <w:t>附件：</w:t>
      </w:r>
      <w:r>
        <w:rPr>
          <w:rFonts w:hint="default" w:ascii="Times New Roman" w:hAnsi="Times New Roman" w:eastAsia="方正仿宋_GBK" w:cs="Times New Roman"/>
          <w:color w:val="000000" w:themeColor="text1"/>
          <w:spacing w:val="-17"/>
          <w:sz w:val="32"/>
          <w:szCs w:val="32"/>
          <w:highlight w:val="none"/>
          <w:lang w:eastAsia="zh-CN"/>
          <w14:textFill>
            <w14:solidFill>
              <w14:schemeClr w14:val="tx1"/>
            </w14:solidFill>
          </w14:textFill>
        </w:rPr>
        <w:t>重庆市渝中区规范住宅小区公共收益管理的指导意见（试行）</w:t>
      </w:r>
    </w:p>
    <w:p>
      <w:pPr>
        <w:pStyle w:val="2"/>
        <w:keepNext w:val="0"/>
        <w:keepLines w:val="0"/>
        <w:pageBreakBefore w:val="0"/>
        <w:widowControl w:val="0"/>
        <w:kinsoku/>
        <w:wordWrap/>
        <w:overflowPunct w:val="0"/>
        <w:topLinePunct/>
        <w:autoSpaceDE/>
        <w:autoSpaceDN/>
        <w:bidi w:val="0"/>
        <w:adjustRightInd/>
        <w:snapToGrid w:val="0"/>
        <w:spacing w:line="800" w:lineRule="exact"/>
        <w:ind w:left="0" w:leftChars="0"/>
        <w:textAlignment w:val="auto"/>
        <w:rPr>
          <w:rFonts w:hint="default" w:ascii="Times New Roman" w:hAnsi="Times New Roman" w:cs="Times New Roman"/>
          <w:color w:val="000000" w:themeColor="text1"/>
          <w:lang w:val="en-US" w:eastAsia="zh-CN"/>
          <w14:textFill>
            <w14:solidFill>
              <w14:schemeClr w14:val="tx1"/>
            </w14:solidFill>
          </w14:textFill>
        </w:rPr>
      </w:pPr>
    </w:p>
    <w:p>
      <w:pPr>
        <w:keepNext w:val="0"/>
        <w:keepLines w:val="0"/>
        <w:pageBreakBefore w:val="0"/>
        <w:widowControl w:val="0"/>
        <w:kinsoku/>
        <w:wordWrap/>
        <w:overflowPunct w:val="0"/>
        <w:topLinePunct/>
        <w:autoSpaceDE/>
        <w:autoSpaceDN/>
        <w:bidi w:val="0"/>
        <w:adjustRightInd/>
        <w:snapToGrid/>
        <w:spacing w:line="560" w:lineRule="exact"/>
        <w:ind w:left="0" w:leftChars="0" w:right="0" w:firstLine="3684" w:firstLineChars="1200"/>
        <w:jc w:val="both"/>
        <w:textAlignment w:val="auto"/>
        <w:rPr>
          <w:rFonts w:hint="default" w:ascii="Times New Roman" w:hAnsi="Times New Roman" w:eastAsia="方正仿宋_GBK" w:cs="Times New Roman"/>
          <w:color w:val="000000" w:themeColor="text1"/>
          <w:w w:val="96"/>
          <w:sz w:val="32"/>
          <w:szCs w:val="32"/>
          <w:highlight w:val="none"/>
          <w14:textFill>
            <w14:solidFill>
              <w14:schemeClr w14:val="tx1"/>
            </w14:solidFill>
          </w14:textFill>
        </w:rPr>
      </w:pPr>
      <w:r>
        <w:rPr>
          <w:rFonts w:hint="default" w:ascii="Times New Roman" w:hAnsi="Times New Roman" w:eastAsia="方正仿宋_GBK" w:cs="Times New Roman"/>
          <w:color w:val="000000" w:themeColor="text1"/>
          <w:w w:val="96"/>
          <w:sz w:val="32"/>
          <w:szCs w:val="32"/>
          <w:highlight w:val="none"/>
          <w14:textFill>
            <w14:solidFill>
              <w14:schemeClr w14:val="tx1"/>
            </w14:solidFill>
          </w14:textFill>
        </w:rPr>
        <w:t>重庆市渝中区住房和城市建设委员会</w:t>
      </w:r>
    </w:p>
    <w:p>
      <w:pPr>
        <w:keepNext w:val="0"/>
        <w:keepLines w:val="0"/>
        <w:pageBreakBefore w:val="0"/>
        <w:widowControl w:val="0"/>
        <w:kinsoku/>
        <w:wordWrap/>
        <w:overflowPunct w:val="0"/>
        <w:topLinePunct/>
        <w:autoSpaceDE/>
        <w:autoSpaceDN/>
        <w:bidi w:val="0"/>
        <w:adjustRightInd/>
        <w:snapToGrid/>
        <w:spacing w:line="560" w:lineRule="exact"/>
        <w:ind w:left="0" w:leftChars="0" w:right="0" w:firstLine="640"/>
        <w:jc w:val="both"/>
        <w:textAlignment w:val="auto"/>
        <w:rPr>
          <w:rFonts w:hint="default" w:ascii="Times New Roman" w:hAnsi="Times New Roman" w:eastAsia="方正仿宋_GBK" w:cs="Times New Roman"/>
          <w:color w:val="000000" w:themeColor="text1"/>
          <w:w w:val="96"/>
          <w:sz w:val="32"/>
          <w:szCs w:val="32"/>
          <w:highlight w:val="none"/>
          <w:lang w:val="en-US" w:eastAsia="zh-CN"/>
          <w14:textFill>
            <w14:solidFill>
              <w14:schemeClr w14:val="tx1"/>
            </w14:solidFill>
          </w14:textFill>
        </w:rPr>
      </w:pPr>
      <w:r>
        <w:rPr>
          <w:rFonts w:hint="default" w:ascii="Times New Roman" w:hAnsi="Times New Roman" w:eastAsia="方正仿宋_GBK" w:cs="Times New Roman"/>
          <w:color w:val="000000" w:themeColor="text1"/>
          <w:w w:val="96"/>
          <w:sz w:val="32"/>
          <w:szCs w:val="32"/>
          <w:highlight w:val="none"/>
          <w14:textFill>
            <w14:solidFill>
              <w14:schemeClr w14:val="tx1"/>
            </w14:solidFill>
          </w14:textFill>
        </w:rPr>
        <w:t xml:space="preserve">               </w:t>
      </w:r>
      <w:r>
        <w:rPr>
          <w:rFonts w:hint="default" w:ascii="Times New Roman" w:hAnsi="Times New Roman" w:cs="Times New Roman"/>
          <w:color w:val="000000" w:themeColor="text1"/>
          <w:w w:val="96"/>
          <w:sz w:val="32"/>
          <w:szCs w:val="32"/>
          <w:highlight w:val="none"/>
          <w:lang w:val="en-US" w:eastAsia="zh-CN"/>
          <w14:textFill>
            <w14:solidFill>
              <w14:schemeClr w14:val="tx1"/>
            </w14:solidFill>
          </w14:textFill>
        </w:rPr>
        <w:t xml:space="preserve">    </w:t>
      </w:r>
      <w:r>
        <w:rPr>
          <w:rFonts w:hint="default" w:ascii="Times New Roman" w:hAnsi="Times New Roman" w:eastAsia="方正仿宋_GBK" w:cs="Times New Roman"/>
          <w:color w:val="000000" w:themeColor="text1"/>
          <w:w w:val="96"/>
          <w:sz w:val="32"/>
          <w:szCs w:val="32"/>
          <w:highlight w:val="none"/>
          <w14:textFill>
            <w14:solidFill>
              <w14:schemeClr w14:val="tx1"/>
            </w14:solidFill>
          </w14:textFill>
        </w:rPr>
        <w:t xml:space="preserve">       202</w:t>
      </w:r>
      <w:r>
        <w:rPr>
          <w:rFonts w:hint="default" w:ascii="Times New Roman" w:hAnsi="Times New Roman" w:eastAsia="方正仿宋_GBK" w:cs="Times New Roman"/>
          <w:color w:val="000000" w:themeColor="text1"/>
          <w:w w:val="96"/>
          <w:sz w:val="32"/>
          <w:szCs w:val="32"/>
          <w:highlight w:val="none"/>
          <w:lang w:val="en-US" w:eastAsia="zh-CN"/>
          <w14:textFill>
            <w14:solidFill>
              <w14:schemeClr w14:val="tx1"/>
            </w14:solidFill>
          </w14:textFill>
        </w:rPr>
        <w:t>5</w:t>
      </w:r>
      <w:r>
        <w:rPr>
          <w:rFonts w:hint="default" w:ascii="Times New Roman" w:hAnsi="Times New Roman" w:eastAsia="方正仿宋_GBK" w:cs="Times New Roman"/>
          <w:color w:val="000000" w:themeColor="text1"/>
          <w:w w:val="96"/>
          <w:sz w:val="32"/>
          <w:szCs w:val="32"/>
          <w:highlight w:val="none"/>
          <w14:textFill>
            <w14:solidFill>
              <w14:schemeClr w14:val="tx1"/>
            </w14:solidFill>
          </w14:textFill>
        </w:rPr>
        <w:t>年</w:t>
      </w:r>
      <w:r>
        <w:rPr>
          <w:rFonts w:hint="default" w:ascii="Times New Roman" w:hAnsi="Times New Roman" w:eastAsia="方正仿宋_GBK" w:cs="Times New Roman"/>
          <w:color w:val="000000" w:themeColor="text1"/>
          <w:w w:val="96"/>
          <w:sz w:val="32"/>
          <w:szCs w:val="32"/>
          <w:highlight w:val="none"/>
          <w:lang w:val="en-US" w:eastAsia="zh-CN"/>
          <w14:textFill>
            <w14:solidFill>
              <w14:schemeClr w14:val="tx1"/>
            </w14:solidFill>
          </w14:textFill>
        </w:rPr>
        <w:t>10</w:t>
      </w:r>
      <w:r>
        <w:rPr>
          <w:rFonts w:hint="default" w:ascii="Times New Roman" w:hAnsi="Times New Roman" w:eastAsia="方正仿宋_GBK" w:cs="Times New Roman"/>
          <w:color w:val="000000" w:themeColor="text1"/>
          <w:w w:val="96"/>
          <w:sz w:val="32"/>
          <w:szCs w:val="32"/>
          <w:highlight w:val="none"/>
          <w14:textFill>
            <w14:solidFill>
              <w14:schemeClr w14:val="tx1"/>
            </w14:solidFill>
          </w14:textFill>
        </w:rPr>
        <w:t>月</w:t>
      </w:r>
      <w:r>
        <w:rPr>
          <w:rFonts w:hint="default" w:ascii="Times New Roman" w:hAnsi="Times New Roman" w:eastAsia="方正仿宋_GBK" w:cs="Times New Roman"/>
          <w:color w:val="000000" w:themeColor="text1"/>
          <w:w w:val="96"/>
          <w:sz w:val="32"/>
          <w:szCs w:val="32"/>
          <w:highlight w:val="none"/>
          <w:lang w:val="en-US" w:eastAsia="zh-CN"/>
          <w14:textFill>
            <w14:solidFill>
              <w14:schemeClr w14:val="tx1"/>
            </w14:solidFill>
          </w14:textFill>
        </w:rPr>
        <w:t>29日</w:t>
      </w:r>
    </w:p>
    <w:p>
      <w:pPr>
        <w:keepNext w:val="0"/>
        <w:keepLines w:val="0"/>
        <w:pageBreakBefore w:val="0"/>
        <w:widowControl w:val="0"/>
        <w:kinsoku/>
        <w:wordWrap/>
        <w:overflowPunct w:val="0"/>
        <w:topLinePunct/>
        <w:autoSpaceDE/>
        <w:autoSpaceDN/>
        <w:bidi w:val="0"/>
        <w:adjustRightInd/>
        <w:snapToGrid/>
        <w:spacing w:line="594" w:lineRule="exact"/>
        <w:ind w:left="0" w:leftChars="0"/>
        <w:jc w:val="center"/>
        <w:textAlignment w:val="auto"/>
        <w:rPr>
          <w:rFonts w:hint="default" w:ascii="Times New Roman" w:hAnsi="Times New Roman" w:eastAsia="方正小标宋_GBK" w:cs="Times New Roman"/>
          <w:color w:val="000000" w:themeColor="text1"/>
          <w:sz w:val="44"/>
          <w:szCs w:val="44"/>
          <w:highlight w:val="none"/>
          <w14:textFill>
            <w14:solidFill>
              <w14:schemeClr w14:val="tx1"/>
            </w14:solidFill>
          </w14:textFill>
        </w:rPr>
      </w:pPr>
      <w:r>
        <w:rPr>
          <w:rFonts w:hint="default" w:ascii="Times New Roman" w:hAnsi="Times New Roman" w:eastAsia="方正小标宋_GBK" w:cs="Times New Roman"/>
          <w:color w:val="000000" w:themeColor="text1"/>
          <w:sz w:val="44"/>
          <w:szCs w:val="44"/>
          <w:highlight w:val="none"/>
          <w:lang w:eastAsia="zh-CN"/>
          <w14:textFill>
            <w14:solidFill>
              <w14:schemeClr w14:val="tx1"/>
            </w14:solidFill>
          </w14:textFill>
        </w:rPr>
        <w:t>重庆市渝中区规范住宅</w:t>
      </w:r>
      <w:r>
        <w:rPr>
          <w:rFonts w:hint="default" w:ascii="Times New Roman" w:hAnsi="Times New Roman" w:eastAsia="方正小标宋_GBK" w:cs="Times New Roman"/>
          <w:color w:val="000000" w:themeColor="text1"/>
          <w:sz w:val="44"/>
          <w:szCs w:val="44"/>
          <w:highlight w:val="none"/>
          <w14:textFill>
            <w14:solidFill>
              <w14:schemeClr w14:val="tx1"/>
            </w14:solidFill>
          </w14:textFill>
        </w:rPr>
        <w:t>小区公共收益管理的</w:t>
      </w:r>
    </w:p>
    <w:p>
      <w:pPr>
        <w:keepNext w:val="0"/>
        <w:keepLines w:val="0"/>
        <w:pageBreakBefore w:val="0"/>
        <w:widowControl w:val="0"/>
        <w:kinsoku/>
        <w:wordWrap/>
        <w:overflowPunct w:val="0"/>
        <w:topLinePunct/>
        <w:autoSpaceDE/>
        <w:autoSpaceDN/>
        <w:bidi w:val="0"/>
        <w:adjustRightInd/>
        <w:snapToGrid/>
        <w:spacing w:line="594" w:lineRule="exact"/>
        <w:ind w:left="0" w:leftChars="0"/>
        <w:jc w:val="center"/>
        <w:textAlignment w:val="auto"/>
        <w:rPr>
          <w:rFonts w:hint="default" w:ascii="Times New Roman" w:hAnsi="Times New Roman" w:eastAsia="方正小标宋_GBK" w:cs="Times New Roman"/>
          <w:color w:val="000000" w:themeColor="text1"/>
          <w:sz w:val="44"/>
          <w:szCs w:val="44"/>
          <w:highlight w:val="none"/>
          <w:lang w:eastAsia="zh-CN"/>
          <w14:textFill>
            <w14:solidFill>
              <w14:schemeClr w14:val="tx1"/>
            </w14:solidFill>
          </w14:textFill>
        </w:rPr>
      </w:pPr>
      <w:r>
        <w:rPr>
          <w:rFonts w:hint="default" w:ascii="Times New Roman" w:hAnsi="Times New Roman" w:eastAsia="方正小标宋_GBK" w:cs="Times New Roman"/>
          <w:color w:val="000000" w:themeColor="text1"/>
          <w:sz w:val="44"/>
          <w:szCs w:val="44"/>
          <w:highlight w:val="none"/>
          <w:lang w:eastAsia="zh-CN"/>
          <w14:textFill>
            <w14:solidFill>
              <w14:schemeClr w14:val="tx1"/>
            </w14:solidFill>
          </w14:textFill>
        </w:rPr>
        <w:t>指导意见</w:t>
      </w:r>
    </w:p>
    <w:p>
      <w:pPr>
        <w:keepNext w:val="0"/>
        <w:keepLines w:val="0"/>
        <w:pageBreakBefore w:val="0"/>
        <w:widowControl w:val="0"/>
        <w:kinsoku/>
        <w:wordWrap/>
        <w:overflowPunct w:val="0"/>
        <w:topLinePunct/>
        <w:autoSpaceDE/>
        <w:autoSpaceDN/>
        <w:bidi w:val="0"/>
        <w:adjustRightInd/>
        <w:snapToGrid/>
        <w:spacing w:line="594" w:lineRule="exact"/>
        <w:ind w:left="0" w:leftChars="0"/>
        <w:jc w:val="center"/>
        <w:textAlignment w:val="auto"/>
        <w:rPr>
          <w:rFonts w:hint="default" w:ascii="Times New Roman" w:hAnsi="Times New Roman" w:eastAsia="方正仿宋_GBK"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方正楷体_GBK" w:cs="Times New Roman"/>
          <w:color w:val="000000" w:themeColor="text1"/>
          <w:sz w:val="32"/>
          <w:szCs w:val="32"/>
          <w:highlight w:val="none"/>
          <w:lang w:eastAsia="zh-CN"/>
          <w14:textFill>
            <w14:solidFill>
              <w14:schemeClr w14:val="tx1"/>
            </w14:solidFill>
          </w14:textFill>
        </w:rPr>
        <w:t>（试</w:t>
      </w:r>
      <w:r>
        <w:rPr>
          <w:rFonts w:hint="default" w:ascii="Times New Roman" w:hAnsi="Times New Roman" w:eastAsia="方正楷体_GBK" w:cs="Times New Roman"/>
          <w:color w:val="000000" w:themeColor="text1"/>
          <w:sz w:val="32"/>
          <w:szCs w:val="32"/>
          <w:highlight w:val="none"/>
          <w:lang w:val="en-US" w:eastAsia="zh-CN"/>
          <w14:textFill>
            <w14:solidFill>
              <w14:schemeClr w14:val="tx1"/>
            </w14:solidFill>
          </w14:textFill>
        </w:rPr>
        <w:t xml:space="preserve">  </w:t>
      </w:r>
      <w:r>
        <w:rPr>
          <w:rFonts w:hint="default" w:ascii="Times New Roman" w:hAnsi="Times New Roman" w:eastAsia="方正楷体_GBK" w:cs="Times New Roman"/>
          <w:color w:val="000000" w:themeColor="text1"/>
          <w:sz w:val="32"/>
          <w:szCs w:val="32"/>
          <w:highlight w:val="none"/>
          <w:lang w:eastAsia="zh-CN"/>
          <w14:textFill>
            <w14:solidFill>
              <w14:schemeClr w14:val="tx1"/>
            </w14:solidFill>
          </w14:textFill>
        </w:rPr>
        <w:t>行）</w:t>
      </w:r>
    </w:p>
    <w:p>
      <w:pPr>
        <w:pStyle w:val="2"/>
        <w:keepNext w:val="0"/>
        <w:keepLines w:val="0"/>
        <w:pageBreakBefore w:val="0"/>
        <w:widowControl w:val="0"/>
        <w:kinsoku/>
        <w:wordWrap/>
        <w:overflowPunct w:val="0"/>
        <w:topLinePunct/>
        <w:autoSpaceDE/>
        <w:autoSpaceDN/>
        <w:bidi w:val="0"/>
        <w:adjustRightInd/>
        <w:snapToGrid w:val="0"/>
        <w:spacing w:line="360" w:lineRule="exact"/>
        <w:ind w:left="0" w:leftChars="0"/>
        <w:jc w:val="both"/>
        <w:textAlignment w:val="auto"/>
        <w:rPr>
          <w:rFonts w:hint="default" w:ascii="Times New Roman" w:hAnsi="Times New Roman" w:cs="Times New Roman"/>
          <w:color w:val="000000" w:themeColor="text1"/>
          <w:lang w:val="en-US" w:eastAsia="zh-CN"/>
          <w14:textFill>
            <w14:solidFill>
              <w14:schemeClr w14:val="tx1"/>
            </w14:solidFill>
          </w14:textFill>
        </w:rPr>
      </w:pPr>
    </w:p>
    <w:p>
      <w:pPr>
        <w:keepNext w:val="0"/>
        <w:keepLines w:val="0"/>
        <w:pageBreakBefore w:val="0"/>
        <w:widowControl w:val="0"/>
        <w:kinsoku/>
        <w:wordWrap/>
        <w:overflowPunct w:val="0"/>
        <w:topLinePunct/>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color w:val="000000" w:themeColor="text1"/>
          <w:kern w:val="2"/>
          <w:sz w:val="32"/>
          <w:szCs w:val="24"/>
          <w:highlight w:val="none"/>
          <w:lang w:val="en-US" w:eastAsia="zh-CN" w:bidi="ar-SA"/>
          <w14:textFill>
            <w14:solidFill>
              <w14:schemeClr w14:val="tx1"/>
            </w14:solidFill>
          </w14:textFill>
        </w:rPr>
      </w:pPr>
      <w:r>
        <w:rPr>
          <w:rFonts w:hint="default" w:ascii="Times New Roman" w:hAnsi="Times New Roman" w:eastAsia="方正仿宋_GBK" w:cs="Times New Roman"/>
          <w:color w:val="000000" w:themeColor="text1"/>
          <w:kern w:val="2"/>
          <w:sz w:val="32"/>
          <w:szCs w:val="24"/>
          <w:highlight w:val="none"/>
          <w:lang w:val="en-US" w:eastAsia="zh-CN" w:bidi="ar-SA"/>
          <w14:textFill>
            <w14:solidFill>
              <w14:schemeClr w14:val="tx1"/>
            </w14:solidFill>
          </w14:textFill>
        </w:rPr>
        <w:t>为规范我区住宅小区公共收益管理，维护保障业主的合法权益，根据《中华人民共和国民法典》《物业管理条例》《重庆市物业管理条例》《重庆市物业专项维修资金管理办法》等相关规定，结合我区实际，制定本指导意见。</w:t>
      </w:r>
    </w:p>
    <w:p>
      <w:pPr>
        <w:keepNext w:val="0"/>
        <w:keepLines w:val="0"/>
        <w:pageBreakBefore w:val="0"/>
        <w:widowControl w:val="0"/>
        <w:numPr>
          <w:ilvl w:val="0"/>
          <w:numId w:val="0"/>
        </w:numPr>
        <w:kinsoku/>
        <w:wordWrap/>
        <w:overflowPunct w:val="0"/>
        <w:topLinePunct/>
        <w:autoSpaceDE/>
        <w:autoSpaceDN/>
        <w:bidi w:val="0"/>
        <w:adjustRightInd/>
        <w:snapToGrid/>
        <w:spacing w:line="560" w:lineRule="exact"/>
        <w:ind w:left="0" w:leftChars="0" w:firstLine="640" w:firstLineChars="200"/>
        <w:jc w:val="both"/>
        <w:textAlignment w:val="auto"/>
        <w:rPr>
          <w:rFonts w:hint="default" w:ascii="Times New Roman" w:hAnsi="Times New Roman" w:eastAsia="方正黑体_GBK" w:cs="Times New Roman"/>
          <w:color w:val="000000" w:themeColor="text1"/>
          <w:szCs w:val="32"/>
          <w:highlight w:val="none"/>
          <w14:textFill>
            <w14:solidFill>
              <w14:schemeClr w14:val="tx1"/>
            </w14:solidFill>
          </w14:textFill>
        </w:rPr>
      </w:pPr>
      <w:r>
        <w:rPr>
          <w:rFonts w:hint="default" w:ascii="Times New Roman" w:hAnsi="Times New Roman" w:eastAsia="方正黑体_GBK" w:cs="Times New Roman"/>
          <w:color w:val="000000" w:themeColor="text1"/>
          <w:szCs w:val="32"/>
          <w:highlight w:val="none"/>
          <w:lang w:eastAsia="zh-CN"/>
          <w14:textFill>
            <w14:solidFill>
              <w14:schemeClr w14:val="tx1"/>
            </w14:solidFill>
          </w14:textFill>
        </w:rPr>
        <w:t>一、来源及权属</w:t>
      </w:r>
    </w:p>
    <w:p>
      <w:pPr>
        <w:keepNext w:val="0"/>
        <w:keepLines w:val="0"/>
        <w:pageBreakBefore w:val="0"/>
        <w:widowControl w:val="0"/>
        <w:numPr>
          <w:ilvl w:val="0"/>
          <w:numId w:val="0"/>
        </w:numPr>
        <w:kinsoku/>
        <w:wordWrap/>
        <w:overflowPunct w:val="0"/>
        <w:topLinePunct/>
        <w:autoSpaceDE/>
        <w:autoSpaceDN/>
        <w:bidi w:val="0"/>
        <w:adjustRightInd/>
        <w:snapToGrid/>
        <w:spacing w:line="560" w:lineRule="exact"/>
        <w:ind w:left="0" w:leftChars="0" w:firstLine="640" w:firstLineChars="200"/>
        <w:jc w:val="both"/>
        <w:textAlignment w:val="auto"/>
        <w:rPr>
          <w:rFonts w:hint="default" w:ascii="Times New Roman" w:hAnsi="Times New Roman" w:eastAsia="方正楷体_GBK" w:cs="Times New Roman"/>
          <w:color w:val="000000" w:themeColor="text1"/>
          <w:sz w:val="32"/>
          <w:szCs w:val="32"/>
          <w:highlight w:val="none"/>
          <w14:textFill>
            <w14:solidFill>
              <w14:schemeClr w14:val="tx1"/>
            </w14:solidFill>
          </w14:textFill>
        </w:rPr>
      </w:pPr>
      <w:r>
        <w:rPr>
          <w:rFonts w:hint="default" w:ascii="Times New Roman" w:hAnsi="Times New Roman" w:eastAsia="方正楷体_GBK" w:cs="Times New Roman"/>
          <w:color w:val="000000" w:themeColor="text1"/>
          <w:sz w:val="32"/>
          <w:szCs w:val="32"/>
          <w:highlight w:val="none"/>
          <w:lang w:eastAsia="zh-CN"/>
          <w14:textFill>
            <w14:solidFill>
              <w14:schemeClr w14:val="tx1"/>
            </w14:solidFill>
          </w14:textFill>
        </w:rPr>
        <w:t>（一）</w:t>
      </w:r>
      <w:r>
        <w:rPr>
          <w:rFonts w:hint="default" w:ascii="Times New Roman" w:hAnsi="Times New Roman" w:eastAsia="方正楷体_GBK" w:cs="Times New Roman"/>
          <w:color w:val="000000" w:themeColor="text1"/>
          <w:sz w:val="32"/>
          <w:szCs w:val="32"/>
          <w:highlight w:val="none"/>
          <w14:textFill>
            <w14:solidFill>
              <w14:schemeClr w14:val="tx1"/>
            </w14:solidFill>
          </w14:textFill>
        </w:rPr>
        <w:t>公共收益</w:t>
      </w:r>
      <w:r>
        <w:rPr>
          <w:rFonts w:hint="default" w:ascii="Times New Roman" w:hAnsi="Times New Roman" w:eastAsia="方正楷体_GBK" w:cs="Times New Roman"/>
          <w:color w:val="000000" w:themeColor="text1"/>
          <w:sz w:val="32"/>
          <w:szCs w:val="32"/>
          <w:highlight w:val="none"/>
          <w:lang w:eastAsia="zh-CN"/>
          <w14:textFill>
            <w14:solidFill>
              <w14:schemeClr w14:val="tx1"/>
            </w14:solidFill>
          </w14:textFill>
        </w:rPr>
        <w:t>的来源</w:t>
      </w:r>
    </w:p>
    <w:p>
      <w:pPr>
        <w:keepNext w:val="0"/>
        <w:keepLines w:val="0"/>
        <w:pageBreakBefore w:val="0"/>
        <w:widowControl w:val="0"/>
        <w:kinsoku/>
        <w:wordWrap/>
        <w:overflowPunct w:val="0"/>
        <w:topLinePunct/>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color w:val="000000" w:themeColor="text1"/>
          <w:kern w:val="2"/>
          <w:sz w:val="32"/>
          <w:szCs w:val="24"/>
          <w:highlight w:val="none"/>
          <w:lang w:val="en-US" w:eastAsia="zh-CN" w:bidi="ar-SA"/>
          <w14:textFill>
            <w14:solidFill>
              <w14:schemeClr w14:val="tx1"/>
            </w14:solidFill>
          </w14:textFill>
        </w:rPr>
      </w:pPr>
      <w:r>
        <w:rPr>
          <w:rFonts w:hint="default" w:ascii="Times New Roman" w:hAnsi="Times New Roman" w:eastAsia="方正仿宋_GBK" w:cs="Times New Roman"/>
          <w:color w:val="000000" w:themeColor="text1"/>
          <w:kern w:val="2"/>
          <w:sz w:val="32"/>
          <w:szCs w:val="24"/>
          <w:highlight w:val="none"/>
          <w:lang w:val="en-US" w:eastAsia="zh-CN" w:bidi="ar-SA"/>
          <w14:textFill>
            <w14:solidFill>
              <w14:schemeClr w14:val="tx1"/>
            </w14:solidFill>
          </w14:textFill>
        </w:rPr>
        <w:t>物业管理区域公共收益，是指利用物业共有部位、共有设施设备经营所得收入扣除管理服务费用后的收益，主要包括公共场地的租赁经营收益、公共区域的广告收益、公共区域设立摊位的租金收益以及其他收益。</w:t>
      </w:r>
    </w:p>
    <w:p>
      <w:pPr>
        <w:keepNext w:val="0"/>
        <w:keepLines w:val="0"/>
        <w:pageBreakBefore w:val="0"/>
        <w:widowControl w:val="0"/>
        <w:kinsoku/>
        <w:wordWrap/>
        <w:overflowPunct w:val="0"/>
        <w:topLinePunct/>
        <w:autoSpaceDE/>
        <w:autoSpaceDN/>
        <w:bidi w:val="0"/>
        <w:adjustRightInd/>
        <w:snapToGrid/>
        <w:spacing w:line="560" w:lineRule="exact"/>
        <w:ind w:left="0" w:leftChars="0" w:firstLine="640" w:firstLineChars="200"/>
        <w:jc w:val="both"/>
        <w:textAlignment w:val="auto"/>
        <w:rPr>
          <w:rFonts w:hint="default" w:ascii="Times New Roman" w:hAnsi="Times New Roman" w:cs="Times New Roman"/>
          <w:color w:val="000000" w:themeColor="text1"/>
          <w:szCs w:val="32"/>
          <w:highlight w:val="none"/>
          <w:lang w:eastAsia="zh-CN"/>
          <w14:textFill>
            <w14:solidFill>
              <w14:schemeClr w14:val="tx1"/>
            </w14:solidFill>
          </w14:textFill>
        </w:rPr>
      </w:pPr>
      <w:r>
        <w:rPr>
          <w:rFonts w:hint="default" w:ascii="Times New Roman" w:hAnsi="Times New Roman" w:eastAsia="方正仿宋_GBK" w:cs="Times New Roman"/>
          <w:color w:val="000000" w:themeColor="text1"/>
          <w:kern w:val="2"/>
          <w:sz w:val="32"/>
          <w:szCs w:val="24"/>
          <w:highlight w:val="none"/>
          <w:lang w:val="en-US" w:eastAsia="zh-CN" w:bidi="ar-SA"/>
          <w14:textFill>
            <w14:solidFill>
              <w14:schemeClr w14:val="tx1"/>
            </w14:solidFill>
          </w14:textFill>
        </w:rPr>
        <w:t>《物业服务合同》《议事规则》《管理规约》等对管理服务费有约定的，管理服务费按照约定扣除；未有明确约定的，管理服务费用不得超过所得收入的百分之三十。</w:t>
      </w:r>
    </w:p>
    <w:p>
      <w:pPr>
        <w:keepNext w:val="0"/>
        <w:keepLines w:val="0"/>
        <w:pageBreakBefore w:val="0"/>
        <w:widowControl w:val="0"/>
        <w:kinsoku/>
        <w:wordWrap/>
        <w:overflowPunct w:val="0"/>
        <w:topLinePunct/>
        <w:autoSpaceDE/>
        <w:autoSpaceDN/>
        <w:bidi w:val="0"/>
        <w:adjustRightInd/>
        <w:snapToGrid/>
        <w:spacing w:line="560" w:lineRule="exact"/>
        <w:ind w:left="0" w:leftChars="0" w:firstLine="640" w:firstLineChars="200"/>
        <w:jc w:val="both"/>
        <w:textAlignment w:val="auto"/>
        <w:rPr>
          <w:rFonts w:hint="default" w:ascii="Times New Roman" w:hAnsi="Times New Roman" w:eastAsia="方正楷体_GBK" w:cs="Times New Roman"/>
          <w:color w:val="000000" w:themeColor="text1"/>
          <w:sz w:val="32"/>
          <w:szCs w:val="32"/>
          <w:highlight w:val="none"/>
          <w:lang w:eastAsia="zh-CN"/>
          <w14:textFill>
            <w14:solidFill>
              <w14:schemeClr w14:val="tx1"/>
            </w14:solidFill>
          </w14:textFill>
        </w:rPr>
      </w:pPr>
      <w:r>
        <w:rPr>
          <w:rFonts w:hint="default" w:ascii="Times New Roman" w:hAnsi="Times New Roman" w:eastAsia="方正楷体_GBK" w:cs="Times New Roman"/>
          <w:color w:val="000000" w:themeColor="text1"/>
          <w:sz w:val="32"/>
          <w:szCs w:val="32"/>
          <w:highlight w:val="none"/>
          <w:lang w:eastAsia="zh-CN"/>
          <w14:textFill>
            <w14:solidFill>
              <w14:schemeClr w14:val="tx1"/>
            </w14:solidFill>
          </w14:textFill>
        </w:rPr>
        <w:t>（二）</w:t>
      </w:r>
      <w:r>
        <w:rPr>
          <w:rFonts w:hint="default" w:ascii="Times New Roman" w:hAnsi="Times New Roman" w:eastAsia="方正楷体_GBK" w:cs="Times New Roman"/>
          <w:color w:val="000000" w:themeColor="text1"/>
          <w:sz w:val="32"/>
          <w:szCs w:val="32"/>
          <w:highlight w:val="none"/>
          <w14:textFill>
            <w14:solidFill>
              <w14:schemeClr w14:val="tx1"/>
            </w14:solidFill>
          </w14:textFill>
        </w:rPr>
        <w:t>公共收益</w:t>
      </w:r>
      <w:r>
        <w:rPr>
          <w:rFonts w:hint="default" w:ascii="Times New Roman" w:hAnsi="Times New Roman" w:eastAsia="方正楷体_GBK" w:cs="Times New Roman"/>
          <w:color w:val="000000" w:themeColor="text1"/>
          <w:sz w:val="32"/>
          <w:szCs w:val="32"/>
          <w:highlight w:val="none"/>
          <w:lang w:eastAsia="zh-CN"/>
          <w14:textFill>
            <w14:solidFill>
              <w14:schemeClr w14:val="tx1"/>
            </w14:solidFill>
          </w14:textFill>
        </w:rPr>
        <w:t>的权属</w:t>
      </w:r>
    </w:p>
    <w:p>
      <w:pPr>
        <w:keepNext w:val="0"/>
        <w:keepLines w:val="0"/>
        <w:pageBreakBefore w:val="0"/>
        <w:widowControl w:val="0"/>
        <w:kinsoku/>
        <w:wordWrap/>
        <w:overflowPunct w:val="0"/>
        <w:topLinePunct/>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color w:val="000000" w:themeColor="text1"/>
          <w:kern w:val="2"/>
          <w:sz w:val="32"/>
          <w:szCs w:val="24"/>
          <w:highlight w:val="none"/>
          <w:lang w:val="en-US" w:eastAsia="zh-CN" w:bidi="ar-SA"/>
          <w14:textFill>
            <w14:solidFill>
              <w14:schemeClr w14:val="tx1"/>
            </w14:solidFill>
          </w14:textFill>
        </w:rPr>
      </w:pPr>
      <w:r>
        <w:rPr>
          <w:rFonts w:hint="default" w:ascii="Times New Roman" w:hAnsi="Times New Roman" w:eastAsia="方正仿宋_GBK" w:cs="Times New Roman"/>
          <w:color w:val="000000" w:themeColor="text1"/>
          <w:kern w:val="2"/>
          <w:sz w:val="32"/>
          <w:szCs w:val="24"/>
          <w:highlight w:val="none"/>
          <w:lang w:val="en-US" w:eastAsia="zh-CN" w:bidi="ar-SA"/>
          <w14:textFill>
            <w14:solidFill>
              <w14:schemeClr w14:val="tx1"/>
            </w14:solidFill>
          </w14:textFill>
        </w:rPr>
        <w:t>公共收益属业主共有，由业主大会决定公共收益的管理、使用和分配。业主对公共收益的管理和使用情况享有知情权和监督权。</w:t>
      </w:r>
    </w:p>
    <w:p>
      <w:pPr>
        <w:keepNext w:val="0"/>
        <w:keepLines w:val="0"/>
        <w:pageBreakBefore w:val="0"/>
        <w:widowControl w:val="0"/>
        <w:numPr>
          <w:ilvl w:val="0"/>
          <w:numId w:val="0"/>
        </w:numPr>
        <w:kinsoku/>
        <w:wordWrap/>
        <w:overflowPunct w:val="0"/>
        <w:topLinePunct/>
        <w:autoSpaceDE/>
        <w:autoSpaceDN/>
        <w:bidi w:val="0"/>
        <w:adjustRightInd/>
        <w:snapToGrid/>
        <w:spacing w:line="560" w:lineRule="exact"/>
        <w:ind w:left="0" w:leftChars="0" w:firstLine="640" w:firstLineChars="200"/>
        <w:jc w:val="both"/>
        <w:textAlignment w:val="auto"/>
        <w:rPr>
          <w:rFonts w:hint="default" w:ascii="Times New Roman" w:hAnsi="Times New Roman" w:eastAsia="方正黑体_GBK" w:cs="Times New Roman"/>
          <w:color w:val="000000" w:themeColor="text1"/>
          <w:szCs w:val="32"/>
          <w:highlight w:val="none"/>
          <w:lang w:eastAsia="zh-CN"/>
          <w14:textFill>
            <w14:solidFill>
              <w14:schemeClr w14:val="tx1"/>
            </w14:solidFill>
          </w14:textFill>
        </w:rPr>
      </w:pPr>
      <w:r>
        <w:rPr>
          <w:rFonts w:hint="default" w:ascii="Times New Roman" w:hAnsi="Times New Roman" w:eastAsia="方正黑体_GBK" w:cs="Times New Roman"/>
          <w:color w:val="000000" w:themeColor="text1"/>
          <w:szCs w:val="32"/>
          <w:highlight w:val="none"/>
          <w:lang w:eastAsia="zh-CN"/>
          <w14:textFill>
            <w14:solidFill>
              <w14:schemeClr w14:val="tx1"/>
            </w14:solidFill>
          </w14:textFill>
        </w:rPr>
        <w:t>二、账户管理</w:t>
      </w:r>
    </w:p>
    <w:p>
      <w:pPr>
        <w:keepNext w:val="0"/>
        <w:keepLines w:val="0"/>
        <w:pageBreakBefore w:val="0"/>
        <w:widowControl w:val="0"/>
        <w:kinsoku/>
        <w:wordWrap/>
        <w:overflowPunct w:val="0"/>
        <w:topLinePunct/>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color w:val="000000" w:themeColor="text1"/>
          <w:kern w:val="2"/>
          <w:sz w:val="32"/>
          <w:szCs w:val="24"/>
          <w:highlight w:val="none"/>
          <w:lang w:val="en-US" w:eastAsia="zh-CN" w:bidi="ar-SA"/>
          <w14:textFill>
            <w14:solidFill>
              <w14:schemeClr w14:val="tx1"/>
            </w14:solidFill>
          </w14:textFill>
        </w:rPr>
      </w:pPr>
      <w:r>
        <w:rPr>
          <w:rFonts w:hint="default" w:ascii="Times New Roman" w:hAnsi="Times New Roman" w:eastAsia="方正仿宋_GBK" w:cs="Times New Roman"/>
          <w:color w:val="000000" w:themeColor="text1"/>
          <w:kern w:val="2"/>
          <w:sz w:val="32"/>
          <w:szCs w:val="24"/>
          <w:highlight w:val="none"/>
          <w:lang w:val="en-US" w:eastAsia="zh-CN" w:bidi="ar-SA"/>
          <w14:textFill>
            <w14:solidFill>
              <w14:schemeClr w14:val="tx1"/>
            </w14:solidFill>
          </w14:textFill>
        </w:rPr>
        <w:t>业主大会成立前，由物业服务企业管理公共收益的，物业企业应以住宅小区为单位</w:t>
      </w:r>
      <w:r>
        <w:rPr>
          <w:rFonts w:hint="default" w:ascii="Times New Roman" w:hAnsi="Times New Roman" w:cs="Times New Roman"/>
          <w:color w:val="000000" w:themeColor="text1"/>
          <w:kern w:val="2"/>
          <w:sz w:val="32"/>
          <w:szCs w:val="24"/>
          <w:highlight w:val="none"/>
          <w:lang w:val="en-US" w:eastAsia="zh-CN" w:bidi="ar-SA"/>
          <w14:textFill>
            <w14:solidFill>
              <w14:schemeClr w14:val="tx1"/>
            </w14:solidFill>
          </w14:textFill>
        </w:rPr>
        <w:t>在就近银行</w:t>
      </w:r>
      <w:r>
        <w:rPr>
          <w:rFonts w:hint="default" w:ascii="Times New Roman" w:hAnsi="Times New Roman" w:eastAsia="方正仿宋_GBK" w:cs="Times New Roman"/>
          <w:color w:val="000000" w:themeColor="text1"/>
          <w:kern w:val="2"/>
          <w:sz w:val="32"/>
          <w:szCs w:val="24"/>
          <w:highlight w:val="none"/>
          <w:lang w:val="en-US" w:eastAsia="zh-CN" w:bidi="ar-SA"/>
          <w14:textFill>
            <w14:solidFill>
              <w14:schemeClr w14:val="tx1"/>
            </w14:solidFill>
          </w14:textFill>
        </w:rPr>
        <w:t>单独开设公共收益账户，不得与物业企业其他收支合用一个账户，账户名称为“XX公司XX小区公共收益专户”。</w:t>
      </w:r>
      <w:r>
        <w:rPr>
          <w:rFonts w:hint="default" w:ascii="Times New Roman" w:hAnsi="Times New Roman" w:cs="Times New Roman"/>
          <w:strike w:val="0"/>
          <w:dstrike w:val="0"/>
          <w:color w:val="000000" w:themeColor="text1"/>
          <w:kern w:val="2"/>
          <w:sz w:val="32"/>
          <w:szCs w:val="24"/>
          <w:highlight w:val="none"/>
          <w:lang w:val="en-US" w:eastAsia="zh-CN" w:bidi="ar-SA"/>
          <w14:textFill>
            <w14:solidFill>
              <w14:schemeClr w14:val="tx1"/>
            </w14:solidFill>
          </w14:textFill>
        </w:rPr>
        <w:t>小区公共收益专户</w:t>
      </w:r>
      <w:r>
        <w:rPr>
          <w:rFonts w:hint="default" w:ascii="Times New Roman" w:hAnsi="Times New Roman" w:eastAsia="方正仿宋_GBK" w:cs="Times New Roman"/>
          <w:color w:val="000000" w:themeColor="text1"/>
          <w:kern w:val="2"/>
          <w:sz w:val="32"/>
          <w:szCs w:val="24"/>
          <w:highlight w:val="none"/>
          <w:lang w:val="en-US" w:eastAsia="zh-CN" w:bidi="ar-SA"/>
          <w14:textFill>
            <w14:solidFill>
              <w14:schemeClr w14:val="tx1"/>
            </w14:solidFill>
          </w14:textFill>
        </w:rPr>
        <w:t>项目账户实行物业服务企业、社区、银行三方共管，签订协议规范管理。</w:t>
      </w:r>
      <w:r>
        <w:rPr>
          <w:rFonts w:hint="default" w:ascii="Times New Roman" w:hAnsi="Times New Roman" w:cs="Times New Roman"/>
          <w:color w:val="000000" w:themeColor="text1"/>
          <w:kern w:val="2"/>
          <w:sz w:val="32"/>
          <w:szCs w:val="24"/>
          <w:highlight w:val="none"/>
          <w:lang w:val="en-US" w:eastAsia="zh-CN" w:bidi="ar-SA"/>
          <w14:textFill>
            <w14:solidFill>
              <w14:schemeClr w14:val="tx1"/>
            </w14:solidFill>
          </w14:textFill>
        </w:rPr>
        <w:t>经</w:t>
      </w:r>
      <w:r>
        <w:rPr>
          <w:rFonts w:hint="default" w:ascii="Times New Roman" w:hAnsi="Times New Roman" w:eastAsia="方正仿宋_GBK" w:cs="Times New Roman"/>
          <w:color w:val="000000" w:themeColor="text1"/>
          <w:kern w:val="2"/>
          <w:sz w:val="32"/>
          <w:szCs w:val="24"/>
          <w:highlight w:val="none"/>
          <w:lang w:val="en-US" w:eastAsia="zh-CN" w:bidi="ar-SA"/>
          <w14:textFill>
            <w14:solidFill>
              <w14:schemeClr w14:val="tx1"/>
            </w14:solidFill>
          </w14:textFill>
        </w:rPr>
        <w:t>物业服务企业、社区、银行三方</w:t>
      </w:r>
      <w:r>
        <w:rPr>
          <w:rFonts w:hint="default" w:ascii="Times New Roman" w:hAnsi="Times New Roman" w:cs="Times New Roman"/>
          <w:color w:val="000000" w:themeColor="text1"/>
          <w:kern w:val="2"/>
          <w:sz w:val="32"/>
          <w:szCs w:val="24"/>
          <w:highlight w:val="none"/>
          <w:lang w:val="en-US" w:eastAsia="zh-CN" w:bidi="ar-SA"/>
          <w14:textFill>
            <w14:solidFill>
              <w14:schemeClr w14:val="tx1"/>
            </w14:solidFill>
          </w14:textFill>
        </w:rPr>
        <w:t>协商无法达成共管协议的，由区物业专项维修资金管理中心（以下简称区资金中心）代管。</w:t>
      </w:r>
    </w:p>
    <w:p>
      <w:pPr>
        <w:keepNext w:val="0"/>
        <w:keepLines w:val="0"/>
        <w:pageBreakBefore w:val="0"/>
        <w:widowControl w:val="0"/>
        <w:kinsoku/>
        <w:wordWrap/>
        <w:overflowPunct w:val="0"/>
        <w:topLinePunct/>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color w:val="000000" w:themeColor="text1"/>
          <w:kern w:val="2"/>
          <w:sz w:val="32"/>
          <w:szCs w:val="24"/>
          <w:highlight w:val="none"/>
          <w:lang w:val="en-US" w:eastAsia="zh-CN" w:bidi="ar-SA"/>
          <w14:textFill>
            <w14:solidFill>
              <w14:schemeClr w14:val="tx1"/>
            </w14:solidFill>
          </w14:textFill>
        </w:rPr>
      </w:pPr>
      <w:r>
        <w:rPr>
          <w:rFonts w:hint="default" w:ascii="Times New Roman" w:hAnsi="Times New Roman" w:eastAsia="方正仿宋_GBK" w:cs="Times New Roman"/>
          <w:color w:val="000000" w:themeColor="text1"/>
          <w:kern w:val="2"/>
          <w:sz w:val="32"/>
          <w:szCs w:val="24"/>
          <w:highlight w:val="none"/>
          <w:lang w:val="en-US" w:eastAsia="zh-CN" w:bidi="ar-SA"/>
          <w14:textFill>
            <w14:solidFill>
              <w14:schemeClr w14:val="tx1"/>
            </w14:solidFill>
          </w14:textFill>
        </w:rPr>
        <w:t>业主大会决定公共收益由业主委员会自行管理的，应以业主委员会为主体选择</w:t>
      </w:r>
      <w:r>
        <w:rPr>
          <w:rFonts w:hint="default" w:ascii="Times New Roman" w:hAnsi="Times New Roman" w:cs="Times New Roman"/>
          <w:color w:val="000000" w:themeColor="text1"/>
          <w:kern w:val="2"/>
          <w:sz w:val="32"/>
          <w:szCs w:val="24"/>
          <w:highlight w:val="none"/>
          <w:lang w:val="en-US" w:eastAsia="zh-CN" w:bidi="ar-SA"/>
          <w14:textFill>
            <w14:solidFill>
              <w14:schemeClr w14:val="tx1"/>
            </w14:solidFill>
          </w14:textFill>
        </w:rPr>
        <w:t>就近</w:t>
      </w:r>
      <w:r>
        <w:rPr>
          <w:rFonts w:hint="default" w:ascii="Times New Roman" w:hAnsi="Times New Roman" w:eastAsia="方正仿宋_GBK" w:cs="Times New Roman"/>
          <w:color w:val="000000" w:themeColor="text1"/>
          <w:kern w:val="2"/>
          <w:sz w:val="32"/>
          <w:szCs w:val="24"/>
          <w:highlight w:val="none"/>
          <w:lang w:val="en-US" w:eastAsia="zh-CN" w:bidi="ar-SA"/>
          <w14:textFill>
            <w14:solidFill>
              <w14:schemeClr w14:val="tx1"/>
            </w14:solidFill>
          </w14:textFill>
        </w:rPr>
        <w:t>银行开设公共收益专户, 实行专款专用，业主委员会不得以任何个人或其他组织名义开设账户用于公共收益的存放。业主大会决定由业主委员会管理公共收益的，物业服务企业应当向业主委员会移交公共收益账户、结余资金及其经营收支账目等，不得以业主欠交物业服务费、水电公摊费等为由拒绝移交。业主委员会可委托有资质的第三方审计机构</w:t>
      </w:r>
      <w:r>
        <w:rPr>
          <w:rFonts w:hint="default" w:ascii="Times New Roman" w:hAnsi="Times New Roman" w:cs="Times New Roman"/>
          <w:color w:val="000000" w:themeColor="text1"/>
          <w:kern w:val="2"/>
          <w:sz w:val="32"/>
          <w:szCs w:val="24"/>
          <w:highlight w:val="none"/>
          <w:lang w:val="en-US" w:eastAsia="zh-CN" w:bidi="ar-SA"/>
          <w14:textFill>
            <w14:solidFill>
              <w14:schemeClr w14:val="tx1"/>
            </w14:solidFill>
          </w14:textFill>
        </w:rPr>
        <w:t>对移交的公共收益账户</w:t>
      </w:r>
      <w:r>
        <w:rPr>
          <w:rFonts w:hint="default" w:ascii="Times New Roman" w:hAnsi="Times New Roman" w:eastAsia="方正仿宋_GBK" w:cs="Times New Roman"/>
          <w:color w:val="000000" w:themeColor="text1"/>
          <w:kern w:val="2"/>
          <w:sz w:val="32"/>
          <w:szCs w:val="24"/>
          <w:highlight w:val="none"/>
          <w:lang w:val="en-US" w:eastAsia="zh-CN" w:bidi="ar-SA"/>
          <w14:textFill>
            <w14:solidFill>
              <w14:schemeClr w14:val="tx1"/>
            </w14:solidFill>
          </w14:textFill>
        </w:rPr>
        <w:t>进行审计。</w:t>
      </w:r>
    </w:p>
    <w:p>
      <w:pPr>
        <w:keepNext w:val="0"/>
        <w:keepLines w:val="0"/>
        <w:pageBreakBefore w:val="0"/>
        <w:widowControl w:val="0"/>
        <w:kinsoku/>
        <w:wordWrap/>
        <w:overflowPunct w:val="0"/>
        <w:topLinePunct/>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color w:val="000000" w:themeColor="text1"/>
          <w:kern w:val="2"/>
          <w:sz w:val="32"/>
          <w:szCs w:val="24"/>
          <w:highlight w:val="none"/>
          <w:lang w:val="en-US" w:eastAsia="zh-CN" w:bidi="ar-SA"/>
          <w14:textFill>
            <w14:solidFill>
              <w14:schemeClr w14:val="tx1"/>
            </w14:solidFill>
          </w14:textFill>
        </w:rPr>
      </w:pPr>
      <w:r>
        <w:rPr>
          <w:rFonts w:hint="default" w:ascii="Times New Roman" w:hAnsi="Times New Roman" w:eastAsia="方正仿宋_GBK" w:cs="Times New Roman"/>
          <w:color w:val="000000" w:themeColor="text1"/>
          <w:kern w:val="2"/>
          <w:sz w:val="32"/>
          <w:szCs w:val="24"/>
          <w:highlight w:val="none"/>
          <w:lang w:val="en-US" w:eastAsia="zh-CN" w:bidi="ar-SA"/>
          <w14:textFill>
            <w14:solidFill>
              <w14:schemeClr w14:val="tx1"/>
            </w14:solidFill>
          </w14:textFill>
        </w:rPr>
        <w:t>物业服务企业退场未能确定新的物业服务企业</w:t>
      </w:r>
      <w:r>
        <w:rPr>
          <w:rFonts w:hint="default" w:ascii="Times New Roman" w:hAnsi="Times New Roman" w:cs="Times New Roman"/>
          <w:color w:val="000000" w:themeColor="text1"/>
          <w:kern w:val="2"/>
          <w:sz w:val="32"/>
          <w:szCs w:val="24"/>
          <w:highlight w:val="none"/>
          <w:lang w:val="en-US" w:eastAsia="zh-CN" w:bidi="ar-SA"/>
          <w14:textFill>
            <w14:solidFill>
              <w14:schemeClr w14:val="tx1"/>
            </w14:solidFill>
          </w14:textFill>
        </w:rPr>
        <w:t>的，</w:t>
      </w:r>
      <w:r>
        <w:rPr>
          <w:rFonts w:hint="default" w:ascii="Times New Roman" w:hAnsi="Times New Roman" w:eastAsia="方正仿宋_GBK" w:cs="Times New Roman"/>
          <w:color w:val="000000" w:themeColor="text1"/>
          <w:kern w:val="2"/>
          <w:sz w:val="32"/>
          <w:szCs w:val="24"/>
          <w:highlight w:val="none"/>
          <w:lang w:val="en-US" w:eastAsia="zh-CN" w:bidi="ar-SA"/>
          <w14:textFill>
            <w14:solidFill>
              <w14:schemeClr w14:val="tx1"/>
            </w14:solidFill>
          </w14:textFill>
        </w:rPr>
        <w:t>业主委员会中止解散未能产生新的业主委员会</w:t>
      </w:r>
      <w:r>
        <w:rPr>
          <w:rFonts w:hint="default" w:ascii="Times New Roman" w:hAnsi="Times New Roman" w:cs="Times New Roman"/>
          <w:color w:val="000000" w:themeColor="text1"/>
          <w:kern w:val="2"/>
          <w:sz w:val="32"/>
          <w:szCs w:val="24"/>
          <w:highlight w:val="none"/>
          <w:lang w:val="en-US" w:eastAsia="zh-CN" w:bidi="ar-SA"/>
          <w14:textFill>
            <w14:solidFill>
              <w14:schemeClr w14:val="tx1"/>
            </w14:solidFill>
          </w14:textFill>
        </w:rPr>
        <w:t>、</w:t>
      </w:r>
      <w:r>
        <w:rPr>
          <w:rFonts w:hint="default" w:ascii="Times New Roman" w:hAnsi="Times New Roman" w:eastAsia="方正仿宋_GBK" w:cs="Times New Roman"/>
          <w:color w:val="000000" w:themeColor="text1"/>
          <w:kern w:val="2"/>
          <w:sz w:val="32"/>
          <w:szCs w:val="24"/>
          <w:highlight w:val="none"/>
          <w:lang w:val="en-US" w:eastAsia="zh-CN" w:bidi="ar-SA"/>
          <w14:textFill>
            <w14:solidFill>
              <w14:schemeClr w14:val="tx1"/>
            </w14:solidFill>
          </w14:textFill>
        </w:rPr>
        <w:t>业主大会未能确定公共收益管理主体的，物业服务企业和业主委员会在街道办事处的指导监督下做好公共收益的清算</w:t>
      </w:r>
      <w:r>
        <w:rPr>
          <w:rFonts w:hint="default" w:ascii="Times New Roman" w:hAnsi="Times New Roman" w:cs="Times New Roman"/>
          <w:color w:val="000000" w:themeColor="text1"/>
          <w:kern w:val="2"/>
          <w:sz w:val="32"/>
          <w:szCs w:val="24"/>
          <w:highlight w:val="none"/>
          <w:lang w:val="en-US" w:eastAsia="zh-CN" w:bidi="ar-SA"/>
          <w14:textFill>
            <w14:solidFill>
              <w14:schemeClr w14:val="tx1"/>
            </w14:solidFill>
          </w14:textFill>
        </w:rPr>
        <w:t>、公示，</w:t>
      </w:r>
      <w:r>
        <w:rPr>
          <w:rFonts w:hint="default" w:ascii="Times New Roman" w:hAnsi="Times New Roman" w:eastAsia="方正仿宋_GBK" w:cs="Times New Roman"/>
          <w:color w:val="000000" w:themeColor="text1"/>
          <w:kern w:val="2"/>
          <w:sz w:val="32"/>
          <w:szCs w:val="24"/>
          <w:highlight w:val="none"/>
          <w:lang w:val="en-US" w:eastAsia="zh-CN" w:bidi="ar-SA"/>
          <w14:textFill>
            <w14:solidFill>
              <w14:schemeClr w14:val="tx1"/>
            </w14:solidFill>
          </w14:textFill>
        </w:rPr>
        <w:t>并将公共收益账面余额一次性划转至区</w:t>
      </w:r>
      <w:r>
        <w:rPr>
          <w:rFonts w:hint="default" w:ascii="Times New Roman" w:hAnsi="Times New Roman" w:cs="Times New Roman"/>
          <w:color w:val="000000" w:themeColor="text1"/>
          <w:kern w:val="2"/>
          <w:sz w:val="32"/>
          <w:szCs w:val="24"/>
          <w:highlight w:val="none"/>
          <w:lang w:val="en-US" w:eastAsia="zh-CN" w:bidi="ar-SA"/>
          <w14:textFill>
            <w14:solidFill>
              <w14:schemeClr w14:val="tx1"/>
            </w14:solidFill>
          </w14:textFill>
        </w:rPr>
        <w:t>资金中心代管</w:t>
      </w:r>
      <w:r>
        <w:rPr>
          <w:rFonts w:hint="default" w:ascii="Times New Roman" w:hAnsi="Times New Roman" w:eastAsia="方正仿宋_GBK" w:cs="Times New Roman"/>
          <w:color w:val="000000" w:themeColor="text1"/>
          <w:kern w:val="2"/>
          <w:sz w:val="32"/>
          <w:szCs w:val="24"/>
          <w:highlight w:val="none"/>
          <w:lang w:val="en-US" w:eastAsia="zh-CN" w:bidi="ar-SA"/>
          <w14:textFill>
            <w14:solidFill>
              <w14:schemeClr w14:val="tx1"/>
            </w14:solidFill>
          </w14:textFill>
        </w:rPr>
        <w:t>。</w:t>
      </w:r>
    </w:p>
    <w:p>
      <w:pPr>
        <w:keepNext w:val="0"/>
        <w:keepLines w:val="0"/>
        <w:pageBreakBefore w:val="0"/>
        <w:widowControl w:val="0"/>
        <w:numPr>
          <w:ilvl w:val="0"/>
          <w:numId w:val="0"/>
        </w:numPr>
        <w:kinsoku/>
        <w:wordWrap/>
        <w:overflowPunct w:val="0"/>
        <w:topLinePunct/>
        <w:autoSpaceDE/>
        <w:autoSpaceDN/>
        <w:bidi w:val="0"/>
        <w:adjustRightInd/>
        <w:snapToGrid/>
        <w:spacing w:line="560" w:lineRule="exact"/>
        <w:ind w:left="0" w:leftChars="0" w:firstLine="640" w:firstLineChars="200"/>
        <w:jc w:val="both"/>
        <w:textAlignment w:val="auto"/>
        <w:rPr>
          <w:rFonts w:hint="default" w:ascii="Times New Roman" w:hAnsi="Times New Roman" w:eastAsia="方正黑体_GBK" w:cs="Times New Roman"/>
          <w:color w:val="000000" w:themeColor="text1"/>
          <w:szCs w:val="32"/>
          <w:highlight w:val="none"/>
          <w:lang w:eastAsia="zh-CN"/>
          <w14:textFill>
            <w14:solidFill>
              <w14:schemeClr w14:val="tx1"/>
            </w14:solidFill>
          </w14:textFill>
        </w:rPr>
      </w:pPr>
      <w:r>
        <w:rPr>
          <w:rFonts w:hint="default" w:ascii="Times New Roman" w:hAnsi="Times New Roman" w:eastAsia="方正黑体_GBK" w:cs="Times New Roman"/>
          <w:color w:val="000000" w:themeColor="text1"/>
          <w:szCs w:val="32"/>
          <w:highlight w:val="none"/>
          <w:lang w:eastAsia="zh-CN"/>
          <w14:textFill>
            <w14:solidFill>
              <w14:schemeClr w14:val="tx1"/>
            </w14:solidFill>
          </w14:textFill>
        </w:rPr>
        <w:t>三、使用管理</w:t>
      </w:r>
    </w:p>
    <w:p>
      <w:pPr>
        <w:keepNext w:val="0"/>
        <w:keepLines w:val="0"/>
        <w:pageBreakBefore w:val="0"/>
        <w:widowControl w:val="0"/>
        <w:numPr>
          <w:ilvl w:val="0"/>
          <w:numId w:val="0"/>
        </w:numPr>
        <w:kinsoku/>
        <w:wordWrap/>
        <w:overflowPunct w:val="0"/>
        <w:topLinePunct/>
        <w:autoSpaceDE/>
        <w:autoSpaceDN/>
        <w:bidi w:val="0"/>
        <w:adjustRightInd/>
        <w:snapToGrid/>
        <w:spacing w:line="560" w:lineRule="exact"/>
        <w:ind w:left="0" w:leftChars="0" w:firstLine="640" w:firstLineChars="200"/>
        <w:jc w:val="both"/>
        <w:textAlignment w:val="auto"/>
        <w:rPr>
          <w:rFonts w:hint="default" w:ascii="Times New Roman" w:hAnsi="Times New Roman" w:eastAsia="方正楷体_GBK"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方正楷体_GBK" w:cs="Times New Roman"/>
          <w:color w:val="000000" w:themeColor="text1"/>
          <w:sz w:val="32"/>
          <w:szCs w:val="32"/>
          <w:highlight w:val="none"/>
          <w:lang w:val="en-US" w:eastAsia="zh-CN"/>
          <w14:textFill>
            <w14:solidFill>
              <w14:schemeClr w14:val="tx1"/>
            </w14:solidFill>
          </w14:textFill>
        </w:rPr>
        <w:t>（一）使用范围</w:t>
      </w:r>
    </w:p>
    <w:p>
      <w:pPr>
        <w:keepNext w:val="0"/>
        <w:keepLines w:val="0"/>
        <w:pageBreakBefore w:val="0"/>
        <w:widowControl w:val="0"/>
        <w:kinsoku/>
        <w:wordWrap/>
        <w:overflowPunct w:val="0"/>
        <w:topLinePunct/>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color w:val="000000" w:themeColor="text1"/>
          <w:kern w:val="2"/>
          <w:sz w:val="32"/>
          <w:szCs w:val="24"/>
          <w:highlight w:val="none"/>
          <w:lang w:val="en-US" w:eastAsia="zh-CN" w:bidi="ar-SA"/>
          <w14:textFill>
            <w14:solidFill>
              <w14:schemeClr w14:val="tx1"/>
            </w14:solidFill>
          </w14:textFill>
        </w:rPr>
      </w:pPr>
      <w:r>
        <w:rPr>
          <w:rFonts w:hint="default" w:ascii="Times New Roman" w:hAnsi="Times New Roman" w:eastAsia="方正仿宋_GBK" w:cs="Times New Roman"/>
          <w:color w:val="000000" w:themeColor="text1"/>
          <w:kern w:val="2"/>
          <w:sz w:val="32"/>
          <w:szCs w:val="24"/>
          <w:highlight w:val="none"/>
          <w:lang w:val="en-US" w:eastAsia="zh-CN" w:bidi="ar-SA"/>
          <w14:textFill>
            <w14:solidFill>
              <w14:schemeClr w14:val="tx1"/>
            </w14:solidFill>
          </w14:textFill>
        </w:rPr>
        <w:t>公共收益主要用于补充物业专项维修资金，也可以按照业主大会的决定使用。</w:t>
      </w:r>
      <w:r>
        <w:rPr>
          <w:rFonts w:hint="default" w:ascii="Times New Roman" w:hAnsi="Times New Roman" w:cs="Times New Roman"/>
          <w:color w:val="000000" w:themeColor="text1"/>
          <w:kern w:val="2"/>
          <w:sz w:val="32"/>
          <w:szCs w:val="24"/>
          <w:highlight w:val="none"/>
          <w:lang w:val="en-US" w:eastAsia="zh-CN" w:bidi="ar-SA"/>
          <w14:textFill>
            <w14:solidFill>
              <w14:schemeClr w14:val="tx1"/>
            </w14:solidFill>
          </w14:textFill>
        </w:rPr>
        <w:t>首次</w:t>
      </w:r>
      <w:r>
        <w:rPr>
          <w:rFonts w:hint="default" w:ascii="Times New Roman" w:hAnsi="Times New Roman" w:eastAsia="方正仿宋_GBK" w:cs="Times New Roman"/>
          <w:color w:val="000000" w:themeColor="text1"/>
          <w:kern w:val="2"/>
          <w:sz w:val="32"/>
          <w:szCs w:val="24"/>
          <w:highlight w:val="none"/>
          <w:lang w:val="en-US" w:eastAsia="zh-CN" w:bidi="ar-SA"/>
          <w14:textFill>
            <w14:solidFill>
              <w14:schemeClr w14:val="tx1"/>
            </w14:solidFill>
          </w14:textFill>
        </w:rPr>
        <w:t>业主大会</w:t>
      </w:r>
      <w:r>
        <w:rPr>
          <w:rFonts w:hint="default" w:ascii="Times New Roman" w:hAnsi="Times New Roman" w:cs="Times New Roman"/>
          <w:color w:val="000000" w:themeColor="text1"/>
          <w:kern w:val="2"/>
          <w:sz w:val="32"/>
          <w:szCs w:val="24"/>
          <w:highlight w:val="none"/>
          <w:lang w:val="en-US" w:eastAsia="zh-CN" w:bidi="ar-SA"/>
          <w14:textFill>
            <w14:solidFill>
              <w14:schemeClr w14:val="tx1"/>
            </w14:solidFill>
          </w14:textFill>
        </w:rPr>
        <w:t>，应当在</w:t>
      </w:r>
      <w:r>
        <w:rPr>
          <w:rFonts w:hint="default" w:ascii="Times New Roman" w:hAnsi="Times New Roman" w:eastAsia="方正仿宋_GBK" w:cs="Times New Roman"/>
          <w:color w:val="000000" w:themeColor="text1"/>
          <w:kern w:val="2"/>
          <w:sz w:val="32"/>
          <w:szCs w:val="24"/>
          <w:highlight w:val="none"/>
          <w:lang w:val="en-US" w:eastAsia="zh-CN" w:bidi="ar-SA"/>
          <w14:textFill>
            <w14:solidFill>
              <w14:schemeClr w14:val="tx1"/>
            </w14:solidFill>
          </w14:textFill>
        </w:rPr>
        <w:t>议事规则和管理规约</w:t>
      </w:r>
      <w:r>
        <w:rPr>
          <w:rFonts w:hint="default" w:ascii="Times New Roman" w:hAnsi="Times New Roman" w:cs="Times New Roman"/>
          <w:color w:val="000000" w:themeColor="text1"/>
          <w:kern w:val="2"/>
          <w:sz w:val="32"/>
          <w:szCs w:val="24"/>
          <w:highlight w:val="none"/>
          <w:lang w:val="en-US" w:eastAsia="zh-CN" w:bidi="ar-SA"/>
          <w14:textFill>
            <w14:solidFill>
              <w14:schemeClr w14:val="tx1"/>
            </w14:solidFill>
          </w14:textFill>
        </w:rPr>
        <w:t>中</w:t>
      </w:r>
      <w:r>
        <w:rPr>
          <w:rFonts w:hint="default" w:ascii="Times New Roman" w:hAnsi="Times New Roman" w:eastAsia="方正仿宋_GBK" w:cs="Times New Roman"/>
          <w:color w:val="000000" w:themeColor="text1"/>
          <w:kern w:val="2"/>
          <w:sz w:val="32"/>
          <w:szCs w:val="24"/>
          <w:highlight w:val="none"/>
          <w:lang w:val="en-US" w:eastAsia="zh-CN" w:bidi="ar-SA"/>
          <w14:textFill>
            <w14:solidFill>
              <w14:schemeClr w14:val="tx1"/>
            </w14:solidFill>
          </w14:textFill>
        </w:rPr>
        <w:t>明确公共收益范围、账户设立、管理方式、</w:t>
      </w:r>
      <w:r>
        <w:rPr>
          <w:rFonts w:hint="default" w:ascii="Times New Roman" w:hAnsi="Times New Roman" w:cs="Times New Roman"/>
          <w:color w:val="000000" w:themeColor="text1"/>
          <w:kern w:val="2"/>
          <w:sz w:val="32"/>
          <w:szCs w:val="24"/>
          <w:highlight w:val="none"/>
          <w:lang w:val="en-US" w:eastAsia="zh-CN" w:bidi="ar-SA"/>
          <w14:textFill>
            <w14:solidFill>
              <w14:schemeClr w14:val="tx1"/>
            </w14:solidFill>
          </w14:textFill>
        </w:rPr>
        <w:t>支取使用、</w:t>
      </w:r>
      <w:r>
        <w:rPr>
          <w:rFonts w:hint="default" w:ascii="Times New Roman" w:hAnsi="Times New Roman" w:eastAsia="方正仿宋_GBK" w:cs="Times New Roman"/>
          <w:color w:val="000000" w:themeColor="text1"/>
          <w:kern w:val="2"/>
          <w:sz w:val="32"/>
          <w:szCs w:val="24"/>
          <w:highlight w:val="none"/>
          <w:lang w:val="en-US" w:eastAsia="zh-CN" w:bidi="ar-SA"/>
          <w14:textFill>
            <w14:solidFill>
              <w14:schemeClr w14:val="tx1"/>
            </w14:solidFill>
          </w14:textFill>
        </w:rPr>
        <w:t>分配比例、公示公开、财务审计、监督措施等内容。当小区物业专项维修资金余额不足首期应交存金额百分之三十时，公共收益应当首先补足物业专项维修资金</w:t>
      </w:r>
      <w:r>
        <w:rPr>
          <w:rFonts w:hint="default" w:ascii="Times New Roman" w:hAnsi="Times New Roman" w:cs="Times New Roman"/>
          <w:color w:val="000000" w:themeColor="text1"/>
          <w:kern w:val="2"/>
          <w:sz w:val="32"/>
          <w:szCs w:val="24"/>
          <w:highlight w:val="none"/>
          <w:lang w:val="en-US" w:eastAsia="zh-CN" w:bidi="ar-SA"/>
          <w14:textFill>
            <w14:solidFill>
              <w14:schemeClr w14:val="tx1"/>
            </w14:solidFill>
          </w14:textFill>
        </w:rPr>
        <w:t>，</w:t>
      </w:r>
      <w:r>
        <w:rPr>
          <w:rFonts w:hint="default" w:ascii="Times New Roman" w:hAnsi="Times New Roman" w:cs="Times New Roman"/>
          <w:color w:val="000000" w:themeColor="text1"/>
          <w:spacing w:val="11"/>
          <w14:textFill>
            <w14:solidFill>
              <w14:schemeClr w14:val="tx1"/>
            </w14:solidFill>
          </w14:textFill>
        </w:rPr>
        <w:t>补足金额原则上不少于应交存的物业专项维修资金的百分</w:t>
      </w:r>
      <w:r>
        <w:rPr>
          <w:rFonts w:hint="default" w:ascii="Times New Roman" w:hAnsi="Times New Roman" w:cs="Times New Roman"/>
          <w:color w:val="000000" w:themeColor="text1"/>
          <w:spacing w:val="1"/>
          <w14:textFill>
            <w14:solidFill>
              <w14:schemeClr w14:val="tx1"/>
            </w14:solidFill>
          </w14:textFill>
        </w:rPr>
        <w:t>之三十。</w:t>
      </w:r>
    </w:p>
    <w:p>
      <w:pPr>
        <w:keepNext w:val="0"/>
        <w:keepLines w:val="0"/>
        <w:pageBreakBefore w:val="0"/>
        <w:widowControl w:val="0"/>
        <w:kinsoku/>
        <w:wordWrap/>
        <w:overflowPunct w:val="0"/>
        <w:topLinePunct/>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color w:val="000000" w:themeColor="text1"/>
          <w:kern w:val="2"/>
          <w:sz w:val="32"/>
          <w:szCs w:val="24"/>
          <w:highlight w:val="none"/>
          <w:lang w:val="en-US" w:eastAsia="zh-CN" w:bidi="ar-SA"/>
          <w14:textFill>
            <w14:solidFill>
              <w14:schemeClr w14:val="tx1"/>
            </w14:solidFill>
          </w14:textFill>
        </w:rPr>
      </w:pPr>
      <w:r>
        <w:rPr>
          <w:rFonts w:hint="default" w:ascii="Times New Roman" w:hAnsi="Times New Roman" w:eastAsia="方正仿宋_GBK" w:cs="Times New Roman"/>
          <w:color w:val="000000" w:themeColor="text1"/>
          <w:kern w:val="2"/>
          <w:sz w:val="32"/>
          <w:szCs w:val="24"/>
          <w:highlight w:val="none"/>
          <w:lang w:val="en-US" w:eastAsia="zh-CN" w:bidi="ar-SA"/>
          <w14:textFill>
            <w14:solidFill>
              <w14:schemeClr w14:val="tx1"/>
            </w14:solidFill>
          </w14:textFill>
        </w:rPr>
        <w:t>公共收益可用于以下事项：</w:t>
      </w:r>
    </w:p>
    <w:p>
      <w:pPr>
        <w:keepNext w:val="0"/>
        <w:keepLines w:val="0"/>
        <w:pageBreakBefore w:val="0"/>
        <w:widowControl w:val="0"/>
        <w:kinsoku/>
        <w:wordWrap/>
        <w:overflowPunct w:val="0"/>
        <w:topLinePunct/>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color w:val="000000" w:themeColor="text1"/>
          <w:kern w:val="2"/>
          <w:sz w:val="32"/>
          <w:szCs w:val="24"/>
          <w:highlight w:val="none"/>
          <w:lang w:val="en-US" w:eastAsia="zh-CN" w:bidi="ar-SA"/>
          <w14:textFill>
            <w14:solidFill>
              <w14:schemeClr w14:val="tx1"/>
            </w14:solidFill>
          </w14:textFill>
        </w:rPr>
      </w:pPr>
      <w:r>
        <w:rPr>
          <w:rFonts w:hint="default" w:ascii="Times New Roman" w:hAnsi="Times New Roman" w:eastAsia="方正仿宋_GBK" w:cs="Times New Roman"/>
          <w:color w:val="000000" w:themeColor="text1"/>
          <w:kern w:val="2"/>
          <w:sz w:val="32"/>
          <w:szCs w:val="24"/>
          <w:highlight w:val="none"/>
          <w:lang w:val="en-US" w:eastAsia="zh-CN" w:bidi="ar-SA"/>
          <w14:textFill>
            <w14:solidFill>
              <w14:schemeClr w14:val="tx1"/>
            </w14:solidFill>
          </w14:textFill>
        </w:rPr>
        <w:t>1.业主共有部分维修、更新、改造和应急处置、房屋保险和体检费用；</w:t>
      </w:r>
    </w:p>
    <w:p>
      <w:pPr>
        <w:keepNext w:val="0"/>
        <w:keepLines w:val="0"/>
        <w:pageBreakBefore w:val="0"/>
        <w:widowControl w:val="0"/>
        <w:kinsoku/>
        <w:wordWrap/>
        <w:overflowPunct w:val="0"/>
        <w:topLinePunct/>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color w:val="000000" w:themeColor="text1"/>
          <w:kern w:val="2"/>
          <w:sz w:val="32"/>
          <w:szCs w:val="24"/>
          <w:highlight w:val="none"/>
          <w:lang w:val="en-US" w:eastAsia="zh-CN" w:bidi="ar-SA"/>
          <w14:textFill>
            <w14:solidFill>
              <w14:schemeClr w14:val="tx1"/>
            </w14:solidFill>
          </w14:textFill>
        </w:rPr>
      </w:pPr>
      <w:r>
        <w:rPr>
          <w:rFonts w:hint="default" w:ascii="Times New Roman" w:hAnsi="Times New Roman" w:eastAsia="方正仿宋_GBK" w:cs="Times New Roman"/>
          <w:color w:val="000000" w:themeColor="text1"/>
          <w:kern w:val="2"/>
          <w:sz w:val="32"/>
          <w:szCs w:val="24"/>
          <w:highlight w:val="none"/>
          <w:lang w:val="en-US" w:eastAsia="zh-CN" w:bidi="ar-SA"/>
          <w14:textFill>
            <w14:solidFill>
              <w14:schemeClr w14:val="tx1"/>
            </w14:solidFill>
          </w14:textFill>
        </w:rPr>
        <w:t>2.业主大会筹备召开费用；</w:t>
      </w:r>
    </w:p>
    <w:p>
      <w:pPr>
        <w:keepNext w:val="0"/>
        <w:keepLines w:val="0"/>
        <w:pageBreakBefore w:val="0"/>
        <w:widowControl w:val="0"/>
        <w:kinsoku/>
        <w:wordWrap/>
        <w:overflowPunct w:val="0"/>
        <w:topLinePunct/>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color w:val="000000" w:themeColor="text1"/>
          <w:kern w:val="2"/>
          <w:sz w:val="32"/>
          <w:szCs w:val="24"/>
          <w:highlight w:val="none"/>
          <w:lang w:val="en-US" w:eastAsia="zh-CN" w:bidi="ar-SA"/>
          <w14:textFill>
            <w14:solidFill>
              <w14:schemeClr w14:val="tx1"/>
            </w14:solidFill>
          </w14:textFill>
        </w:rPr>
      </w:pPr>
      <w:r>
        <w:rPr>
          <w:rFonts w:hint="default" w:ascii="Times New Roman" w:hAnsi="Times New Roman" w:eastAsia="方正仿宋_GBK" w:cs="Times New Roman"/>
          <w:color w:val="000000" w:themeColor="text1"/>
          <w:kern w:val="2"/>
          <w:sz w:val="32"/>
          <w:szCs w:val="24"/>
          <w:highlight w:val="none"/>
          <w:lang w:val="en-US" w:eastAsia="zh-CN" w:bidi="ar-SA"/>
          <w14:textFill>
            <w14:solidFill>
              <w14:schemeClr w14:val="tx1"/>
            </w14:solidFill>
          </w14:textFill>
        </w:rPr>
        <w:t>3.业主委员会工作经费；</w:t>
      </w:r>
    </w:p>
    <w:p>
      <w:pPr>
        <w:keepNext w:val="0"/>
        <w:keepLines w:val="0"/>
        <w:pageBreakBefore w:val="0"/>
        <w:widowControl w:val="0"/>
        <w:kinsoku/>
        <w:wordWrap/>
        <w:overflowPunct w:val="0"/>
        <w:topLinePunct/>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color w:val="000000" w:themeColor="text1"/>
          <w:kern w:val="2"/>
          <w:sz w:val="32"/>
          <w:szCs w:val="24"/>
          <w:highlight w:val="none"/>
          <w:lang w:val="en-US" w:eastAsia="zh-CN" w:bidi="ar-SA"/>
          <w14:textFill>
            <w14:solidFill>
              <w14:schemeClr w14:val="tx1"/>
            </w14:solidFill>
          </w14:textFill>
        </w:rPr>
      </w:pPr>
      <w:r>
        <w:rPr>
          <w:rFonts w:hint="default" w:ascii="Times New Roman" w:hAnsi="Times New Roman" w:eastAsia="方正仿宋_GBK" w:cs="Times New Roman"/>
          <w:color w:val="000000" w:themeColor="text1"/>
          <w:kern w:val="2"/>
          <w:sz w:val="32"/>
          <w:szCs w:val="24"/>
          <w:highlight w:val="none"/>
          <w:lang w:val="en-US" w:eastAsia="zh-CN" w:bidi="ar-SA"/>
          <w14:textFill>
            <w14:solidFill>
              <w14:schemeClr w14:val="tx1"/>
            </w14:solidFill>
          </w14:textFill>
        </w:rPr>
        <w:t>4.公共收益的记账管理、审计、信息公开所需的费用、税费；</w:t>
      </w:r>
    </w:p>
    <w:p>
      <w:pPr>
        <w:keepNext w:val="0"/>
        <w:keepLines w:val="0"/>
        <w:pageBreakBefore w:val="0"/>
        <w:widowControl w:val="0"/>
        <w:kinsoku/>
        <w:wordWrap/>
        <w:overflowPunct w:val="0"/>
        <w:topLinePunct/>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color w:val="000000" w:themeColor="text1"/>
          <w:kern w:val="2"/>
          <w:sz w:val="32"/>
          <w:szCs w:val="24"/>
          <w:highlight w:val="none"/>
          <w:lang w:val="en-US" w:eastAsia="zh-CN" w:bidi="ar-SA"/>
          <w14:textFill>
            <w14:solidFill>
              <w14:schemeClr w14:val="tx1"/>
            </w14:solidFill>
          </w14:textFill>
        </w:rPr>
      </w:pPr>
      <w:r>
        <w:rPr>
          <w:rFonts w:hint="default" w:ascii="Times New Roman" w:hAnsi="Times New Roman" w:eastAsia="方正仿宋_GBK" w:cs="Times New Roman"/>
          <w:color w:val="000000" w:themeColor="text1"/>
          <w:kern w:val="2"/>
          <w:sz w:val="32"/>
          <w:szCs w:val="24"/>
          <w:highlight w:val="none"/>
          <w:lang w:val="en-US" w:eastAsia="zh-CN" w:bidi="ar-SA"/>
          <w14:textFill>
            <w14:solidFill>
              <w14:schemeClr w14:val="tx1"/>
            </w14:solidFill>
          </w14:textFill>
        </w:rPr>
        <w:t>5.业主委员会经济责任审计费用；</w:t>
      </w:r>
    </w:p>
    <w:p>
      <w:pPr>
        <w:keepNext w:val="0"/>
        <w:keepLines w:val="0"/>
        <w:pageBreakBefore w:val="0"/>
        <w:widowControl w:val="0"/>
        <w:kinsoku/>
        <w:wordWrap/>
        <w:overflowPunct w:val="0"/>
        <w:topLinePunct/>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color w:val="000000" w:themeColor="text1"/>
          <w:kern w:val="2"/>
          <w:sz w:val="32"/>
          <w:szCs w:val="24"/>
          <w:highlight w:val="none"/>
          <w:lang w:val="en-US" w:eastAsia="zh-CN" w:bidi="ar-SA"/>
          <w14:textFill>
            <w14:solidFill>
              <w14:schemeClr w14:val="tx1"/>
            </w14:solidFill>
          </w14:textFill>
        </w:rPr>
      </w:pPr>
      <w:r>
        <w:rPr>
          <w:rFonts w:hint="default" w:ascii="Times New Roman" w:hAnsi="Times New Roman" w:eastAsia="方正仿宋_GBK" w:cs="Times New Roman"/>
          <w:color w:val="000000" w:themeColor="text1"/>
          <w:kern w:val="2"/>
          <w:sz w:val="32"/>
          <w:szCs w:val="24"/>
          <w:highlight w:val="none"/>
          <w:lang w:val="en-US" w:eastAsia="zh-CN" w:bidi="ar-SA"/>
          <w14:textFill>
            <w14:solidFill>
              <w14:schemeClr w14:val="tx1"/>
            </w14:solidFill>
          </w14:textFill>
        </w:rPr>
        <w:t>6.业主共有部分水电公摊费用等支出；</w:t>
      </w:r>
    </w:p>
    <w:p>
      <w:pPr>
        <w:keepNext w:val="0"/>
        <w:keepLines w:val="0"/>
        <w:pageBreakBefore w:val="0"/>
        <w:widowControl w:val="0"/>
        <w:kinsoku/>
        <w:wordWrap/>
        <w:overflowPunct w:val="0"/>
        <w:topLinePunct/>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color w:val="000000" w:themeColor="text1"/>
          <w:kern w:val="2"/>
          <w:sz w:val="32"/>
          <w:szCs w:val="24"/>
          <w:highlight w:val="none"/>
          <w:lang w:val="en-US" w:eastAsia="zh-CN" w:bidi="ar-SA"/>
          <w14:textFill>
            <w14:solidFill>
              <w14:schemeClr w14:val="tx1"/>
            </w14:solidFill>
          </w14:textFill>
        </w:rPr>
      </w:pPr>
      <w:r>
        <w:rPr>
          <w:rFonts w:hint="default" w:ascii="Times New Roman" w:hAnsi="Times New Roman" w:eastAsia="方正仿宋_GBK" w:cs="Times New Roman"/>
          <w:color w:val="000000" w:themeColor="text1"/>
          <w:kern w:val="2"/>
          <w:sz w:val="32"/>
          <w:szCs w:val="24"/>
          <w:highlight w:val="none"/>
          <w:lang w:val="en-US" w:eastAsia="zh-CN" w:bidi="ar-SA"/>
          <w14:textFill>
            <w14:solidFill>
              <w14:schemeClr w14:val="tx1"/>
            </w14:solidFill>
          </w14:textFill>
        </w:rPr>
        <w:t>7.经业主大会表决同意的其他费用。</w:t>
      </w:r>
    </w:p>
    <w:p>
      <w:pPr>
        <w:keepNext w:val="0"/>
        <w:keepLines w:val="0"/>
        <w:pageBreakBefore w:val="0"/>
        <w:widowControl w:val="0"/>
        <w:kinsoku/>
        <w:wordWrap/>
        <w:overflowPunct w:val="0"/>
        <w:topLinePunct/>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color w:val="000000" w:themeColor="text1"/>
          <w:kern w:val="2"/>
          <w:sz w:val="32"/>
          <w:szCs w:val="24"/>
          <w:highlight w:val="none"/>
          <w:lang w:val="en-US" w:eastAsia="zh-CN" w:bidi="ar-SA"/>
          <w14:textFill>
            <w14:solidFill>
              <w14:schemeClr w14:val="tx1"/>
            </w14:solidFill>
          </w14:textFill>
        </w:rPr>
      </w:pPr>
      <w:r>
        <w:rPr>
          <w:rFonts w:hint="default" w:ascii="Times New Roman" w:hAnsi="Times New Roman" w:eastAsia="方正仿宋_GBK" w:cs="Times New Roman"/>
          <w:color w:val="000000" w:themeColor="text1"/>
          <w:kern w:val="2"/>
          <w:sz w:val="32"/>
          <w:szCs w:val="24"/>
          <w:highlight w:val="none"/>
          <w:lang w:val="en-US" w:eastAsia="zh-CN" w:bidi="ar-SA"/>
          <w14:textFill>
            <w14:solidFill>
              <w14:schemeClr w14:val="tx1"/>
            </w14:solidFill>
          </w14:textFill>
        </w:rPr>
        <w:t>《物业服务合同》中约定的属于物业服务企业承担的维修范围，不得在公共收益中列支。任何单位、个人不得非法侵占、处分或者挪用公共收益。</w:t>
      </w:r>
    </w:p>
    <w:p>
      <w:pPr>
        <w:keepNext w:val="0"/>
        <w:keepLines w:val="0"/>
        <w:pageBreakBefore w:val="0"/>
        <w:widowControl w:val="0"/>
        <w:numPr>
          <w:ilvl w:val="0"/>
          <w:numId w:val="0"/>
        </w:numPr>
        <w:kinsoku/>
        <w:wordWrap/>
        <w:overflowPunct w:val="0"/>
        <w:topLinePunct/>
        <w:autoSpaceDE/>
        <w:autoSpaceDN/>
        <w:bidi w:val="0"/>
        <w:adjustRightInd/>
        <w:snapToGrid/>
        <w:spacing w:line="560" w:lineRule="exact"/>
        <w:ind w:left="0" w:leftChars="0" w:firstLine="640" w:firstLineChars="200"/>
        <w:jc w:val="both"/>
        <w:textAlignment w:val="auto"/>
        <w:rPr>
          <w:rFonts w:hint="default" w:ascii="Times New Roman" w:hAnsi="Times New Roman" w:eastAsia="方正楷体_GBK"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方正楷体_GBK" w:cs="Times New Roman"/>
          <w:color w:val="000000" w:themeColor="text1"/>
          <w:sz w:val="32"/>
          <w:szCs w:val="32"/>
          <w:highlight w:val="none"/>
          <w:lang w:val="en-US" w:eastAsia="zh-CN"/>
          <w14:textFill>
            <w14:solidFill>
              <w14:schemeClr w14:val="tx1"/>
            </w14:solidFill>
          </w14:textFill>
        </w:rPr>
        <w:t>（二）使用管理</w:t>
      </w:r>
    </w:p>
    <w:p>
      <w:pPr>
        <w:keepNext w:val="0"/>
        <w:keepLines w:val="0"/>
        <w:pageBreakBefore w:val="0"/>
        <w:widowControl w:val="0"/>
        <w:kinsoku/>
        <w:wordWrap/>
        <w:overflowPunct w:val="0"/>
        <w:topLinePunct/>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color w:val="000000" w:themeColor="text1"/>
          <w:kern w:val="2"/>
          <w:sz w:val="32"/>
          <w:szCs w:val="24"/>
          <w:highlight w:val="none"/>
          <w:lang w:val="en-US" w:eastAsia="zh-CN" w:bidi="ar-SA"/>
          <w14:textFill>
            <w14:solidFill>
              <w14:schemeClr w14:val="tx1"/>
            </w14:solidFill>
          </w14:textFill>
        </w:rPr>
      </w:pPr>
      <w:r>
        <w:rPr>
          <w:rFonts w:hint="default" w:ascii="Times New Roman" w:hAnsi="Times New Roman" w:eastAsia="方正仿宋_GBK" w:cs="Times New Roman"/>
          <w:color w:val="000000" w:themeColor="text1"/>
          <w:kern w:val="2"/>
          <w:sz w:val="32"/>
          <w:szCs w:val="24"/>
          <w:highlight w:val="none"/>
          <w:lang w:val="en-US" w:eastAsia="zh-CN" w:bidi="ar-SA"/>
          <w14:textFill>
            <w14:solidFill>
              <w14:schemeClr w14:val="tx1"/>
            </w14:solidFill>
          </w14:textFill>
        </w:rPr>
        <w:t>业主委员会成立前，由物业服务企业管理公共收益，需要使用公共收益的，</w:t>
      </w:r>
      <w:r>
        <w:rPr>
          <w:rFonts w:hint="default" w:ascii="Times New Roman" w:hAnsi="Times New Roman" w:cs="Times New Roman"/>
          <w:color w:val="000000" w:themeColor="text1"/>
          <w:kern w:val="2"/>
          <w:sz w:val="32"/>
          <w:szCs w:val="24"/>
          <w:highlight w:val="none"/>
          <w:lang w:val="en-US" w:eastAsia="zh-CN" w:bidi="ar-SA"/>
          <w14:textFill>
            <w14:solidFill>
              <w14:schemeClr w14:val="tx1"/>
            </w14:solidFill>
          </w14:textFill>
        </w:rPr>
        <w:t>由</w:t>
      </w:r>
      <w:r>
        <w:rPr>
          <w:rFonts w:hint="default" w:ascii="Times New Roman" w:hAnsi="Times New Roman" w:eastAsia="方正仿宋_GBK" w:cs="Times New Roman"/>
          <w:color w:val="000000" w:themeColor="text1"/>
          <w:kern w:val="2"/>
          <w:sz w:val="32"/>
          <w:szCs w:val="24"/>
          <w:highlight w:val="none"/>
          <w:lang w:val="en-US" w:eastAsia="zh-CN" w:bidi="ar-SA"/>
          <w14:textFill>
            <w14:solidFill>
              <w14:schemeClr w14:val="tx1"/>
            </w14:solidFill>
          </w14:textFill>
        </w:rPr>
        <w:t>街道办事处指导物业服务企业制定公共收益使用方案，使用方案应当包括公共收益资金用途、预算、项目实施时间安排、监督方式以及是否需要审计审价等内容，经业主共同决定后实施。</w:t>
      </w:r>
    </w:p>
    <w:p>
      <w:pPr>
        <w:keepNext w:val="0"/>
        <w:keepLines w:val="0"/>
        <w:pageBreakBefore w:val="0"/>
        <w:widowControl w:val="0"/>
        <w:kinsoku/>
        <w:wordWrap/>
        <w:overflowPunct w:val="0"/>
        <w:topLinePunct/>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color w:val="000000" w:themeColor="text1"/>
          <w:kern w:val="2"/>
          <w:sz w:val="32"/>
          <w:szCs w:val="24"/>
          <w:highlight w:val="none"/>
          <w:lang w:val="en-US" w:eastAsia="zh-CN" w:bidi="ar-SA"/>
          <w14:textFill>
            <w14:solidFill>
              <w14:schemeClr w14:val="tx1"/>
            </w14:solidFill>
          </w14:textFill>
        </w:rPr>
      </w:pPr>
      <w:r>
        <w:rPr>
          <w:rFonts w:hint="default" w:ascii="Times New Roman" w:hAnsi="Times New Roman" w:eastAsia="方正仿宋_GBK" w:cs="Times New Roman"/>
          <w:color w:val="000000" w:themeColor="text1"/>
          <w:kern w:val="2"/>
          <w:sz w:val="32"/>
          <w:szCs w:val="24"/>
          <w:highlight w:val="none"/>
          <w:lang w:val="en-US" w:eastAsia="zh-CN" w:bidi="ar-SA"/>
          <w14:textFill>
            <w14:solidFill>
              <w14:schemeClr w14:val="tx1"/>
            </w14:solidFill>
          </w14:textFill>
        </w:rPr>
        <w:t>由业主委员会自行管理</w:t>
      </w:r>
      <w:r>
        <w:rPr>
          <w:rFonts w:hint="default" w:ascii="Times New Roman" w:hAnsi="Times New Roman" w:cs="Times New Roman"/>
          <w:color w:val="000000" w:themeColor="text1"/>
          <w:kern w:val="2"/>
          <w:sz w:val="32"/>
          <w:szCs w:val="24"/>
          <w:highlight w:val="none"/>
          <w:lang w:val="en-US" w:eastAsia="zh-CN" w:bidi="ar-SA"/>
          <w14:textFill>
            <w14:solidFill>
              <w14:schemeClr w14:val="tx1"/>
            </w14:solidFill>
          </w14:textFill>
        </w:rPr>
        <w:t>共管收益</w:t>
      </w:r>
      <w:r>
        <w:rPr>
          <w:rFonts w:hint="default" w:ascii="Times New Roman" w:hAnsi="Times New Roman" w:eastAsia="方正仿宋_GBK" w:cs="Times New Roman"/>
          <w:color w:val="000000" w:themeColor="text1"/>
          <w:kern w:val="2"/>
          <w:sz w:val="32"/>
          <w:szCs w:val="24"/>
          <w:highlight w:val="none"/>
          <w:lang w:val="en-US" w:eastAsia="zh-CN" w:bidi="ar-SA"/>
          <w14:textFill>
            <w14:solidFill>
              <w14:schemeClr w14:val="tx1"/>
            </w14:solidFill>
          </w14:textFill>
        </w:rPr>
        <w:t>的</w:t>
      </w:r>
      <w:r>
        <w:rPr>
          <w:rFonts w:hint="default" w:ascii="Times New Roman" w:hAnsi="Times New Roman" w:cs="Times New Roman"/>
          <w:color w:val="000000" w:themeColor="text1"/>
          <w:kern w:val="2"/>
          <w:sz w:val="32"/>
          <w:szCs w:val="24"/>
          <w:highlight w:val="none"/>
          <w:lang w:val="en-US" w:eastAsia="zh-CN" w:bidi="ar-SA"/>
          <w14:textFill>
            <w14:solidFill>
              <w14:schemeClr w14:val="tx1"/>
            </w14:solidFill>
          </w14:textFill>
        </w:rPr>
        <w:t>，</w:t>
      </w:r>
      <w:r>
        <w:rPr>
          <w:rFonts w:hint="default" w:ascii="Times New Roman" w:hAnsi="Times New Roman" w:eastAsia="方正仿宋_GBK" w:cs="Times New Roman"/>
          <w:color w:val="000000" w:themeColor="text1"/>
          <w:kern w:val="2"/>
          <w:sz w:val="32"/>
          <w:szCs w:val="24"/>
          <w:highlight w:val="none"/>
          <w:lang w:val="en-US" w:eastAsia="zh-CN" w:bidi="ar-SA"/>
          <w14:textFill>
            <w14:solidFill>
              <w14:schemeClr w14:val="tx1"/>
            </w14:solidFill>
          </w14:textFill>
        </w:rPr>
        <w:t>经业主大会表决通过，可以在业主大会议事规则和管理规约中，采取一次性授权的方式，明确业主委员会、物业服务企业使用公共收益的情形、条件、额度和程序。业主委员会、物业服务企业根据业主大会授权决定公共收益支出的，应当及时向街道办事处报告，并接受其指导监督。</w:t>
      </w:r>
    </w:p>
    <w:p>
      <w:pPr>
        <w:keepNext w:val="0"/>
        <w:keepLines w:val="0"/>
        <w:pageBreakBefore w:val="0"/>
        <w:widowControl w:val="0"/>
        <w:kinsoku/>
        <w:wordWrap/>
        <w:overflowPunct w:val="0"/>
        <w:topLinePunct/>
        <w:autoSpaceDE/>
        <w:autoSpaceDN/>
        <w:bidi w:val="0"/>
        <w:adjustRightInd/>
        <w:snapToGrid/>
        <w:spacing w:line="560" w:lineRule="exact"/>
        <w:ind w:left="0" w:leftChars="0" w:firstLine="640" w:firstLineChars="200"/>
        <w:jc w:val="both"/>
        <w:textAlignment w:val="auto"/>
        <w:rPr>
          <w:rFonts w:hint="default" w:ascii="Times New Roman" w:hAnsi="Times New Roman" w:cs="Times New Roman"/>
          <w:color w:val="000000" w:themeColor="text1"/>
          <w:kern w:val="2"/>
          <w:sz w:val="32"/>
          <w:szCs w:val="24"/>
          <w:highlight w:val="none"/>
          <w:lang w:val="en-US" w:eastAsia="zh-CN" w:bidi="ar-SA"/>
          <w14:textFill>
            <w14:solidFill>
              <w14:schemeClr w14:val="tx1"/>
            </w14:solidFill>
          </w14:textFill>
        </w:rPr>
      </w:pPr>
      <w:r>
        <w:rPr>
          <w:rFonts w:hint="default" w:ascii="Times New Roman" w:hAnsi="Times New Roman" w:cs="Times New Roman"/>
          <w:color w:val="000000" w:themeColor="text1"/>
          <w:kern w:val="2"/>
          <w:sz w:val="32"/>
          <w:szCs w:val="24"/>
          <w:highlight w:val="none"/>
          <w:lang w:val="en-US" w:eastAsia="zh-CN" w:bidi="ar-SA"/>
          <w14:textFill>
            <w14:solidFill>
              <w14:schemeClr w14:val="tx1"/>
            </w14:solidFill>
          </w14:textFill>
        </w:rPr>
        <w:t>由区资金中心代管公共收益的，使用流程如下：</w:t>
      </w:r>
      <w:r>
        <w:rPr>
          <w:rFonts w:hint="default" w:ascii="Times New Roman" w:hAnsi="Times New Roman" w:cs="Times New Roman"/>
          <w:b/>
          <w:bCs/>
          <w:color w:val="000000" w:themeColor="text1"/>
          <w:kern w:val="2"/>
          <w:sz w:val="32"/>
          <w:szCs w:val="24"/>
          <w:highlight w:val="none"/>
          <w:lang w:val="en-US" w:eastAsia="zh-CN" w:bidi="ar-SA"/>
          <w14:textFill>
            <w14:solidFill>
              <w14:schemeClr w14:val="tx1"/>
            </w14:solidFill>
          </w14:textFill>
        </w:rPr>
        <w:t>一是</w:t>
      </w:r>
      <w:r>
        <w:rPr>
          <w:rFonts w:hint="default" w:ascii="Times New Roman" w:hAnsi="Times New Roman" w:cs="Times New Roman"/>
          <w:color w:val="000000" w:themeColor="text1"/>
          <w:kern w:val="2"/>
          <w:sz w:val="32"/>
          <w:szCs w:val="24"/>
          <w:highlight w:val="none"/>
          <w:lang w:val="en-US" w:eastAsia="zh-CN" w:bidi="ar-SA"/>
          <w14:textFill>
            <w14:solidFill>
              <w14:schemeClr w14:val="tx1"/>
            </w14:solidFill>
          </w14:textFill>
        </w:rPr>
        <w:t>用于补充物业专项维修资金使用的，参照物业专项维修资金使用规定执行；</w:t>
      </w:r>
      <w:r>
        <w:rPr>
          <w:rFonts w:hint="default" w:ascii="Times New Roman" w:hAnsi="Times New Roman" w:cs="Times New Roman"/>
          <w:b/>
          <w:bCs/>
          <w:color w:val="000000" w:themeColor="text1"/>
          <w:kern w:val="2"/>
          <w:sz w:val="32"/>
          <w:szCs w:val="24"/>
          <w:highlight w:val="none"/>
          <w:lang w:val="en-US" w:eastAsia="zh-CN" w:bidi="ar-SA"/>
          <w14:textFill>
            <w14:solidFill>
              <w14:schemeClr w14:val="tx1"/>
            </w14:solidFill>
          </w14:textFill>
        </w:rPr>
        <w:t>二是</w:t>
      </w:r>
      <w:r>
        <w:rPr>
          <w:rFonts w:hint="default" w:ascii="Times New Roman" w:hAnsi="Times New Roman" w:cs="Times New Roman"/>
          <w:color w:val="000000" w:themeColor="text1"/>
          <w:kern w:val="2"/>
          <w:sz w:val="32"/>
          <w:szCs w:val="24"/>
          <w:highlight w:val="none"/>
          <w:lang w:val="en-US" w:eastAsia="zh-CN" w:bidi="ar-SA"/>
          <w14:textFill>
            <w14:solidFill>
              <w14:schemeClr w14:val="tx1"/>
            </w14:solidFill>
          </w14:textFill>
        </w:rPr>
        <w:t>用于补充物业专项维修资金以外用途的，应当在街道办事处指导监督下，召开业主大会决定其使用方案，物业服务企业或业主委员会按程序向区资金中心申请使用。</w:t>
      </w:r>
    </w:p>
    <w:p>
      <w:pPr>
        <w:keepNext w:val="0"/>
        <w:keepLines w:val="0"/>
        <w:pageBreakBefore w:val="0"/>
        <w:widowControl w:val="0"/>
        <w:numPr>
          <w:ilvl w:val="0"/>
          <w:numId w:val="0"/>
        </w:numPr>
        <w:kinsoku/>
        <w:wordWrap/>
        <w:overflowPunct w:val="0"/>
        <w:topLinePunct/>
        <w:autoSpaceDE/>
        <w:autoSpaceDN/>
        <w:bidi w:val="0"/>
        <w:adjustRightInd/>
        <w:snapToGrid/>
        <w:spacing w:line="560" w:lineRule="exact"/>
        <w:ind w:left="0" w:leftChars="0" w:firstLine="640" w:firstLineChars="200"/>
        <w:jc w:val="both"/>
        <w:textAlignment w:val="auto"/>
        <w:rPr>
          <w:rFonts w:hint="default" w:ascii="Times New Roman" w:hAnsi="Times New Roman" w:eastAsia="方正黑体_GBK" w:cs="Times New Roman"/>
          <w:color w:val="000000" w:themeColor="text1"/>
          <w:szCs w:val="32"/>
          <w:highlight w:val="none"/>
          <w:lang w:eastAsia="zh-CN"/>
          <w14:textFill>
            <w14:solidFill>
              <w14:schemeClr w14:val="tx1"/>
            </w14:solidFill>
          </w14:textFill>
        </w:rPr>
      </w:pPr>
      <w:r>
        <w:rPr>
          <w:rFonts w:hint="default" w:ascii="Times New Roman" w:hAnsi="Times New Roman" w:eastAsia="方正黑体_GBK" w:cs="Times New Roman"/>
          <w:color w:val="000000" w:themeColor="text1"/>
          <w:szCs w:val="32"/>
          <w:highlight w:val="none"/>
          <w:lang w:eastAsia="zh-CN"/>
          <w14:textFill>
            <w14:solidFill>
              <w14:schemeClr w14:val="tx1"/>
            </w14:solidFill>
          </w14:textFill>
        </w:rPr>
        <w:t>四、监督管理</w:t>
      </w:r>
    </w:p>
    <w:p>
      <w:pPr>
        <w:keepNext w:val="0"/>
        <w:keepLines w:val="0"/>
        <w:pageBreakBefore w:val="0"/>
        <w:widowControl w:val="0"/>
        <w:numPr>
          <w:ilvl w:val="0"/>
          <w:numId w:val="0"/>
        </w:numPr>
        <w:kinsoku/>
        <w:wordWrap/>
        <w:overflowPunct w:val="0"/>
        <w:topLinePunct/>
        <w:autoSpaceDE/>
        <w:autoSpaceDN/>
        <w:bidi w:val="0"/>
        <w:adjustRightInd/>
        <w:snapToGrid/>
        <w:spacing w:line="560" w:lineRule="exact"/>
        <w:ind w:left="0" w:leftChars="0" w:firstLine="640" w:firstLineChars="200"/>
        <w:jc w:val="both"/>
        <w:textAlignment w:val="auto"/>
        <w:rPr>
          <w:rFonts w:hint="default" w:ascii="Times New Roman" w:hAnsi="Times New Roman" w:eastAsia="方正楷体_GBK"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方正楷体_GBK" w:cs="Times New Roman"/>
          <w:color w:val="000000" w:themeColor="text1"/>
          <w:sz w:val="32"/>
          <w:szCs w:val="32"/>
          <w:highlight w:val="none"/>
          <w:lang w:val="en-US" w:eastAsia="zh-CN"/>
          <w14:textFill>
            <w14:solidFill>
              <w14:schemeClr w14:val="tx1"/>
            </w14:solidFill>
          </w14:textFill>
        </w:rPr>
        <w:t>（一）公示</w:t>
      </w:r>
    </w:p>
    <w:p>
      <w:pPr>
        <w:keepNext w:val="0"/>
        <w:keepLines w:val="0"/>
        <w:pageBreakBefore w:val="0"/>
        <w:widowControl w:val="0"/>
        <w:kinsoku/>
        <w:wordWrap/>
        <w:overflowPunct w:val="0"/>
        <w:topLinePunct/>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color w:val="000000" w:themeColor="text1"/>
          <w:kern w:val="2"/>
          <w:sz w:val="32"/>
          <w:szCs w:val="24"/>
          <w:highlight w:val="none"/>
          <w:lang w:val="en-US" w:eastAsia="zh-CN" w:bidi="ar-SA"/>
          <w14:textFill>
            <w14:solidFill>
              <w14:schemeClr w14:val="tx1"/>
            </w14:solidFill>
          </w14:textFill>
        </w:rPr>
      </w:pPr>
      <w:r>
        <w:rPr>
          <w:rFonts w:hint="default" w:ascii="Times New Roman" w:hAnsi="Times New Roman" w:eastAsia="方正仿宋_GBK" w:cs="Times New Roman"/>
          <w:color w:val="000000" w:themeColor="text1"/>
          <w:kern w:val="2"/>
          <w:sz w:val="32"/>
          <w:szCs w:val="24"/>
          <w:highlight w:val="none"/>
          <w:lang w:val="en-US" w:eastAsia="zh-CN" w:bidi="ar-SA"/>
          <w14:textFill>
            <w14:solidFill>
              <w14:schemeClr w14:val="tx1"/>
            </w14:solidFill>
          </w14:textFill>
        </w:rPr>
        <w:t>业主委员会</w:t>
      </w:r>
      <w:r>
        <w:rPr>
          <w:rFonts w:hint="default" w:ascii="Times New Roman" w:hAnsi="Times New Roman" w:cs="Times New Roman"/>
          <w:color w:val="000000" w:themeColor="text1"/>
          <w:kern w:val="2"/>
          <w:sz w:val="32"/>
          <w:szCs w:val="24"/>
          <w:highlight w:val="none"/>
          <w:lang w:val="en-US" w:eastAsia="zh-CN" w:bidi="ar-SA"/>
          <w14:textFill>
            <w14:solidFill>
              <w14:schemeClr w14:val="tx1"/>
            </w14:solidFill>
          </w14:textFill>
        </w:rPr>
        <w:t>或</w:t>
      </w:r>
      <w:r>
        <w:rPr>
          <w:rFonts w:hint="default" w:ascii="Times New Roman" w:hAnsi="Times New Roman" w:eastAsia="方正仿宋_GBK" w:cs="Times New Roman"/>
          <w:color w:val="000000" w:themeColor="text1"/>
          <w:kern w:val="2"/>
          <w:sz w:val="32"/>
          <w:szCs w:val="24"/>
          <w:highlight w:val="none"/>
          <w:lang w:val="en-US" w:eastAsia="zh-CN" w:bidi="ar-SA"/>
          <w14:textFill>
            <w14:solidFill>
              <w14:schemeClr w14:val="tx1"/>
            </w14:solidFill>
          </w14:textFill>
        </w:rPr>
        <w:t>物业服务企业应将公共收益收支明细账目至少每半年在物业管理区域显著位置公示一次，公示期不少于30日</w:t>
      </w:r>
      <w:r>
        <w:rPr>
          <w:rFonts w:hint="default" w:ascii="Times New Roman" w:hAnsi="Times New Roman" w:cs="Times New Roman"/>
          <w:color w:val="000000" w:themeColor="text1"/>
          <w:kern w:val="2"/>
          <w:sz w:val="32"/>
          <w:szCs w:val="24"/>
          <w:highlight w:val="none"/>
          <w:lang w:val="en-US" w:eastAsia="zh-CN" w:bidi="ar-SA"/>
          <w14:textFill>
            <w14:solidFill>
              <w14:schemeClr w14:val="tx1"/>
            </w14:solidFill>
          </w14:textFill>
        </w:rPr>
        <w:t>。</w:t>
      </w:r>
    </w:p>
    <w:p>
      <w:pPr>
        <w:keepNext w:val="0"/>
        <w:keepLines w:val="0"/>
        <w:pageBreakBefore w:val="0"/>
        <w:widowControl w:val="0"/>
        <w:numPr>
          <w:ilvl w:val="0"/>
          <w:numId w:val="0"/>
        </w:numPr>
        <w:kinsoku/>
        <w:wordWrap/>
        <w:overflowPunct w:val="0"/>
        <w:topLinePunct/>
        <w:autoSpaceDE/>
        <w:autoSpaceDN/>
        <w:bidi w:val="0"/>
        <w:adjustRightInd/>
        <w:snapToGrid/>
        <w:spacing w:line="560" w:lineRule="exact"/>
        <w:ind w:left="0" w:leftChars="0" w:firstLine="640" w:firstLineChars="200"/>
        <w:jc w:val="both"/>
        <w:textAlignment w:val="auto"/>
        <w:rPr>
          <w:rFonts w:hint="default" w:ascii="Times New Roman" w:hAnsi="Times New Roman" w:cs="Times New Roman"/>
          <w:color w:val="000000" w:themeColor="text1"/>
          <w:szCs w:val="32"/>
          <w:highlight w:val="none"/>
          <w14:textFill>
            <w14:solidFill>
              <w14:schemeClr w14:val="tx1"/>
            </w14:solidFill>
          </w14:textFill>
        </w:rPr>
      </w:pPr>
      <w:r>
        <w:rPr>
          <w:rFonts w:hint="default" w:ascii="Times New Roman" w:hAnsi="Times New Roman" w:eastAsia="方正楷体_GBK" w:cs="Times New Roman"/>
          <w:color w:val="000000" w:themeColor="text1"/>
          <w:sz w:val="32"/>
          <w:szCs w:val="32"/>
          <w:highlight w:val="none"/>
          <w:lang w:eastAsia="zh-CN"/>
          <w14:textFill>
            <w14:solidFill>
              <w14:schemeClr w14:val="tx1"/>
            </w14:solidFill>
          </w14:textFill>
        </w:rPr>
        <w:t>（二）审计制度</w:t>
      </w:r>
      <w:bookmarkStart w:id="3" w:name="_GoBack"/>
      <w:bookmarkEnd w:id="3"/>
    </w:p>
    <w:p>
      <w:pPr>
        <w:keepNext w:val="0"/>
        <w:keepLines w:val="0"/>
        <w:pageBreakBefore w:val="0"/>
        <w:widowControl w:val="0"/>
        <w:kinsoku/>
        <w:wordWrap/>
        <w:overflowPunct w:val="0"/>
        <w:topLinePunct/>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color w:val="000000" w:themeColor="text1"/>
          <w:kern w:val="2"/>
          <w:sz w:val="32"/>
          <w:szCs w:val="24"/>
          <w:highlight w:val="none"/>
          <w:lang w:val="en-US" w:eastAsia="zh-CN" w:bidi="ar-SA"/>
          <w14:textFill>
            <w14:solidFill>
              <w14:schemeClr w14:val="tx1"/>
            </w14:solidFill>
          </w14:textFill>
        </w:rPr>
      </w:pPr>
      <w:r>
        <w:rPr>
          <w:rFonts w:hint="default" w:ascii="Times New Roman" w:hAnsi="Times New Roman" w:eastAsia="方正仿宋_GBK" w:cs="Times New Roman"/>
          <w:color w:val="000000" w:themeColor="text1"/>
          <w:kern w:val="2"/>
          <w:sz w:val="32"/>
          <w:szCs w:val="24"/>
          <w:highlight w:val="none"/>
          <w:lang w:val="en-US" w:eastAsia="zh-CN" w:bidi="ar-SA"/>
          <w14:textFill>
            <w14:solidFill>
              <w14:schemeClr w14:val="tx1"/>
            </w14:solidFill>
          </w14:textFill>
        </w:rPr>
        <w:t>鼓励委托具有资质的金融机构提供集约式的增值服务</w:t>
      </w:r>
      <w:r>
        <w:rPr>
          <w:rFonts w:hint="default" w:ascii="Times New Roman" w:hAnsi="Times New Roman" w:cs="Times New Roman"/>
          <w:color w:val="000000" w:themeColor="text1"/>
          <w:kern w:val="2"/>
          <w:sz w:val="32"/>
          <w:szCs w:val="24"/>
          <w:highlight w:val="none"/>
          <w:lang w:val="en-US" w:eastAsia="zh-CN" w:bidi="ar-SA"/>
          <w14:textFill>
            <w14:solidFill>
              <w14:schemeClr w14:val="tx1"/>
            </w14:solidFill>
          </w14:textFill>
        </w:rPr>
        <w:t>；</w:t>
      </w:r>
      <w:r>
        <w:rPr>
          <w:rFonts w:hint="default" w:ascii="Times New Roman" w:hAnsi="Times New Roman" w:eastAsia="方正仿宋_GBK" w:cs="Times New Roman"/>
          <w:color w:val="000000" w:themeColor="text1"/>
          <w:kern w:val="2"/>
          <w:sz w:val="32"/>
          <w:szCs w:val="24"/>
          <w:highlight w:val="none"/>
          <w:lang w:val="en-US" w:eastAsia="zh-CN" w:bidi="ar-SA"/>
          <w14:textFill>
            <w14:solidFill>
              <w14:schemeClr w14:val="tx1"/>
            </w14:solidFill>
          </w14:textFill>
        </w:rPr>
        <w:t>鼓励有条件的</w:t>
      </w:r>
      <w:r>
        <w:rPr>
          <w:rFonts w:hint="default" w:ascii="Times New Roman" w:hAnsi="Times New Roman" w:cs="Times New Roman"/>
          <w:color w:val="000000" w:themeColor="text1"/>
          <w:kern w:val="2"/>
          <w:sz w:val="32"/>
          <w:szCs w:val="24"/>
          <w:highlight w:val="none"/>
          <w:lang w:val="en-US" w:eastAsia="zh-CN" w:bidi="ar-SA"/>
          <w14:textFill>
            <w14:solidFill>
              <w14:schemeClr w14:val="tx1"/>
            </w14:solidFill>
          </w14:textFill>
        </w:rPr>
        <w:t>住宅小区</w:t>
      </w:r>
      <w:r>
        <w:rPr>
          <w:rFonts w:hint="default" w:ascii="Times New Roman" w:hAnsi="Times New Roman" w:eastAsia="方正仿宋_GBK" w:cs="Times New Roman"/>
          <w:color w:val="000000" w:themeColor="text1"/>
          <w:kern w:val="2"/>
          <w:sz w:val="32"/>
          <w:szCs w:val="24"/>
          <w:highlight w:val="none"/>
          <w:lang w:val="en-US" w:eastAsia="zh-CN" w:bidi="ar-SA"/>
          <w14:textFill>
            <w14:solidFill>
              <w14:schemeClr w14:val="tx1"/>
            </w14:solidFill>
          </w14:textFill>
        </w:rPr>
        <w:t>每年开展公共收益使用和收支情况的专项审计，审计费用在公共收益中列支</w:t>
      </w:r>
      <w:r>
        <w:rPr>
          <w:rFonts w:hint="default" w:ascii="Times New Roman" w:hAnsi="Times New Roman" w:cs="Times New Roman"/>
          <w:color w:val="000000" w:themeColor="text1"/>
          <w:kern w:val="2"/>
          <w:sz w:val="32"/>
          <w:szCs w:val="24"/>
          <w:highlight w:val="none"/>
          <w:lang w:val="en-US" w:eastAsia="zh-CN" w:bidi="ar-SA"/>
          <w14:textFill>
            <w14:solidFill>
              <w14:schemeClr w14:val="tx1"/>
            </w14:solidFill>
          </w14:textFill>
        </w:rPr>
        <w:t>；</w:t>
      </w:r>
      <w:r>
        <w:rPr>
          <w:rFonts w:hint="default" w:ascii="Times New Roman" w:hAnsi="Times New Roman" w:eastAsia="方正仿宋_GBK" w:cs="Times New Roman"/>
          <w:color w:val="000000" w:themeColor="text1"/>
          <w:kern w:val="2"/>
          <w:sz w:val="32"/>
          <w:szCs w:val="24"/>
          <w:highlight w:val="none"/>
          <w:lang w:val="en-US" w:eastAsia="zh-CN" w:bidi="ar-SA"/>
          <w14:textFill>
            <w14:solidFill>
              <w14:schemeClr w14:val="tx1"/>
            </w14:solidFill>
          </w14:textFill>
        </w:rPr>
        <w:t>公共收益由业主委员会自行管理的，鼓励业主大会建立业主委员会任中审计和离任审计制度，在街道办事处的指导监督下委托第三方专业机构，对管理公共收益的情况进行审计。</w:t>
      </w:r>
    </w:p>
    <w:p>
      <w:pPr>
        <w:keepNext w:val="0"/>
        <w:keepLines w:val="0"/>
        <w:pageBreakBefore w:val="0"/>
        <w:widowControl w:val="0"/>
        <w:numPr>
          <w:ilvl w:val="0"/>
          <w:numId w:val="0"/>
        </w:numPr>
        <w:kinsoku/>
        <w:wordWrap/>
        <w:overflowPunct w:val="0"/>
        <w:topLinePunct/>
        <w:autoSpaceDE/>
        <w:autoSpaceDN/>
        <w:bidi w:val="0"/>
        <w:adjustRightInd/>
        <w:snapToGrid/>
        <w:spacing w:line="560" w:lineRule="exact"/>
        <w:ind w:left="0" w:leftChars="0" w:firstLine="640" w:firstLineChars="200"/>
        <w:jc w:val="both"/>
        <w:textAlignment w:val="auto"/>
        <w:rPr>
          <w:rFonts w:hint="default" w:ascii="Times New Roman" w:hAnsi="Times New Roman" w:eastAsia="方正楷体_GBK" w:cs="Times New Roman"/>
          <w:color w:val="000000" w:themeColor="text1"/>
          <w:sz w:val="32"/>
          <w:szCs w:val="32"/>
          <w:highlight w:val="none"/>
          <w:lang w:eastAsia="zh-CN"/>
          <w14:textFill>
            <w14:solidFill>
              <w14:schemeClr w14:val="tx1"/>
            </w14:solidFill>
          </w14:textFill>
        </w:rPr>
      </w:pPr>
      <w:r>
        <w:rPr>
          <w:rFonts w:hint="default" w:ascii="Times New Roman" w:hAnsi="Times New Roman" w:eastAsia="方正楷体_GBK" w:cs="Times New Roman"/>
          <w:color w:val="000000" w:themeColor="text1"/>
          <w:sz w:val="32"/>
          <w:szCs w:val="32"/>
          <w:highlight w:val="none"/>
          <w:lang w:eastAsia="zh-CN"/>
          <w14:textFill>
            <w14:solidFill>
              <w14:schemeClr w14:val="tx1"/>
            </w14:solidFill>
          </w14:textFill>
        </w:rPr>
        <w:t>（三）异议处理</w:t>
      </w:r>
    </w:p>
    <w:p>
      <w:pPr>
        <w:keepNext w:val="0"/>
        <w:keepLines w:val="0"/>
        <w:pageBreakBefore w:val="0"/>
        <w:widowControl w:val="0"/>
        <w:kinsoku/>
        <w:wordWrap/>
        <w:overflowPunct w:val="0"/>
        <w:topLinePunct/>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color w:val="000000" w:themeColor="text1"/>
          <w:kern w:val="2"/>
          <w:sz w:val="32"/>
          <w:szCs w:val="24"/>
          <w:highlight w:val="none"/>
          <w:lang w:val="en-US" w:eastAsia="zh-CN" w:bidi="ar-SA"/>
          <w14:textFill>
            <w14:solidFill>
              <w14:schemeClr w14:val="tx1"/>
            </w14:solidFill>
          </w14:textFill>
        </w:rPr>
      </w:pPr>
      <w:r>
        <w:rPr>
          <w:rFonts w:hint="default" w:ascii="Times New Roman" w:hAnsi="Times New Roman" w:eastAsia="方正仿宋_GBK" w:cs="Times New Roman"/>
          <w:color w:val="000000" w:themeColor="text1"/>
          <w:kern w:val="2"/>
          <w:sz w:val="32"/>
          <w:szCs w:val="24"/>
          <w:highlight w:val="none"/>
          <w:lang w:val="en-US" w:eastAsia="zh-CN" w:bidi="ar-SA"/>
          <w14:textFill>
            <w14:solidFill>
              <w14:schemeClr w14:val="tx1"/>
            </w14:solidFill>
          </w14:textFill>
        </w:rPr>
        <w:t>业主对公共收益管理有异议的，可向业主委员会、物业服务企业提出异议申请，业主委员会、物业服务企业应及时答复；物业管理区域百分之二十以上业主书面对公共收益收支提出异议的，可根据物业服务合同或者管理规约或者经业主大会决定，在街道办事处的指导监督下委托第三方专业机构进行财务审计，也可以申请物业管理联席会议协调处理或者依法向人民法院提起诉讼。</w:t>
      </w:r>
    </w:p>
    <w:p>
      <w:pPr>
        <w:keepNext w:val="0"/>
        <w:keepLines w:val="0"/>
        <w:pageBreakBefore w:val="0"/>
        <w:widowControl w:val="0"/>
        <w:numPr>
          <w:ilvl w:val="0"/>
          <w:numId w:val="0"/>
        </w:numPr>
        <w:kinsoku/>
        <w:wordWrap/>
        <w:overflowPunct w:val="0"/>
        <w:topLinePunct/>
        <w:autoSpaceDE/>
        <w:autoSpaceDN/>
        <w:bidi w:val="0"/>
        <w:adjustRightInd/>
        <w:snapToGrid/>
        <w:spacing w:line="560" w:lineRule="exact"/>
        <w:ind w:left="0" w:leftChars="0" w:firstLine="640" w:firstLineChars="200"/>
        <w:jc w:val="both"/>
        <w:textAlignment w:val="auto"/>
        <w:rPr>
          <w:rFonts w:hint="default" w:ascii="Times New Roman" w:hAnsi="Times New Roman" w:eastAsia="方正黑体_GBK" w:cs="Times New Roman"/>
          <w:color w:val="000000" w:themeColor="text1"/>
          <w:szCs w:val="32"/>
          <w:highlight w:val="none"/>
          <w:lang w:eastAsia="zh-CN"/>
          <w14:textFill>
            <w14:solidFill>
              <w14:schemeClr w14:val="tx1"/>
            </w14:solidFill>
          </w14:textFill>
        </w:rPr>
      </w:pPr>
      <w:r>
        <w:rPr>
          <w:rFonts w:hint="default" w:ascii="Times New Roman" w:hAnsi="Times New Roman" w:eastAsia="方正黑体_GBK" w:cs="Times New Roman"/>
          <w:color w:val="000000" w:themeColor="text1"/>
          <w:szCs w:val="32"/>
          <w:highlight w:val="none"/>
          <w:lang w:eastAsia="zh-CN"/>
          <w14:textFill>
            <w14:solidFill>
              <w14:schemeClr w14:val="tx1"/>
            </w14:solidFill>
          </w14:textFill>
        </w:rPr>
        <w:t>五、管理职责</w:t>
      </w:r>
    </w:p>
    <w:p>
      <w:pPr>
        <w:keepNext w:val="0"/>
        <w:keepLines w:val="0"/>
        <w:pageBreakBefore w:val="0"/>
        <w:widowControl w:val="0"/>
        <w:numPr>
          <w:ilvl w:val="0"/>
          <w:numId w:val="0"/>
        </w:numPr>
        <w:kinsoku/>
        <w:wordWrap/>
        <w:overflowPunct w:val="0"/>
        <w:topLinePunct/>
        <w:autoSpaceDE/>
        <w:autoSpaceDN/>
        <w:bidi w:val="0"/>
        <w:adjustRightInd/>
        <w:snapToGrid/>
        <w:spacing w:line="560" w:lineRule="exact"/>
        <w:ind w:left="0" w:leftChars="0" w:firstLine="640" w:firstLineChars="200"/>
        <w:jc w:val="both"/>
        <w:textAlignment w:val="auto"/>
        <w:rPr>
          <w:rFonts w:hint="default" w:ascii="Times New Roman" w:hAnsi="Times New Roman" w:eastAsia="方正楷体_GBK"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方正楷体_GBK" w:cs="Times New Roman"/>
          <w:color w:val="000000" w:themeColor="text1"/>
          <w:sz w:val="32"/>
          <w:szCs w:val="32"/>
          <w:highlight w:val="none"/>
          <w:lang w:val="en-US" w:eastAsia="zh-CN"/>
          <w14:textFill>
            <w14:solidFill>
              <w14:schemeClr w14:val="tx1"/>
            </w14:solidFill>
          </w14:textFill>
        </w:rPr>
        <w:t>（一）区住建委</w:t>
      </w:r>
    </w:p>
    <w:p>
      <w:pPr>
        <w:keepNext w:val="0"/>
        <w:keepLines w:val="0"/>
        <w:pageBreakBefore w:val="0"/>
        <w:widowControl w:val="0"/>
        <w:kinsoku/>
        <w:wordWrap/>
        <w:overflowPunct w:val="0"/>
        <w:topLinePunct/>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color w:val="000000" w:themeColor="text1"/>
          <w:kern w:val="2"/>
          <w:sz w:val="32"/>
          <w:szCs w:val="24"/>
          <w:highlight w:val="none"/>
          <w:lang w:val="en-US" w:eastAsia="zh-CN" w:bidi="ar-SA"/>
          <w14:textFill>
            <w14:solidFill>
              <w14:schemeClr w14:val="tx1"/>
            </w14:solidFill>
          </w14:textFill>
        </w:rPr>
      </w:pPr>
      <w:r>
        <w:rPr>
          <w:rFonts w:hint="default" w:ascii="Times New Roman" w:hAnsi="Times New Roman" w:eastAsia="方正仿宋_GBK" w:cs="Times New Roman"/>
          <w:color w:val="000000" w:themeColor="text1"/>
          <w:kern w:val="2"/>
          <w:sz w:val="32"/>
          <w:szCs w:val="24"/>
          <w:highlight w:val="none"/>
          <w:lang w:val="en-US" w:eastAsia="zh-CN" w:bidi="ar-SA"/>
          <w14:textFill>
            <w14:solidFill>
              <w14:schemeClr w14:val="tx1"/>
            </w14:solidFill>
          </w14:textFill>
        </w:rPr>
        <w:t>负责指导建立公共收益管理长效机制，将物业服务企业的公共收益归集、使用和管理工作情况，纳入物业服务企业和项目的日常检查和</w:t>
      </w:r>
      <w:r>
        <w:rPr>
          <w:rFonts w:hint="default" w:ascii="Times New Roman" w:hAnsi="Times New Roman" w:cs="Times New Roman"/>
          <w:color w:val="000000" w:themeColor="text1"/>
          <w:kern w:val="2"/>
          <w:sz w:val="32"/>
          <w:szCs w:val="24"/>
          <w:highlight w:val="none"/>
          <w:lang w:val="en-US" w:eastAsia="zh-CN" w:bidi="ar-SA"/>
          <w14:textFill>
            <w14:solidFill>
              <w14:schemeClr w14:val="tx1"/>
            </w14:solidFill>
          </w14:textFill>
        </w:rPr>
        <w:t>评价</w:t>
      </w:r>
      <w:r>
        <w:rPr>
          <w:rFonts w:hint="default" w:ascii="Times New Roman" w:hAnsi="Times New Roman" w:eastAsia="方正仿宋_GBK" w:cs="Times New Roman"/>
          <w:color w:val="000000" w:themeColor="text1"/>
          <w:kern w:val="2"/>
          <w:sz w:val="32"/>
          <w:szCs w:val="24"/>
          <w:highlight w:val="none"/>
          <w:lang w:val="en-US" w:eastAsia="zh-CN" w:bidi="ar-SA"/>
          <w14:textFill>
            <w14:solidFill>
              <w14:schemeClr w14:val="tx1"/>
            </w14:solidFill>
          </w14:textFill>
        </w:rPr>
        <w:t>。对物业服务企业</w:t>
      </w:r>
      <w:r>
        <w:rPr>
          <w:rFonts w:hint="default" w:ascii="Times New Roman" w:hAnsi="Times New Roman" w:cs="Times New Roman"/>
          <w:color w:val="000000" w:themeColor="text1"/>
          <w:kern w:val="2"/>
          <w:sz w:val="32"/>
          <w:szCs w:val="24"/>
          <w:highlight w:val="none"/>
          <w:lang w:val="en-US" w:eastAsia="zh-CN" w:bidi="ar-SA"/>
          <w14:textFill>
            <w14:solidFill>
              <w14:schemeClr w14:val="tx1"/>
            </w14:solidFill>
          </w14:textFill>
        </w:rPr>
        <w:t>未按照规定公示</w:t>
      </w:r>
      <w:r>
        <w:rPr>
          <w:rFonts w:hint="default" w:ascii="Times New Roman" w:hAnsi="Times New Roman" w:eastAsia="方正仿宋_GBK" w:cs="Times New Roman"/>
          <w:color w:val="000000" w:themeColor="text1"/>
          <w:kern w:val="2"/>
          <w:sz w:val="32"/>
          <w:szCs w:val="24"/>
          <w:highlight w:val="none"/>
          <w:lang w:val="en-US" w:eastAsia="zh-CN" w:bidi="ar-SA"/>
          <w14:textFill>
            <w14:solidFill>
              <w14:schemeClr w14:val="tx1"/>
            </w14:solidFill>
          </w14:textFill>
        </w:rPr>
        <w:t>公共收益</w:t>
      </w:r>
      <w:r>
        <w:rPr>
          <w:rFonts w:hint="default" w:ascii="Times New Roman" w:hAnsi="Times New Roman" w:cs="Times New Roman"/>
          <w:color w:val="000000" w:themeColor="text1"/>
          <w:kern w:val="2"/>
          <w:sz w:val="32"/>
          <w:szCs w:val="24"/>
          <w:highlight w:val="none"/>
          <w:lang w:val="en-US" w:eastAsia="zh-CN" w:bidi="ar-SA"/>
          <w14:textFill>
            <w14:solidFill>
              <w14:schemeClr w14:val="tx1"/>
            </w14:solidFill>
          </w14:textFill>
        </w:rPr>
        <w:t>的</w:t>
      </w:r>
      <w:r>
        <w:rPr>
          <w:rFonts w:hint="default" w:ascii="Times New Roman" w:hAnsi="Times New Roman" w:eastAsia="方正仿宋_GBK" w:cs="Times New Roman"/>
          <w:color w:val="000000" w:themeColor="text1"/>
          <w:kern w:val="2"/>
          <w:sz w:val="32"/>
          <w:szCs w:val="24"/>
          <w:highlight w:val="none"/>
          <w:lang w:val="en-US" w:eastAsia="zh-CN" w:bidi="ar-SA"/>
          <w14:textFill>
            <w14:solidFill>
              <w14:schemeClr w14:val="tx1"/>
            </w14:solidFill>
          </w14:textFill>
        </w:rPr>
        <w:t>，责令限期改正</w:t>
      </w:r>
      <w:r>
        <w:rPr>
          <w:rFonts w:hint="default" w:ascii="Times New Roman" w:hAnsi="Times New Roman" w:cs="Times New Roman"/>
          <w:color w:val="000000" w:themeColor="text1"/>
          <w:kern w:val="2"/>
          <w:sz w:val="32"/>
          <w:szCs w:val="24"/>
          <w:highlight w:val="none"/>
          <w:lang w:val="en-US" w:eastAsia="zh-CN" w:bidi="ar-SA"/>
          <w14:textFill>
            <w14:solidFill>
              <w14:schemeClr w14:val="tx1"/>
            </w14:solidFill>
          </w14:textFill>
        </w:rPr>
        <w:t>；</w:t>
      </w:r>
      <w:r>
        <w:rPr>
          <w:rFonts w:hint="default" w:ascii="Times New Roman" w:hAnsi="Times New Roman" w:eastAsia="方正仿宋_GBK" w:cs="Times New Roman"/>
          <w:color w:val="000000" w:themeColor="text1"/>
          <w:kern w:val="2"/>
          <w:sz w:val="32"/>
          <w:szCs w:val="24"/>
          <w:highlight w:val="none"/>
          <w:lang w:val="en-US" w:eastAsia="zh-CN" w:bidi="ar-SA"/>
          <w14:textFill>
            <w14:solidFill>
              <w14:schemeClr w14:val="tx1"/>
            </w14:solidFill>
          </w14:textFill>
        </w:rPr>
        <w:t>逾期</w:t>
      </w:r>
      <w:r>
        <w:rPr>
          <w:rFonts w:hint="default" w:ascii="Times New Roman" w:hAnsi="Times New Roman" w:cs="Times New Roman"/>
          <w:color w:val="000000" w:themeColor="text1"/>
          <w:kern w:val="2"/>
          <w:sz w:val="32"/>
          <w:szCs w:val="24"/>
          <w:highlight w:val="none"/>
          <w:lang w:val="en-US" w:eastAsia="zh-CN" w:bidi="ar-SA"/>
          <w14:textFill>
            <w14:solidFill>
              <w14:schemeClr w14:val="tx1"/>
            </w14:solidFill>
          </w14:textFill>
        </w:rPr>
        <w:t>未</w:t>
      </w:r>
      <w:r>
        <w:rPr>
          <w:rFonts w:hint="default" w:ascii="Times New Roman" w:hAnsi="Times New Roman" w:eastAsia="方正仿宋_GBK" w:cs="Times New Roman"/>
          <w:color w:val="000000" w:themeColor="text1"/>
          <w:kern w:val="2"/>
          <w:sz w:val="32"/>
          <w:szCs w:val="24"/>
          <w:highlight w:val="none"/>
          <w:lang w:val="en-US" w:eastAsia="zh-CN" w:bidi="ar-SA"/>
          <w14:textFill>
            <w14:solidFill>
              <w14:schemeClr w14:val="tx1"/>
            </w14:solidFill>
          </w14:textFill>
        </w:rPr>
        <w:t>改正的，依法予以处罚，录入信用档案；涉嫌犯罪的，移交公安部门依法处理。</w:t>
      </w:r>
    </w:p>
    <w:p>
      <w:pPr>
        <w:keepNext w:val="0"/>
        <w:keepLines w:val="0"/>
        <w:pageBreakBefore w:val="0"/>
        <w:widowControl w:val="0"/>
        <w:numPr>
          <w:ilvl w:val="0"/>
          <w:numId w:val="0"/>
        </w:numPr>
        <w:kinsoku/>
        <w:wordWrap/>
        <w:overflowPunct w:val="0"/>
        <w:topLinePunct/>
        <w:autoSpaceDE/>
        <w:autoSpaceDN/>
        <w:bidi w:val="0"/>
        <w:adjustRightInd/>
        <w:snapToGrid/>
        <w:spacing w:line="560" w:lineRule="exact"/>
        <w:ind w:left="0" w:leftChars="0" w:firstLine="640" w:firstLineChars="200"/>
        <w:jc w:val="both"/>
        <w:textAlignment w:val="auto"/>
        <w:rPr>
          <w:rFonts w:hint="default" w:ascii="Times New Roman" w:hAnsi="Times New Roman" w:eastAsia="方正楷体_GBK"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方正楷体_GBK" w:cs="Times New Roman"/>
          <w:color w:val="000000" w:themeColor="text1"/>
          <w:sz w:val="32"/>
          <w:szCs w:val="32"/>
          <w:highlight w:val="none"/>
          <w:lang w:val="en-US" w:eastAsia="zh-CN"/>
          <w14:textFill>
            <w14:solidFill>
              <w14:schemeClr w14:val="tx1"/>
            </w14:solidFill>
          </w14:textFill>
        </w:rPr>
        <w:t>（二）街道办事处</w:t>
      </w:r>
    </w:p>
    <w:p>
      <w:pPr>
        <w:keepNext w:val="0"/>
        <w:keepLines w:val="0"/>
        <w:pageBreakBefore w:val="0"/>
        <w:widowControl w:val="0"/>
        <w:kinsoku/>
        <w:wordWrap/>
        <w:overflowPunct w:val="0"/>
        <w:topLinePunct/>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color w:val="000000" w:themeColor="text1"/>
          <w:kern w:val="2"/>
          <w:sz w:val="32"/>
          <w:szCs w:val="24"/>
          <w:highlight w:val="none"/>
          <w:lang w:val="en-US" w:eastAsia="zh-CN" w:bidi="ar-SA"/>
          <w14:textFill>
            <w14:solidFill>
              <w14:schemeClr w14:val="tx1"/>
            </w14:solidFill>
          </w14:textFill>
        </w:rPr>
      </w:pPr>
      <w:r>
        <w:rPr>
          <w:rFonts w:hint="default" w:ascii="Times New Roman" w:hAnsi="Times New Roman" w:eastAsia="方正仿宋_GBK" w:cs="Times New Roman"/>
          <w:color w:val="000000" w:themeColor="text1"/>
          <w:kern w:val="2"/>
          <w:sz w:val="32"/>
          <w:szCs w:val="24"/>
          <w:highlight w:val="none"/>
          <w:lang w:val="en-US" w:eastAsia="zh-CN" w:bidi="ar-SA"/>
          <w14:textFill>
            <w14:solidFill>
              <w14:schemeClr w14:val="tx1"/>
            </w14:solidFill>
          </w14:textFill>
        </w:rPr>
        <w:t>负责本辖区公共收益政策执行情况的日常监督和管理，负责</w:t>
      </w:r>
      <w:r>
        <w:rPr>
          <w:rFonts w:hint="default" w:ascii="Times New Roman" w:hAnsi="Times New Roman" w:cs="Times New Roman"/>
          <w:color w:val="000000" w:themeColor="text1"/>
          <w:kern w:val="2"/>
          <w:sz w:val="32"/>
          <w:szCs w:val="24"/>
          <w:highlight w:val="none"/>
          <w:lang w:val="en-US" w:eastAsia="zh-CN" w:bidi="ar-SA"/>
          <w14:textFill>
            <w14:solidFill>
              <w14:schemeClr w14:val="tx1"/>
            </w14:solidFill>
          </w14:textFill>
        </w:rPr>
        <w:t>组织</w:t>
      </w:r>
      <w:r>
        <w:rPr>
          <w:rFonts w:hint="default" w:ascii="Times New Roman" w:hAnsi="Times New Roman" w:eastAsia="方正仿宋_GBK" w:cs="Times New Roman"/>
          <w:color w:val="000000" w:themeColor="text1"/>
          <w:kern w:val="2"/>
          <w:sz w:val="32"/>
          <w:szCs w:val="24"/>
          <w:highlight w:val="none"/>
          <w:lang w:val="en-US" w:eastAsia="zh-CN" w:bidi="ar-SA"/>
          <w14:textFill>
            <w14:solidFill>
              <w14:schemeClr w14:val="tx1"/>
            </w14:solidFill>
          </w14:textFill>
        </w:rPr>
        <w:t>开展公共收益收支情况检查，指导监督物业服务企业、业主委员会公示公共收益的收支和结余情况，</w:t>
      </w:r>
      <w:r>
        <w:rPr>
          <w:rFonts w:hint="default" w:ascii="Times New Roman" w:hAnsi="Times New Roman" w:cs="Times New Roman"/>
          <w:color w:val="000000" w:themeColor="text1"/>
          <w:szCs w:val="32"/>
          <w:highlight w:val="none"/>
          <w:lang w:eastAsia="zh-CN"/>
          <w14:textFill>
            <w14:solidFill>
              <w14:schemeClr w14:val="tx1"/>
            </w14:solidFill>
          </w14:textFill>
        </w:rPr>
        <w:t>指导业主大会制定公共收益管理制度，</w:t>
      </w:r>
      <w:r>
        <w:rPr>
          <w:rFonts w:hint="default" w:ascii="Times New Roman" w:hAnsi="Times New Roman" w:eastAsia="方正仿宋_GBK" w:cs="Times New Roman"/>
          <w:color w:val="000000" w:themeColor="text1"/>
          <w:kern w:val="2"/>
          <w:sz w:val="32"/>
          <w:szCs w:val="24"/>
          <w:highlight w:val="none"/>
          <w:lang w:val="en-US" w:eastAsia="zh-CN" w:bidi="ar-SA"/>
          <w14:textFill>
            <w14:solidFill>
              <w14:schemeClr w14:val="tx1"/>
            </w14:solidFill>
          </w14:textFill>
        </w:rPr>
        <w:t>协调和处理公共收益相关矛盾纠纷。对业主委员会不按照规定公示、移交公共收益，或侵占、挪用公共收益的，由街道办事处依法</w:t>
      </w:r>
      <w:r>
        <w:rPr>
          <w:rFonts w:hint="default" w:ascii="Times New Roman" w:hAnsi="Times New Roman" w:cs="Times New Roman"/>
          <w:color w:val="000000" w:themeColor="text1"/>
          <w:kern w:val="2"/>
          <w:sz w:val="32"/>
          <w:szCs w:val="24"/>
          <w:highlight w:val="none"/>
          <w:lang w:val="en-US" w:eastAsia="zh-CN" w:bidi="ar-SA"/>
          <w14:textFill>
            <w14:solidFill>
              <w14:schemeClr w14:val="tx1"/>
            </w14:solidFill>
          </w14:textFill>
        </w:rPr>
        <w:t>依规</w:t>
      </w:r>
      <w:r>
        <w:rPr>
          <w:rFonts w:hint="default" w:ascii="Times New Roman" w:hAnsi="Times New Roman" w:eastAsia="方正仿宋_GBK" w:cs="Times New Roman"/>
          <w:color w:val="000000" w:themeColor="text1"/>
          <w:kern w:val="2"/>
          <w:sz w:val="32"/>
          <w:szCs w:val="24"/>
          <w:highlight w:val="none"/>
          <w:lang w:val="en-US" w:eastAsia="zh-CN" w:bidi="ar-SA"/>
          <w14:textFill>
            <w14:solidFill>
              <w14:schemeClr w14:val="tx1"/>
            </w14:solidFill>
          </w14:textFill>
        </w:rPr>
        <w:t>处理；涉嫌犯罪的，移交公安部门依法处理。</w:t>
      </w:r>
    </w:p>
    <w:p>
      <w:pPr>
        <w:pStyle w:val="2"/>
        <w:keepNext w:val="0"/>
        <w:keepLines w:val="0"/>
        <w:pageBreakBefore w:val="0"/>
        <w:widowControl w:val="0"/>
        <w:kinsoku/>
        <w:wordWrap/>
        <w:autoSpaceDE/>
        <w:autoSpaceDN/>
        <w:bidi w:val="0"/>
        <w:spacing w:line="580" w:lineRule="atLeast"/>
        <w:ind w:firstLine="640" w:firstLineChars="200"/>
        <w:textAlignment w:val="auto"/>
        <w:rPr>
          <w:rFonts w:hint="default" w:ascii="Times New Roman" w:hAnsi="Times New Roman" w:eastAsia="方正仿宋_GBK" w:cs="Times New Roman"/>
          <w:color w:val="000000" w:themeColor="text1"/>
          <w:sz w:val="32"/>
          <w:szCs w:val="32"/>
          <w:lang w:eastAsia="zh-CN"/>
          <w14:textFill>
            <w14:solidFill>
              <w14:schemeClr w14:val="tx1"/>
            </w14:solidFill>
          </w14:textFill>
        </w:rPr>
      </w:pPr>
    </w:p>
    <w:sectPr>
      <w:footerReference r:id="rId3" w:type="default"/>
      <w:pgSz w:w="11906" w:h="16838"/>
      <w:pgMar w:top="1984" w:right="1446" w:bottom="1644" w:left="1446" w:header="851" w:footer="1474"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script"/>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方正楷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019423D"/>
    <w:rsid w:val="176C3078"/>
    <w:rsid w:val="18C57F8F"/>
    <w:rsid w:val="18D24F1B"/>
    <w:rsid w:val="1FBF533F"/>
    <w:rsid w:val="2AF07C9E"/>
    <w:rsid w:val="3AF741D5"/>
    <w:rsid w:val="3B936B4F"/>
    <w:rsid w:val="446E7B8F"/>
    <w:rsid w:val="4FB07878"/>
    <w:rsid w:val="5BE73996"/>
    <w:rsid w:val="74DD5957"/>
    <w:rsid w:val="7AB4796D"/>
    <w:rsid w:val="7E379A42"/>
    <w:rsid w:val="DB7F4DD7"/>
    <w:rsid w:val="EFDCC038"/>
    <w:rsid w:val="FAB371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方正仿宋_GBK" w:cs="Times New Roman"/>
      <w:kern w:val="2"/>
      <w:sz w:val="32"/>
      <w:lang w:val="en-US" w:eastAsia="zh-CN" w:bidi="ar-SA"/>
    </w:rPr>
  </w:style>
  <w:style w:type="character" w:default="1" w:styleId="6">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rPr>
  </w:style>
  <w:style w:type="paragraph" w:styleId="3">
    <w:name w:val="Body Text"/>
    <w:basedOn w:val="1"/>
    <w:next w:val="1"/>
    <w:qFormat/>
    <w:uiPriority w:val="0"/>
    <w:pPr>
      <w:spacing w:line="0" w:lineRule="atLeast"/>
    </w:pPr>
    <w:rPr>
      <w:szCs w:val="20"/>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Message Header"/>
    <w:next w:val="3"/>
    <w:qFormat/>
    <w:uiPriority w:val="0"/>
    <w:pPr>
      <w:widowControl w:val="0"/>
      <w:pBdr>
        <w:top w:val="single" w:color="auto" w:sz="6" w:space="1"/>
        <w:left w:val="single" w:color="auto" w:sz="6" w:space="1"/>
        <w:bottom w:val="single" w:color="auto" w:sz="6" w:space="1"/>
        <w:right w:val="single" w:color="auto" w:sz="6" w:space="1"/>
      </w:pBdr>
      <w:shd w:val="pct20" w:color="auto" w:fill="auto"/>
      <w:ind w:left="1080" w:leftChars="500" w:hanging="1080" w:hangingChars="500"/>
      <w:jc w:val="both"/>
    </w:pPr>
    <w:rPr>
      <w:rFonts w:ascii="Cambria" w:hAnsi="Cambria" w:eastAsia="宋体" w:cs="Times New Roman"/>
      <w:kern w:val="2"/>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Info spid="_x0000_s1027"/>
    <customShpInfo spid="_x0000_s10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275</Words>
  <Characters>285</Characters>
  <Lines>0</Lines>
  <Paragraphs>0</Paragraphs>
  <TotalTime>8</TotalTime>
  <ScaleCrop>false</ScaleCrop>
  <LinksUpToDate>false</LinksUpToDate>
  <CharactersWithSpaces>311</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2025-10-30T08:02:00Z</dcterms:created>
  <dc:creator>wuq</dc:creator>
  <cp:lastModifiedBy>不爱吃鱼的猫</cp:lastModifiedBy>
  <cp:lastPrinted>2025-10-30T08:11:00Z</cp:lastPrinted>
  <dcterms:modified xsi:type="dcterms:W3CDTF">2026-07-28T06:52:13Z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KSOTemplateDocerSaveRecord">
    <vt:lpwstr>eyJoZGlkIjoiODkyNjQ1Y2M3YWIyMjVlYmMyMzg4MGVmN2RiNWM4Y2QiLCJ1c2VySWQiOiIxMTQ1MDgxNDQyIn0=</vt:lpwstr>
  </property>
  <property fmtid="{D5CDD505-2E9C-101B-9397-08002B2CF9AE}" pid="4" name="ICV">
    <vt:lpwstr>3B929015EC494E85BB75998427985644_13</vt:lpwstr>
  </property>
</Properties>
</file>