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widowControl w:val="0"/>
        <w:spacing w:beforeAutospacing="0" w:afterAutospacing="0"/>
        <w:ind w:firstLine="0" w:firstLineChars="0"/>
        <w:jc w:val="center"/>
        <w:rPr>
          <w:rFonts w:hint="default" w:ascii="方正小标宋_GBK" w:eastAsia="方正小标宋_GBK" w:cs="黑体"/>
          <w:color w:val="000000" w:themeColor="text1"/>
          <w:sz w:val="44"/>
          <w:szCs w:val="44"/>
        </w:rPr>
      </w:pPr>
      <w:bookmarkStart w:id="0" w:name="_GoBack"/>
      <w:bookmarkEnd w:id="0"/>
      <w:r>
        <w:rPr>
          <w:rFonts w:ascii="方正小标宋_GBK" w:eastAsia="方正小标宋_GBK" w:cs="黑体"/>
          <w:color w:val="000000" w:themeColor="text1"/>
          <w:sz w:val="44"/>
          <w:szCs w:val="44"/>
        </w:rPr>
        <w:t>收入支出决算总表</w:t>
      </w:r>
    </w:p>
    <w:p>
      <w:pPr>
        <w:pStyle w:val="50"/>
        <w:widowControl w:val="0"/>
        <w:autoSpaceDE w:val="0"/>
        <w:spacing w:before="0" w:beforeAutospacing="0" w:after="0" w:afterAutospacing="0"/>
        <w:ind w:firstLine="0" w:firstLineChars="0"/>
        <w:jc w:val="right"/>
        <w:rPr>
          <w:rFonts w:hint="default" w:ascii="方正楷体_GBK" w:eastAsia="方正楷体_GBK"/>
          <w:color w:val="000000" w:themeColor="text1"/>
          <w:sz w:val="32"/>
          <w:szCs w:val="32"/>
        </w:rPr>
      </w:pPr>
      <w:r>
        <w:rPr>
          <w:rFonts w:ascii="方正楷体_GBK" w:eastAsia="方正楷体_GBK"/>
          <w:color w:val="000000" w:themeColor="text1"/>
          <w:sz w:val="32"/>
          <w:szCs w:val="32"/>
        </w:rPr>
        <w:t>公开01表</w:t>
      </w:r>
    </w:p>
    <w:p>
      <w:pPr>
        <w:pStyle w:val="50"/>
        <w:widowControl w:val="0"/>
        <w:autoSpaceDE w:val="0"/>
        <w:spacing w:before="0" w:beforeAutospacing="0" w:afterLines="20" w:afterAutospacing="0"/>
        <w:ind w:firstLine="0" w:firstLineChars="0"/>
        <w:jc w:val="both"/>
        <w:rPr>
          <w:rFonts w:hint="default" w:ascii="方正楷体_GBK" w:eastAsia="方正楷体_GBK"/>
          <w:color w:val="000000" w:themeColor="text1"/>
          <w:sz w:val="32"/>
          <w:szCs w:val="32"/>
        </w:rPr>
      </w:pPr>
      <w:r>
        <w:rPr>
          <w:rFonts w:ascii="方正楷体_GBK" w:eastAsia="方正楷体_GBK"/>
          <w:color w:val="000000" w:themeColor="text1"/>
          <w:sz w:val="32"/>
          <w:szCs w:val="32"/>
        </w:rPr>
        <w:t>公开部门：重庆市渝中区人民政府外事办公室                                    2020年度                                                                                              单位：万元</w:t>
      </w:r>
    </w:p>
    <w:tbl>
      <w:tblPr>
        <w:tblStyle w:val="20"/>
        <w:tblW w:w="5000" w:type="pct"/>
        <w:jc w:val="center"/>
        <w:tblLayout w:type="autofit"/>
        <w:tblCellMar>
          <w:top w:w="0" w:type="dxa"/>
          <w:left w:w="108" w:type="dxa"/>
          <w:bottom w:w="0" w:type="dxa"/>
          <w:right w:w="108" w:type="dxa"/>
        </w:tblCellMar>
      </w:tblPr>
      <w:tblGrid>
        <w:gridCol w:w="5489"/>
        <w:gridCol w:w="3535"/>
        <w:gridCol w:w="7155"/>
        <w:gridCol w:w="5015"/>
      </w:tblGrid>
      <w:tr>
        <w:tblPrEx>
          <w:tblCellMar>
            <w:top w:w="0" w:type="dxa"/>
            <w:left w:w="108" w:type="dxa"/>
            <w:bottom w:w="0" w:type="dxa"/>
            <w:right w:w="108" w:type="dxa"/>
          </w:tblCellMar>
        </w:tblPrEx>
        <w:trPr>
          <w:trHeight w:val="365" w:hRule="atLeast"/>
          <w:jc w:val="center"/>
        </w:trPr>
        <w:tc>
          <w:tcPr>
            <w:tcW w:w="2129" w:type="pct"/>
            <w:gridSpan w:val="2"/>
            <w:tcBorders>
              <w:top w:val="single" w:color="auto" w:sz="4" w:space="0"/>
              <w:left w:val="single" w:color="auto" w:sz="4" w:space="0"/>
              <w:bottom w:val="single" w:color="auto" w:sz="4" w:space="0"/>
              <w:right w:val="single" w:color="auto" w:sz="4" w:space="0"/>
            </w:tcBorders>
            <w:noWrap/>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收   入</w:t>
            </w:r>
          </w:p>
        </w:tc>
        <w:tc>
          <w:tcPr>
            <w:tcW w:w="2871" w:type="pct"/>
            <w:gridSpan w:val="2"/>
            <w:tcBorders>
              <w:top w:val="single" w:color="auto" w:sz="4" w:space="0"/>
              <w:left w:val="nil"/>
              <w:bottom w:val="single" w:color="auto" w:sz="4" w:space="0"/>
              <w:right w:val="single" w:color="auto" w:sz="4" w:space="0"/>
            </w:tcBorders>
            <w:noWrap/>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支   出</w:t>
            </w:r>
          </w:p>
        </w:tc>
      </w:tr>
      <w:tr>
        <w:tblPrEx>
          <w:tblCellMar>
            <w:top w:w="0" w:type="dxa"/>
            <w:left w:w="108" w:type="dxa"/>
            <w:bottom w:w="0" w:type="dxa"/>
            <w:right w:w="108" w:type="dxa"/>
          </w:tblCellMar>
        </w:tblPrEx>
        <w:trPr>
          <w:trHeight w:val="365"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   目</w:t>
            </w:r>
          </w:p>
        </w:tc>
        <w:tc>
          <w:tcPr>
            <w:tcW w:w="834" w:type="pct"/>
            <w:tcBorders>
              <w:top w:val="single" w:color="auto" w:sz="4" w:space="0"/>
              <w:left w:val="nil"/>
              <w:bottom w:val="single" w:color="auto" w:sz="4" w:space="0"/>
              <w:right w:val="single" w:color="auto" w:sz="4" w:space="0"/>
            </w:tcBorders>
            <w:noWrap/>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决算数</w:t>
            </w:r>
          </w:p>
        </w:tc>
        <w:tc>
          <w:tcPr>
            <w:tcW w:w="1688" w:type="pct"/>
            <w:tcBorders>
              <w:top w:val="single" w:color="auto" w:sz="4" w:space="0"/>
              <w:left w:val="nil"/>
              <w:bottom w:val="single" w:color="auto" w:sz="4" w:space="0"/>
              <w:right w:val="single" w:color="auto" w:sz="4" w:space="0"/>
            </w:tcBorders>
            <w:noWrap/>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功能分类科目</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决算数</w:t>
            </w: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一、一般公共预算财政拨款收入</w:t>
            </w: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734.01</w:t>
            </w: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一、一般公共服务支出</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562.49</w:t>
            </w: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二、政府性基金预算财政拨款收入</w:t>
            </w: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二、外交支出</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三、国有资本经营预算财政拨款收入</w:t>
            </w: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三、国防支出</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四、上级补助收入</w:t>
            </w: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四、公共安全支出</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五、事业收入</w:t>
            </w: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五、教育支出</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六、经营收入</w:t>
            </w: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六、科学技术支出</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七、附属单位上缴收入</w:t>
            </w: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七、文化旅游体育与传媒支出</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八、其他收入</w:t>
            </w: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八、社会保障和就业支出</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11.63</w:t>
            </w: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九、卫生健康支出</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6.90</w:t>
            </w: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十、节能环保支出</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十一、城乡社区支出</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十二、农林水支出</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十三、交通运输支出</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十四、资源勘探信息等支出</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十五、商业服务业等支出</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143.42</w:t>
            </w: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十六、金融支出</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十七、援助其他地区支出</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十八、自然资源海洋气象等支出</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十九、住房保障支出</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7.99</w:t>
            </w: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二十、粮油物资储备支出</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二十一、国有资本经营预算支出</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二十二、灾害防治及应急管理支出</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二十三、其他支出</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二十四、债务还本支出</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二十五、债务付息支出</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二十六、抗疫特别国债安排的支出</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本年收入合计</w:t>
            </w: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734.01</w:t>
            </w: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本年支出合计</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732.43</w:t>
            </w: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使用非财政拨款结余</w:t>
            </w: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结余分配</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年初结转和结余</w:t>
            </w: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0.24</w:t>
            </w: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年末结转和结余</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1.82</w:t>
            </w:r>
          </w:p>
        </w:tc>
      </w:tr>
      <w:tr>
        <w:tblPrEx>
          <w:tblCellMar>
            <w:top w:w="0" w:type="dxa"/>
            <w:left w:w="108" w:type="dxa"/>
            <w:bottom w:w="0" w:type="dxa"/>
            <w:right w:w="108" w:type="dxa"/>
          </w:tblCellMar>
        </w:tblPrEx>
        <w:trPr>
          <w:trHeight w:val="340" w:hRule="atLeast"/>
          <w:jc w:val="center"/>
        </w:trPr>
        <w:tc>
          <w:tcPr>
            <w:tcW w:w="1295"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总计</w:t>
            </w: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734.25</w:t>
            </w:r>
          </w:p>
        </w:tc>
        <w:tc>
          <w:tcPr>
            <w:tcW w:w="168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总计</w:t>
            </w:r>
          </w:p>
        </w:tc>
        <w:tc>
          <w:tcPr>
            <w:tcW w:w="11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734.25</w:t>
            </w:r>
          </w:p>
        </w:tc>
      </w:tr>
      <w:tr>
        <w:tblPrEx>
          <w:tblCellMar>
            <w:top w:w="0" w:type="dxa"/>
            <w:left w:w="108" w:type="dxa"/>
            <w:bottom w:w="0" w:type="dxa"/>
            <w:right w:w="108" w:type="dxa"/>
          </w:tblCellMar>
        </w:tblPrEx>
        <w:trPr>
          <w:gridAfter w:val="1"/>
          <w:wAfter w:w="1183" w:type="pct"/>
          <w:trHeight w:val="300" w:hRule="atLeast"/>
          <w:jc w:val="center"/>
        </w:trPr>
        <w:tc>
          <w:tcPr>
            <w:tcW w:w="2129" w:type="pct"/>
            <w:gridSpan w:val="2"/>
            <w:tcBorders>
              <w:top w:val="nil"/>
              <w:left w:val="nil"/>
              <w:bottom w:val="nil"/>
              <w:right w:val="nil"/>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备注：本表反映部门本年度的总收支和年末结转结余等情况。 </w:t>
            </w:r>
          </w:p>
        </w:tc>
        <w:tc>
          <w:tcPr>
            <w:tcW w:w="1688" w:type="pct"/>
            <w:tcBorders>
              <w:top w:val="nil"/>
              <w:left w:val="nil"/>
              <w:bottom w:val="nil"/>
              <w:right w:val="nil"/>
            </w:tcBorders>
            <w:vAlign w:val="center"/>
          </w:tcPr>
          <w:p>
            <w:pPr>
              <w:widowControl w:val="0"/>
              <w:spacing w:line="320" w:lineRule="exact"/>
              <w:ind w:firstLine="0" w:firstLineChars="0"/>
              <w:textAlignment w:val="center"/>
              <w:rPr>
                <w:rFonts w:hint="default"/>
                <w:color w:val="000000" w:themeColor="text1"/>
                <w:sz w:val="24"/>
              </w:rPr>
            </w:pPr>
          </w:p>
        </w:tc>
      </w:tr>
    </w:tbl>
    <w:p>
      <w:pPr>
        <w:pStyle w:val="18"/>
        <w:widowControl w:val="0"/>
        <w:spacing w:beforeAutospacing="0" w:afterAutospacing="0"/>
        <w:ind w:firstLine="0" w:firstLineChars="0"/>
        <w:jc w:val="center"/>
        <w:rPr>
          <w:rFonts w:hint="default" w:ascii="方正小标宋_GBK" w:eastAsia="方正小标宋_GBK" w:cs="黑体"/>
          <w:color w:val="000000" w:themeColor="text1"/>
          <w:sz w:val="44"/>
          <w:szCs w:val="44"/>
        </w:rPr>
      </w:pPr>
      <w:r>
        <w:rPr>
          <w:rFonts w:ascii="方正小标宋_GBK" w:eastAsia="方正小标宋_GBK" w:cs="黑体"/>
          <w:color w:val="000000" w:themeColor="text1"/>
          <w:sz w:val="44"/>
          <w:szCs w:val="44"/>
        </w:rPr>
        <w:t>收入决算表</w:t>
      </w:r>
    </w:p>
    <w:p>
      <w:pPr>
        <w:pStyle w:val="50"/>
        <w:widowControl w:val="0"/>
        <w:autoSpaceDE w:val="0"/>
        <w:spacing w:before="0" w:beforeAutospacing="0" w:after="0" w:afterAutospacing="0"/>
        <w:ind w:firstLine="0" w:firstLineChars="0"/>
        <w:jc w:val="right"/>
        <w:rPr>
          <w:rFonts w:hint="default" w:ascii="方正楷体_GBK" w:eastAsia="方正楷体_GBK"/>
          <w:color w:val="000000" w:themeColor="text1"/>
          <w:sz w:val="32"/>
          <w:szCs w:val="32"/>
        </w:rPr>
      </w:pPr>
      <w:r>
        <w:rPr>
          <w:rFonts w:ascii="方正楷体_GBK" w:eastAsia="方正楷体_GBK"/>
          <w:color w:val="000000" w:themeColor="text1"/>
          <w:sz w:val="32"/>
          <w:szCs w:val="32"/>
        </w:rPr>
        <w:t>公开02表</w:t>
      </w:r>
    </w:p>
    <w:p>
      <w:pPr>
        <w:pStyle w:val="50"/>
        <w:widowControl w:val="0"/>
        <w:autoSpaceDE w:val="0"/>
        <w:spacing w:before="0" w:beforeAutospacing="0" w:afterLines="20" w:afterAutospacing="0"/>
        <w:ind w:firstLine="0" w:firstLineChars="0"/>
        <w:jc w:val="both"/>
        <w:rPr>
          <w:rFonts w:hint="default" w:ascii="方正楷体_GBK" w:eastAsia="方正楷体_GBK"/>
          <w:color w:val="000000" w:themeColor="text1"/>
          <w:sz w:val="32"/>
          <w:szCs w:val="32"/>
        </w:rPr>
      </w:pPr>
      <w:r>
        <w:rPr>
          <w:rFonts w:ascii="方正楷体_GBK" w:eastAsia="方正楷体_GBK"/>
          <w:color w:val="000000" w:themeColor="text1"/>
          <w:sz w:val="32"/>
          <w:szCs w:val="32"/>
        </w:rPr>
        <w:t xml:space="preserve">公开部门：重庆市渝中区人民政府外事办公室                                      2020年度                                                                                             单位：万元 </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3"/>
        <w:gridCol w:w="4176"/>
        <w:gridCol w:w="1962"/>
        <w:gridCol w:w="1962"/>
        <w:gridCol w:w="1946"/>
        <w:gridCol w:w="1204"/>
        <w:gridCol w:w="2132"/>
        <w:gridCol w:w="1577"/>
        <w:gridCol w:w="2319"/>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06" w:type="pct"/>
            <w:gridSpan w:val="2"/>
            <w:noWrap/>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   目</w:t>
            </w:r>
          </w:p>
        </w:tc>
        <w:tc>
          <w:tcPr>
            <w:tcW w:w="467" w:type="pct"/>
            <w:vMerge w:val="restart"/>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本年收入合计</w:t>
            </w:r>
          </w:p>
        </w:tc>
        <w:tc>
          <w:tcPr>
            <w:tcW w:w="467" w:type="pct"/>
            <w:vMerge w:val="restart"/>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财政拨款收入</w:t>
            </w:r>
          </w:p>
        </w:tc>
        <w:tc>
          <w:tcPr>
            <w:tcW w:w="463" w:type="pct"/>
            <w:vMerge w:val="restart"/>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上级补助收入</w:t>
            </w:r>
          </w:p>
        </w:tc>
        <w:tc>
          <w:tcPr>
            <w:tcW w:w="795" w:type="pct"/>
            <w:gridSpan w:val="2"/>
            <w:vMerge w:val="restart"/>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事业收入</w:t>
            </w:r>
          </w:p>
        </w:tc>
        <w:tc>
          <w:tcPr>
            <w:tcW w:w="376" w:type="pct"/>
            <w:vMerge w:val="restart"/>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经营收入</w:t>
            </w:r>
          </w:p>
        </w:tc>
        <w:tc>
          <w:tcPr>
            <w:tcW w:w="551" w:type="pct"/>
            <w:vMerge w:val="restart"/>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附属单位上缴收入</w:t>
            </w:r>
          </w:p>
        </w:tc>
        <w:tc>
          <w:tcPr>
            <w:tcW w:w="376" w:type="pct"/>
            <w:vMerge w:val="restart"/>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7" w:type="pct"/>
            <w:vMerge w:val="restart"/>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功能分类科目编码</w:t>
            </w:r>
          </w:p>
        </w:tc>
        <w:tc>
          <w:tcPr>
            <w:tcW w:w="949" w:type="pct"/>
            <w:vMerge w:val="restart"/>
            <w:noWrap/>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项目（按“项”级功能分类科目）</w:t>
            </w:r>
          </w:p>
        </w:tc>
        <w:tc>
          <w:tcPr>
            <w:tcW w:w="467" w:type="pct"/>
            <w:vMerge w:val="continue"/>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p>
        </w:tc>
        <w:tc>
          <w:tcPr>
            <w:tcW w:w="467" w:type="pct"/>
            <w:vMerge w:val="continue"/>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p>
        </w:tc>
        <w:tc>
          <w:tcPr>
            <w:tcW w:w="463" w:type="pct"/>
            <w:vMerge w:val="continue"/>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p>
        </w:tc>
        <w:tc>
          <w:tcPr>
            <w:tcW w:w="795" w:type="pct"/>
            <w:gridSpan w:val="2"/>
            <w:vMerge w:val="continue"/>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p>
        </w:tc>
        <w:tc>
          <w:tcPr>
            <w:tcW w:w="376" w:type="pct"/>
            <w:vMerge w:val="continue"/>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p>
        </w:tc>
        <w:tc>
          <w:tcPr>
            <w:tcW w:w="551" w:type="pct"/>
            <w:vMerge w:val="continue"/>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p>
        </w:tc>
        <w:tc>
          <w:tcPr>
            <w:tcW w:w="376" w:type="pct"/>
            <w:vMerge w:val="continue"/>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7" w:type="pct"/>
            <w:vMerge w:val="continue"/>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p>
        </w:tc>
        <w:tc>
          <w:tcPr>
            <w:tcW w:w="949" w:type="pct"/>
            <w:vMerge w:val="continue"/>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p>
        </w:tc>
        <w:tc>
          <w:tcPr>
            <w:tcW w:w="467" w:type="pct"/>
            <w:vMerge w:val="continue"/>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p>
        </w:tc>
        <w:tc>
          <w:tcPr>
            <w:tcW w:w="467" w:type="pct"/>
            <w:vMerge w:val="continue"/>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p>
        </w:tc>
        <w:tc>
          <w:tcPr>
            <w:tcW w:w="463" w:type="pct"/>
            <w:vMerge w:val="continue"/>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p>
        </w:tc>
        <w:tc>
          <w:tcPr>
            <w:tcW w:w="288" w:type="pct"/>
            <w:vMerge w:val="restart"/>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小   计</w:t>
            </w:r>
          </w:p>
        </w:tc>
        <w:tc>
          <w:tcPr>
            <w:tcW w:w="507" w:type="pct"/>
            <w:vMerge w:val="restart"/>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其中：教育收费</w:t>
            </w:r>
          </w:p>
        </w:tc>
        <w:tc>
          <w:tcPr>
            <w:tcW w:w="376" w:type="pct"/>
            <w:vMerge w:val="continue"/>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p>
        </w:tc>
        <w:tc>
          <w:tcPr>
            <w:tcW w:w="551" w:type="pct"/>
            <w:vMerge w:val="continue"/>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p>
        </w:tc>
        <w:tc>
          <w:tcPr>
            <w:tcW w:w="376" w:type="pct"/>
            <w:vMerge w:val="continue"/>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7" w:type="pct"/>
            <w:vMerge w:val="continue"/>
            <w:vAlign w:val="center"/>
          </w:tcPr>
          <w:p>
            <w:pPr>
              <w:widowControl w:val="0"/>
              <w:spacing w:line="320" w:lineRule="exact"/>
              <w:ind w:firstLine="0" w:firstLineChars="0"/>
              <w:textAlignment w:val="center"/>
              <w:rPr>
                <w:rFonts w:hint="default"/>
                <w:color w:val="000000" w:themeColor="text1"/>
                <w:sz w:val="24"/>
              </w:rPr>
            </w:pPr>
          </w:p>
        </w:tc>
        <w:tc>
          <w:tcPr>
            <w:tcW w:w="949" w:type="pct"/>
            <w:vMerge w:val="continue"/>
            <w:vAlign w:val="center"/>
          </w:tcPr>
          <w:p>
            <w:pPr>
              <w:widowControl w:val="0"/>
              <w:spacing w:line="320" w:lineRule="exact"/>
              <w:ind w:firstLine="0" w:firstLineChars="0"/>
              <w:textAlignment w:val="center"/>
              <w:rPr>
                <w:rFonts w:hint="default"/>
                <w:color w:val="000000" w:themeColor="text1"/>
                <w:sz w:val="24"/>
              </w:rPr>
            </w:pPr>
          </w:p>
        </w:tc>
        <w:tc>
          <w:tcPr>
            <w:tcW w:w="467" w:type="pct"/>
            <w:vMerge w:val="continue"/>
            <w:vAlign w:val="center"/>
          </w:tcPr>
          <w:p>
            <w:pPr>
              <w:widowControl w:val="0"/>
              <w:spacing w:line="320" w:lineRule="exact"/>
              <w:ind w:firstLine="0" w:firstLineChars="0"/>
              <w:textAlignment w:val="center"/>
              <w:rPr>
                <w:rFonts w:hint="default"/>
                <w:color w:val="000000" w:themeColor="text1"/>
                <w:sz w:val="24"/>
              </w:rPr>
            </w:pPr>
          </w:p>
        </w:tc>
        <w:tc>
          <w:tcPr>
            <w:tcW w:w="467" w:type="pct"/>
            <w:vMerge w:val="continue"/>
            <w:vAlign w:val="center"/>
          </w:tcPr>
          <w:p>
            <w:pPr>
              <w:widowControl w:val="0"/>
              <w:spacing w:line="320" w:lineRule="exact"/>
              <w:ind w:firstLine="0" w:firstLineChars="0"/>
              <w:textAlignment w:val="center"/>
              <w:rPr>
                <w:rFonts w:hint="default"/>
                <w:color w:val="000000" w:themeColor="text1"/>
                <w:sz w:val="24"/>
              </w:rPr>
            </w:pPr>
          </w:p>
        </w:tc>
        <w:tc>
          <w:tcPr>
            <w:tcW w:w="463" w:type="pct"/>
            <w:vMerge w:val="continue"/>
            <w:vAlign w:val="center"/>
          </w:tcPr>
          <w:p>
            <w:pPr>
              <w:widowControl w:val="0"/>
              <w:spacing w:line="320" w:lineRule="exact"/>
              <w:ind w:firstLine="0" w:firstLineChars="0"/>
              <w:textAlignment w:val="center"/>
              <w:rPr>
                <w:rFonts w:hint="default"/>
                <w:color w:val="000000" w:themeColor="text1"/>
                <w:sz w:val="24"/>
              </w:rPr>
            </w:pPr>
          </w:p>
        </w:tc>
        <w:tc>
          <w:tcPr>
            <w:tcW w:w="288" w:type="pct"/>
            <w:vMerge w:val="continue"/>
            <w:vAlign w:val="center"/>
          </w:tcPr>
          <w:p>
            <w:pPr>
              <w:widowControl w:val="0"/>
              <w:spacing w:line="320" w:lineRule="exact"/>
              <w:ind w:firstLine="0" w:firstLineChars="0"/>
              <w:textAlignment w:val="center"/>
              <w:rPr>
                <w:rFonts w:hint="default"/>
                <w:color w:val="000000" w:themeColor="text1"/>
                <w:sz w:val="24"/>
              </w:rPr>
            </w:pPr>
          </w:p>
        </w:tc>
        <w:tc>
          <w:tcPr>
            <w:tcW w:w="507" w:type="pct"/>
            <w:vMerge w:val="continue"/>
            <w:vAlign w:val="center"/>
          </w:tcPr>
          <w:p>
            <w:pPr>
              <w:widowControl w:val="0"/>
              <w:spacing w:line="320" w:lineRule="exact"/>
              <w:ind w:firstLine="0" w:firstLineChars="0"/>
              <w:textAlignment w:val="center"/>
              <w:rPr>
                <w:rFonts w:hint="default"/>
                <w:color w:val="000000" w:themeColor="text1"/>
                <w:sz w:val="24"/>
              </w:rPr>
            </w:pPr>
          </w:p>
        </w:tc>
        <w:tc>
          <w:tcPr>
            <w:tcW w:w="376" w:type="pct"/>
            <w:vMerge w:val="continue"/>
            <w:vAlign w:val="center"/>
          </w:tcPr>
          <w:p>
            <w:pPr>
              <w:widowControl w:val="0"/>
              <w:spacing w:line="320" w:lineRule="exact"/>
              <w:ind w:firstLine="0" w:firstLineChars="0"/>
              <w:textAlignment w:val="center"/>
              <w:rPr>
                <w:rFonts w:hint="default"/>
                <w:color w:val="000000" w:themeColor="text1"/>
                <w:sz w:val="24"/>
              </w:rPr>
            </w:pPr>
          </w:p>
        </w:tc>
        <w:tc>
          <w:tcPr>
            <w:tcW w:w="551" w:type="pct"/>
            <w:vMerge w:val="continue"/>
            <w:vAlign w:val="center"/>
          </w:tcPr>
          <w:p>
            <w:pPr>
              <w:widowControl w:val="0"/>
              <w:spacing w:line="320" w:lineRule="exact"/>
              <w:ind w:firstLine="0" w:firstLineChars="0"/>
              <w:textAlignment w:val="center"/>
              <w:rPr>
                <w:rFonts w:hint="default"/>
                <w:color w:val="000000" w:themeColor="text1"/>
                <w:sz w:val="24"/>
              </w:rPr>
            </w:pPr>
          </w:p>
        </w:tc>
        <w:tc>
          <w:tcPr>
            <w:tcW w:w="376" w:type="pct"/>
            <w:vMerge w:val="continue"/>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06" w:type="pct"/>
            <w:gridSpan w:val="2"/>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合计</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734.01</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734.01</w:t>
            </w:r>
          </w:p>
        </w:tc>
        <w:tc>
          <w:tcPr>
            <w:tcW w:w="463" w:type="pct"/>
            <w:noWrap/>
            <w:vAlign w:val="center"/>
          </w:tcPr>
          <w:p>
            <w:pPr>
              <w:widowControl w:val="0"/>
              <w:spacing w:line="320" w:lineRule="exact"/>
              <w:ind w:firstLine="0" w:firstLineChars="0"/>
              <w:textAlignment w:val="center"/>
              <w:rPr>
                <w:rFonts w:hint="default"/>
                <w:color w:val="000000" w:themeColor="text1"/>
                <w:sz w:val="24"/>
              </w:rPr>
            </w:pPr>
          </w:p>
        </w:tc>
        <w:tc>
          <w:tcPr>
            <w:tcW w:w="288" w:type="pct"/>
            <w:noWrap/>
            <w:vAlign w:val="center"/>
          </w:tcPr>
          <w:p>
            <w:pPr>
              <w:widowControl w:val="0"/>
              <w:spacing w:line="320" w:lineRule="exact"/>
              <w:ind w:firstLine="0" w:firstLineChars="0"/>
              <w:textAlignment w:val="center"/>
              <w:rPr>
                <w:rFonts w:hint="default"/>
                <w:color w:val="000000" w:themeColor="text1"/>
                <w:sz w:val="24"/>
              </w:rPr>
            </w:pPr>
          </w:p>
        </w:tc>
        <w:tc>
          <w:tcPr>
            <w:tcW w:w="507"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c>
          <w:tcPr>
            <w:tcW w:w="551"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201</w:t>
            </w:r>
          </w:p>
        </w:tc>
        <w:tc>
          <w:tcPr>
            <w:tcW w:w="949"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一般公共服务支出</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564.06</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564.06</w:t>
            </w:r>
          </w:p>
        </w:tc>
        <w:tc>
          <w:tcPr>
            <w:tcW w:w="463" w:type="pct"/>
            <w:noWrap/>
            <w:vAlign w:val="center"/>
          </w:tcPr>
          <w:p>
            <w:pPr>
              <w:widowControl w:val="0"/>
              <w:spacing w:line="320" w:lineRule="exact"/>
              <w:ind w:firstLine="0" w:firstLineChars="0"/>
              <w:textAlignment w:val="center"/>
              <w:rPr>
                <w:rFonts w:hint="default"/>
                <w:color w:val="000000" w:themeColor="text1"/>
                <w:sz w:val="24"/>
              </w:rPr>
            </w:pPr>
          </w:p>
        </w:tc>
        <w:tc>
          <w:tcPr>
            <w:tcW w:w="288" w:type="pct"/>
            <w:noWrap/>
            <w:vAlign w:val="center"/>
          </w:tcPr>
          <w:p>
            <w:pPr>
              <w:widowControl w:val="0"/>
              <w:spacing w:line="320" w:lineRule="exact"/>
              <w:ind w:firstLine="0" w:firstLineChars="0"/>
              <w:textAlignment w:val="center"/>
              <w:rPr>
                <w:rFonts w:hint="default"/>
                <w:color w:val="000000" w:themeColor="text1"/>
                <w:sz w:val="24"/>
              </w:rPr>
            </w:pPr>
          </w:p>
        </w:tc>
        <w:tc>
          <w:tcPr>
            <w:tcW w:w="507"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c>
          <w:tcPr>
            <w:tcW w:w="551"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20132</w:t>
            </w:r>
          </w:p>
        </w:tc>
        <w:tc>
          <w:tcPr>
            <w:tcW w:w="949"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组织事务</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0.06</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0.06</w:t>
            </w:r>
          </w:p>
        </w:tc>
        <w:tc>
          <w:tcPr>
            <w:tcW w:w="463" w:type="pct"/>
            <w:noWrap/>
            <w:vAlign w:val="center"/>
          </w:tcPr>
          <w:p>
            <w:pPr>
              <w:widowControl w:val="0"/>
              <w:spacing w:line="320" w:lineRule="exact"/>
              <w:ind w:firstLine="0" w:firstLineChars="0"/>
              <w:textAlignment w:val="center"/>
              <w:rPr>
                <w:rFonts w:hint="default"/>
                <w:color w:val="000000" w:themeColor="text1"/>
                <w:sz w:val="24"/>
              </w:rPr>
            </w:pPr>
          </w:p>
        </w:tc>
        <w:tc>
          <w:tcPr>
            <w:tcW w:w="288" w:type="pct"/>
            <w:noWrap/>
            <w:vAlign w:val="center"/>
          </w:tcPr>
          <w:p>
            <w:pPr>
              <w:widowControl w:val="0"/>
              <w:spacing w:line="320" w:lineRule="exact"/>
              <w:ind w:firstLine="0" w:firstLineChars="0"/>
              <w:textAlignment w:val="center"/>
              <w:rPr>
                <w:rFonts w:hint="default"/>
                <w:color w:val="000000" w:themeColor="text1"/>
                <w:sz w:val="24"/>
              </w:rPr>
            </w:pPr>
          </w:p>
        </w:tc>
        <w:tc>
          <w:tcPr>
            <w:tcW w:w="507"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c>
          <w:tcPr>
            <w:tcW w:w="551"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2013202</w:t>
            </w:r>
          </w:p>
        </w:tc>
        <w:tc>
          <w:tcPr>
            <w:tcW w:w="949"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一般行政管理事务</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0.06</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0.06</w:t>
            </w:r>
          </w:p>
        </w:tc>
        <w:tc>
          <w:tcPr>
            <w:tcW w:w="463" w:type="pct"/>
            <w:noWrap/>
            <w:vAlign w:val="center"/>
          </w:tcPr>
          <w:p>
            <w:pPr>
              <w:widowControl w:val="0"/>
              <w:spacing w:line="320" w:lineRule="exact"/>
              <w:ind w:firstLine="0" w:firstLineChars="0"/>
              <w:textAlignment w:val="center"/>
              <w:rPr>
                <w:rFonts w:hint="default"/>
                <w:color w:val="000000" w:themeColor="text1"/>
                <w:sz w:val="24"/>
              </w:rPr>
            </w:pPr>
          </w:p>
        </w:tc>
        <w:tc>
          <w:tcPr>
            <w:tcW w:w="288" w:type="pct"/>
            <w:noWrap/>
            <w:vAlign w:val="center"/>
          </w:tcPr>
          <w:p>
            <w:pPr>
              <w:widowControl w:val="0"/>
              <w:spacing w:line="320" w:lineRule="exact"/>
              <w:ind w:firstLine="0" w:firstLineChars="0"/>
              <w:textAlignment w:val="center"/>
              <w:rPr>
                <w:rFonts w:hint="default"/>
                <w:color w:val="000000" w:themeColor="text1"/>
                <w:sz w:val="24"/>
              </w:rPr>
            </w:pPr>
          </w:p>
        </w:tc>
        <w:tc>
          <w:tcPr>
            <w:tcW w:w="507"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c>
          <w:tcPr>
            <w:tcW w:w="551"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20135</w:t>
            </w:r>
          </w:p>
        </w:tc>
        <w:tc>
          <w:tcPr>
            <w:tcW w:w="949"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对外联络事务</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564.00</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564.00</w:t>
            </w:r>
          </w:p>
        </w:tc>
        <w:tc>
          <w:tcPr>
            <w:tcW w:w="463" w:type="pct"/>
            <w:noWrap/>
            <w:vAlign w:val="center"/>
          </w:tcPr>
          <w:p>
            <w:pPr>
              <w:widowControl w:val="0"/>
              <w:spacing w:line="320" w:lineRule="exact"/>
              <w:ind w:firstLine="0" w:firstLineChars="0"/>
              <w:textAlignment w:val="center"/>
              <w:rPr>
                <w:rFonts w:hint="default"/>
                <w:color w:val="000000" w:themeColor="text1"/>
                <w:sz w:val="24"/>
              </w:rPr>
            </w:pPr>
          </w:p>
        </w:tc>
        <w:tc>
          <w:tcPr>
            <w:tcW w:w="288" w:type="pct"/>
            <w:noWrap/>
            <w:vAlign w:val="center"/>
          </w:tcPr>
          <w:p>
            <w:pPr>
              <w:widowControl w:val="0"/>
              <w:spacing w:line="320" w:lineRule="exact"/>
              <w:ind w:firstLine="0" w:firstLineChars="0"/>
              <w:textAlignment w:val="center"/>
              <w:rPr>
                <w:rFonts w:hint="default"/>
                <w:color w:val="000000" w:themeColor="text1"/>
                <w:sz w:val="24"/>
              </w:rPr>
            </w:pPr>
          </w:p>
        </w:tc>
        <w:tc>
          <w:tcPr>
            <w:tcW w:w="507"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c>
          <w:tcPr>
            <w:tcW w:w="551"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2013501</w:t>
            </w:r>
          </w:p>
        </w:tc>
        <w:tc>
          <w:tcPr>
            <w:tcW w:w="949"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行政运行</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104.70</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104.70</w:t>
            </w:r>
          </w:p>
        </w:tc>
        <w:tc>
          <w:tcPr>
            <w:tcW w:w="463" w:type="pct"/>
            <w:noWrap/>
            <w:vAlign w:val="center"/>
          </w:tcPr>
          <w:p>
            <w:pPr>
              <w:widowControl w:val="0"/>
              <w:spacing w:line="320" w:lineRule="exact"/>
              <w:ind w:firstLine="0" w:firstLineChars="0"/>
              <w:textAlignment w:val="center"/>
              <w:rPr>
                <w:rFonts w:hint="default"/>
                <w:color w:val="000000" w:themeColor="text1"/>
                <w:sz w:val="24"/>
              </w:rPr>
            </w:pPr>
          </w:p>
        </w:tc>
        <w:tc>
          <w:tcPr>
            <w:tcW w:w="288" w:type="pct"/>
            <w:noWrap/>
            <w:vAlign w:val="center"/>
          </w:tcPr>
          <w:p>
            <w:pPr>
              <w:widowControl w:val="0"/>
              <w:spacing w:line="320" w:lineRule="exact"/>
              <w:ind w:firstLine="0" w:firstLineChars="0"/>
              <w:textAlignment w:val="center"/>
              <w:rPr>
                <w:rFonts w:hint="default"/>
                <w:color w:val="000000" w:themeColor="text1"/>
                <w:sz w:val="24"/>
              </w:rPr>
            </w:pPr>
          </w:p>
        </w:tc>
        <w:tc>
          <w:tcPr>
            <w:tcW w:w="507"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c>
          <w:tcPr>
            <w:tcW w:w="551"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2013502</w:t>
            </w:r>
          </w:p>
        </w:tc>
        <w:tc>
          <w:tcPr>
            <w:tcW w:w="949"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一般行政管理事务</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434.04</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434.04</w:t>
            </w:r>
          </w:p>
        </w:tc>
        <w:tc>
          <w:tcPr>
            <w:tcW w:w="463" w:type="pct"/>
            <w:noWrap/>
            <w:vAlign w:val="center"/>
          </w:tcPr>
          <w:p>
            <w:pPr>
              <w:widowControl w:val="0"/>
              <w:spacing w:line="320" w:lineRule="exact"/>
              <w:ind w:firstLine="0" w:firstLineChars="0"/>
              <w:textAlignment w:val="center"/>
              <w:rPr>
                <w:rFonts w:hint="default"/>
                <w:color w:val="000000" w:themeColor="text1"/>
                <w:sz w:val="24"/>
              </w:rPr>
            </w:pPr>
          </w:p>
        </w:tc>
        <w:tc>
          <w:tcPr>
            <w:tcW w:w="288" w:type="pct"/>
            <w:noWrap/>
            <w:vAlign w:val="center"/>
          </w:tcPr>
          <w:p>
            <w:pPr>
              <w:widowControl w:val="0"/>
              <w:spacing w:line="320" w:lineRule="exact"/>
              <w:ind w:firstLine="0" w:firstLineChars="0"/>
              <w:textAlignment w:val="center"/>
              <w:rPr>
                <w:rFonts w:hint="default"/>
                <w:color w:val="000000" w:themeColor="text1"/>
                <w:sz w:val="24"/>
              </w:rPr>
            </w:pPr>
          </w:p>
        </w:tc>
        <w:tc>
          <w:tcPr>
            <w:tcW w:w="507"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c>
          <w:tcPr>
            <w:tcW w:w="551"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2013550</w:t>
            </w:r>
          </w:p>
        </w:tc>
        <w:tc>
          <w:tcPr>
            <w:tcW w:w="949"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事业运行</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25.26</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25.26</w:t>
            </w:r>
          </w:p>
        </w:tc>
        <w:tc>
          <w:tcPr>
            <w:tcW w:w="463" w:type="pct"/>
            <w:noWrap/>
            <w:vAlign w:val="center"/>
          </w:tcPr>
          <w:p>
            <w:pPr>
              <w:widowControl w:val="0"/>
              <w:spacing w:line="320" w:lineRule="exact"/>
              <w:ind w:firstLine="0" w:firstLineChars="0"/>
              <w:textAlignment w:val="center"/>
              <w:rPr>
                <w:rFonts w:hint="default"/>
                <w:color w:val="000000" w:themeColor="text1"/>
                <w:sz w:val="24"/>
              </w:rPr>
            </w:pPr>
          </w:p>
        </w:tc>
        <w:tc>
          <w:tcPr>
            <w:tcW w:w="288" w:type="pct"/>
            <w:noWrap/>
            <w:vAlign w:val="center"/>
          </w:tcPr>
          <w:p>
            <w:pPr>
              <w:widowControl w:val="0"/>
              <w:spacing w:line="320" w:lineRule="exact"/>
              <w:ind w:firstLine="0" w:firstLineChars="0"/>
              <w:textAlignment w:val="center"/>
              <w:rPr>
                <w:rFonts w:hint="default"/>
                <w:color w:val="000000" w:themeColor="text1"/>
                <w:sz w:val="24"/>
              </w:rPr>
            </w:pPr>
          </w:p>
        </w:tc>
        <w:tc>
          <w:tcPr>
            <w:tcW w:w="507"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c>
          <w:tcPr>
            <w:tcW w:w="551"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208</w:t>
            </w:r>
          </w:p>
        </w:tc>
        <w:tc>
          <w:tcPr>
            <w:tcW w:w="949"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社会保障和就业支出</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11.63</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11.63</w:t>
            </w:r>
          </w:p>
        </w:tc>
        <w:tc>
          <w:tcPr>
            <w:tcW w:w="463" w:type="pct"/>
            <w:noWrap/>
            <w:vAlign w:val="center"/>
          </w:tcPr>
          <w:p>
            <w:pPr>
              <w:widowControl w:val="0"/>
              <w:spacing w:line="320" w:lineRule="exact"/>
              <w:ind w:firstLine="0" w:firstLineChars="0"/>
              <w:textAlignment w:val="center"/>
              <w:rPr>
                <w:rFonts w:hint="default"/>
                <w:color w:val="000000" w:themeColor="text1"/>
                <w:sz w:val="24"/>
              </w:rPr>
            </w:pPr>
          </w:p>
        </w:tc>
        <w:tc>
          <w:tcPr>
            <w:tcW w:w="288" w:type="pct"/>
            <w:noWrap/>
            <w:vAlign w:val="center"/>
          </w:tcPr>
          <w:p>
            <w:pPr>
              <w:widowControl w:val="0"/>
              <w:spacing w:line="320" w:lineRule="exact"/>
              <w:ind w:firstLine="0" w:firstLineChars="0"/>
              <w:textAlignment w:val="center"/>
              <w:rPr>
                <w:rFonts w:hint="default"/>
                <w:color w:val="000000" w:themeColor="text1"/>
                <w:sz w:val="24"/>
              </w:rPr>
            </w:pPr>
          </w:p>
        </w:tc>
        <w:tc>
          <w:tcPr>
            <w:tcW w:w="507"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c>
          <w:tcPr>
            <w:tcW w:w="551"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20805</w:t>
            </w:r>
          </w:p>
        </w:tc>
        <w:tc>
          <w:tcPr>
            <w:tcW w:w="949"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行政事业单位养老支出</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11.63</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11.63</w:t>
            </w:r>
          </w:p>
        </w:tc>
        <w:tc>
          <w:tcPr>
            <w:tcW w:w="463" w:type="pct"/>
            <w:noWrap/>
            <w:vAlign w:val="center"/>
          </w:tcPr>
          <w:p>
            <w:pPr>
              <w:widowControl w:val="0"/>
              <w:spacing w:line="320" w:lineRule="exact"/>
              <w:ind w:firstLine="0" w:firstLineChars="0"/>
              <w:textAlignment w:val="center"/>
              <w:rPr>
                <w:rFonts w:hint="default"/>
                <w:color w:val="000000" w:themeColor="text1"/>
                <w:sz w:val="24"/>
              </w:rPr>
            </w:pPr>
          </w:p>
        </w:tc>
        <w:tc>
          <w:tcPr>
            <w:tcW w:w="288" w:type="pct"/>
            <w:noWrap/>
            <w:vAlign w:val="center"/>
          </w:tcPr>
          <w:p>
            <w:pPr>
              <w:widowControl w:val="0"/>
              <w:spacing w:line="320" w:lineRule="exact"/>
              <w:ind w:firstLine="0" w:firstLineChars="0"/>
              <w:textAlignment w:val="center"/>
              <w:rPr>
                <w:rFonts w:hint="default"/>
                <w:color w:val="000000" w:themeColor="text1"/>
                <w:sz w:val="24"/>
              </w:rPr>
            </w:pPr>
          </w:p>
        </w:tc>
        <w:tc>
          <w:tcPr>
            <w:tcW w:w="507"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c>
          <w:tcPr>
            <w:tcW w:w="551"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2080505</w:t>
            </w:r>
          </w:p>
        </w:tc>
        <w:tc>
          <w:tcPr>
            <w:tcW w:w="949"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机关事业单位基本养老保险缴费支出</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7.70</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7.70</w:t>
            </w:r>
          </w:p>
        </w:tc>
        <w:tc>
          <w:tcPr>
            <w:tcW w:w="463" w:type="pct"/>
            <w:noWrap/>
            <w:vAlign w:val="center"/>
          </w:tcPr>
          <w:p>
            <w:pPr>
              <w:widowControl w:val="0"/>
              <w:spacing w:line="320" w:lineRule="exact"/>
              <w:ind w:firstLine="0" w:firstLineChars="0"/>
              <w:textAlignment w:val="center"/>
              <w:rPr>
                <w:rFonts w:hint="default"/>
                <w:color w:val="000000" w:themeColor="text1"/>
                <w:sz w:val="24"/>
              </w:rPr>
            </w:pPr>
          </w:p>
        </w:tc>
        <w:tc>
          <w:tcPr>
            <w:tcW w:w="288" w:type="pct"/>
            <w:noWrap/>
            <w:vAlign w:val="center"/>
          </w:tcPr>
          <w:p>
            <w:pPr>
              <w:widowControl w:val="0"/>
              <w:spacing w:line="320" w:lineRule="exact"/>
              <w:ind w:firstLine="0" w:firstLineChars="0"/>
              <w:textAlignment w:val="center"/>
              <w:rPr>
                <w:rFonts w:hint="default"/>
                <w:color w:val="000000" w:themeColor="text1"/>
                <w:sz w:val="24"/>
              </w:rPr>
            </w:pPr>
          </w:p>
        </w:tc>
        <w:tc>
          <w:tcPr>
            <w:tcW w:w="507"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c>
          <w:tcPr>
            <w:tcW w:w="551"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2080506</w:t>
            </w:r>
          </w:p>
        </w:tc>
        <w:tc>
          <w:tcPr>
            <w:tcW w:w="949"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机关事业单位职业年金缴费支出</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3.93</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3.93</w:t>
            </w:r>
          </w:p>
        </w:tc>
        <w:tc>
          <w:tcPr>
            <w:tcW w:w="463" w:type="pct"/>
            <w:noWrap/>
            <w:vAlign w:val="center"/>
          </w:tcPr>
          <w:p>
            <w:pPr>
              <w:widowControl w:val="0"/>
              <w:spacing w:line="320" w:lineRule="exact"/>
              <w:ind w:firstLine="0" w:firstLineChars="0"/>
              <w:textAlignment w:val="center"/>
              <w:rPr>
                <w:rFonts w:hint="default"/>
                <w:color w:val="000000" w:themeColor="text1"/>
                <w:sz w:val="24"/>
              </w:rPr>
            </w:pPr>
          </w:p>
        </w:tc>
        <w:tc>
          <w:tcPr>
            <w:tcW w:w="288" w:type="pct"/>
            <w:noWrap/>
            <w:vAlign w:val="center"/>
          </w:tcPr>
          <w:p>
            <w:pPr>
              <w:widowControl w:val="0"/>
              <w:spacing w:line="320" w:lineRule="exact"/>
              <w:ind w:firstLine="0" w:firstLineChars="0"/>
              <w:textAlignment w:val="center"/>
              <w:rPr>
                <w:rFonts w:hint="default"/>
                <w:color w:val="000000" w:themeColor="text1"/>
                <w:sz w:val="24"/>
              </w:rPr>
            </w:pPr>
          </w:p>
        </w:tc>
        <w:tc>
          <w:tcPr>
            <w:tcW w:w="507"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c>
          <w:tcPr>
            <w:tcW w:w="551"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210</w:t>
            </w:r>
          </w:p>
        </w:tc>
        <w:tc>
          <w:tcPr>
            <w:tcW w:w="949"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卫生健康支出</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6.90</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6.90</w:t>
            </w:r>
          </w:p>
        </w:tc>
        <w:tc>
          <w:tcPr>
            <w:tcW w:w="463" w:type="pct"/>
            <w:noWrap/>
            <w:vAlign w:val="center"/>
          </w:tcPr>
          <w:p>
            <w:pPr>
              <w:widowControl w:val="0"/>
              <w:spacing w:line="320" w:lineRule="exact"/>
              <w:ind w:firstLine="0" w:firstLineChars="0"/>
              <w:textAlignment w:val="center"/>
              <w:rPr>
                <w:rFonts w:hint="default"/>
                <w:color w:val="000000" w:themeColor="text1"/>
                <w:sz w:val="24"/>
              </w:rPr>
            </w:pPr>
          </w:p>
        </w:tc>
        <w:tc>
          <w:tcPr>
            <w:tcW w:w="288" w:type="pct"/>
            <w:noWrap/>
            <w:vAlign w:val="center"/>
          </w:tcPr>
          <w:p>
            <w:pPr>
              <w:widowControl w:val="0"/>
              <w:spacing w:line="320" w:lineRule="exact"/>
              <w:ind w:firstLine="0" w:firstLineChars="0"/>
              <w:textAlignment w:val="center"/>
              <w:rPr>
                <w:rFonts w:hint="default"/>
                <w:color w:val="000000" w:themeColor="text1"/>
                <w:sz w:val="24"/>
              </w:rPr>
            </w:pPr>
          </w:p>
        </w:tc>
        <w:tc>
          <w:tcPr>
            <w:tcW w:w="507"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c>
          <w:tcPr>
            <w:tcW w:w="551"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21004</w:t>
            </w:r>
          </w:p>
        </w:tc>
        <w:tc>
          <w:tcPr>
            <w:tcW w:w="949"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公共卫生</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0.89</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0.89</w:t>
            </w:r>
          </w:p>
        </w:tc>
        <w:tc>
          <w:tcPr>
            <w:tcW w:w="463" w:type="pct"/>
            <w:noWrap/>
            <w:vAlign w:val="center"/>
          </w:tcPr>
          <w:p>
            <w:pPr>
              <w:widowControl w:val="0"/>
              <w:spacing w:line="320" w:lineRule="exact"/>
              <w:ind w:firstLine="0" w:firstLineChars="0"/>
              <w:textAlignment w:val="center"/>
              <w:rPr>
                <w:rFonts w:hint="default"/>
                <w:color w:val="000000" w:themeColor="text1"/>
                <w:sz w:val="24"/>
              </w:rPr>
            </w:pPr>
          </w:p>
        </w:tc>
        <w:tc>
          <w:tcPr>
            <w:tcW w:w="288" w:type="pct"/>
            <w:noWrap/>
            <w:vAlign w:val="center"/>
          </w:tcPr>
          <w:p>
            <w:pPr>
              <w:widowControl w:val="0"/>
              <w:spacing w:line="320" w:lineRule="exact"/>
              <w:ind w:firstLine="0" w:firstLineChars="0"/>
              <w:textAlignment w:val="center"/>
              <w:rPr>
                <w:rFonts w:hint="default"/>
                <w:color w:val="000000" w:themeColor="text1"/>
                <w:sz w:val="24"/>
              </w:rPr>
            </w:pPr>
          </w:p>
        </w:tc>
        <w:tc>
          <w:tcPr>
            <w:tcW w:w="507"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c>
          <w:tcPr>
            <w:tcW w:w="551"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2100410</w:t>
            </w:r>
          </w:p>
        </w:tc>
        <w:tc>
          <w:tcPr>
            <w:tcW w:w="949"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突发公共卫生事件应急处理</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0.89</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0.89</w:t>
            </w:r>
          </w:p>
        </w:tc>
        <w:tc>
          <w:tcPr>
            <w:tcW w:w="463" w:type="pct"/>
            <w:noWrap/>
            <w:vAlign w:val="center"/>
          </w:tcPr>
          <w:p>
            <w:pPr>
              <w:widowControl w:val="0"/>
              <w:spacing w:line="320" w:lineRule="exact"/>
              <w:ind w:firstLine="0" w:firstLineChars="0"/>
              <w:textAlignment w:val="center"/>
              <w:rPr>
                <w:rFonts w:hint="default"/>
                <w:color w:val="000000" w:themeColor="text1"/>
                <w:sz w:val="24"/>
              </w:rPr>
            </w:pPr>
          </w:p>
        </w:tc>
        <w:tc>
          <w:tcPr>
            <w:tcW w:w="288" w:type="pct"/>
            <w:noWrap/>
            <w:vAlign w:val="center"/>
          </w:tcPr>
          <w:p>
            <w:pPr>
              <w:widowControl w:val="0"/>
              <w:spacing w:line="320" w:lineRule="exact"/>
              <w:ind w:firstLine="0" w:firstLineChars="0"/>
              <w:textAlignment w:val="center"/>
              <w:rPr>
                <w:rFonts w:hint="default"/>
                <w:color w:val="000000" w:themeColor="text1"/>
                <w:sz w:val="24"/>
              </w:rPr>
            </w:pPr>
          </w:p>
        </w:tc>
        <w:tc>
          <w:tcPr>
            <w:tcW w:w="507"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c>
          <w:tcPr>
            <w:tcW w:w="551"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21011</w:t>
            </w:r>
          </w:p>
        </w:tc>
        <w:tc>
          <w:tcPr>
            <w:tcW w:w="949"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行政事业单位医疗</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6.01</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6.01</w:t>
            </w:r>
          </w:p>
        </w:tc>
        <w:tc>
          <w:tcPr>
            <w:tcW w:w="463" w:type="pct"/>
            <w:noWrap/>
            <w:vAlign w:val="center"/>
          </w:tcPr>
          <w:p>
            <w:pPr>
              <w:widowControl w:val="0"/>
              <w:spacing w:line="320" w:lineRule="exact"/>
              <w:ind w:firstLine="0" w:firstLineChars="0"/>
              <w:textAlignment w:val="center"/>
              <w:rPr>
                <w:rFonts w:hint="default"/>
                <w:color w:val="000000" w:themeColor="text1"/>
                <w:sz w:val="24"/>
              </w:rPr>
            </w:pPr>
          </w:p>
        </w:tc>
        <w:tc>
          <w:tcPr>
            <w:tcW w:w="288" w:type="pct"/>
            <w:noWrap/>
            <w:vAlign w:val="center"/>
          </w:tcPr>
          <w:p>
            <w:pPr>
              <w:widowControl w:val="0"/>
              <w:spacing w:line="320" w:lineRule="exact"/>
              <w:ind w:firstLine="0" w:firstLineChars="0"/>
              <w:textAlignment w:val="center"/>
              <w:rPr>
                <w:rFonts w:hint="default"/>
                <w:color w:val="000000" w:themeColor="text1"/>
                <w:sz w:val="24"/>
              </w:rPr>
            </w:pPr>
          </w:p>
        </w:tc>
        <w:tc>
          <w:tcPr>
            <w:tcW w:w="507"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c>
          <w:tcPr>
            <w:tcW w:w="551"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2101101</w:t>
            </w:r>
          </w:p>
        </w:tc>
        <w:tc>
          <w:tcPr>
            <w:tcW w:w="949"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行政单位医疗</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4.64</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4.64</w:t>
            </w:r>
          </w:p>
        </w:tc>
        <w:tc>
          <w:tcPr>
            <w:tcW w:w="463" w:type="pct"/>
            <w:noWrap/>
            <w:vAlign w:val="center"/>
          </w:tcPr>
          <w:p>
            <w:pPr>
              <w:widowControl w:val="0"/>
              <w:spacing w:line="320" w:lineRule="exact"/>
              <w:ind w:firstLine="0" w:firstLineChars="0"/>
              <w:textAlignment w:val="center"/>
              <w:rPr>
                <w:rFonts w:hint="default"/>
                <w:color w:val="000000" w:themeColor="text1"/>
                <w:sz w:val="24"/>
              </w:rPr>
            </w:pPr>
          </w:p>
        </w:tc>
        <w:tc>
          <w:tcPr>
            <w:tcW w:w="288" w:type="pct"/>
            <w:noWrap/>
            <w:vAlign w:val="center"/>
          </w:tcPr>
          <w:p>
            <w:pPr>
              <w:widowControl w:val="0"/>
              <w:spacing w:line="320" w:lineRule="exact"/>
              <w:ind w:firstLine="0" w:firstLineChars="0"/>
              <w:textAlignment w:val="center"/>
              <w:rPr>
                <w:rFonts w:hint="default"/>
                <w:color w:val="000000" w:themeColor="text1"/>
                <w:sz w:val="24"/>
              </w:rPr>
            </w:pPr>
          </w:p>
        </w:tc>
        <w:tc>
          <w:tcPr>
            <w:tcW w:w="507"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c>
          <w:tcPr>
            <w:tcW w:w="551"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2101102</w:t>
            </w:r>
          </w:p>
        </w:tc>
        <w:tc>
          <w:tcPr>
            <w:tcW w:w="949"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事业单位医疗</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1.37</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1.37</w:t>
            </w:r>
          </w:p>
        </w:tc>
        <w:tc>
          <w:tcPr>
            <w:tcW w:w="463" w:type="pct"/>
            <w:noWrap/>
            <w:vAlign w:val="center"/>
          </w:tcPr>
          <w:p>
            <w:pPr>
              <w:widowControl w:val="0"/>
              <w:spacing w:line="320" w:lineRule="exact"/>
              <w:ind w:firstLine="0" w:firstLineChars="0"/>
              <w:textAlignment w:val="center"/>
              <w:rPr>
                <w:rFonts w:hint="default"/>
                <w:color w:val="000000" w:themeColor="text1"/>
                <w:sz w:val="24"/>
              </w:rPr>
            </w:pPr>
          </w:p>
        </w:tc>
        <w:tc>
          <w:tcPr>
            <w:tcW w:w="288" w:type="pct"/>
            <w:noWrap/>
            <w:vAlign w:val="center"/>
          </w:tcPr>
          <w:p>
            <w:pPr>
              <w:widowControl w:val="0"/>
              <w:spacing w:line="320" w:lineRule="exact"/>
              <w:ind w:firstLine="0" w:firstLineChars="0"/>
              <w:textAlignment w:val="center"/>
              <w:rPr>
                <w:rFonts w:hint="default"/>
                <w:color w:val="000000" w:themeColor="text1"/>
                <w:sz w:val="24"/>
              </w:rPr>
            </w:pPr>
          </w:p>
        </w:tc>
        <w:tc>
          <w:tcPr>
            <w:tcW w:w="507"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c>
          <w:tcPr>
            <w:tcW w:w="551"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216</w:t>
            </w:r>
          </w:p>
        </w:tc>
        <w:tc>
          <w:tcPr>
            <w:tcW w:w="949"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商业服务业等支出</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143.42</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143.42</w:t>
            </w:r>
          </w:p>
        </w:tc>
        <w:tc>
          <w:tcPr>
            <w:tcW w:w="463" w:type="pct"/>
            <w:noWrap/>
            <w:vAlign w:val="center"/>
          </w:tcPr>
          <w:p>
            <w:pPr>
              <w:widowControl w:val="0"/>
              <w:spacing w:line="320" w:lineRule="exact"/>
              <w:ind w:firstLine="0" w:firstLineChars="0"/>
              <w:textAlignment w:val="center"/>
              <w:rPr>
                <w:rFonts w:hint="default"/>
                <w:color w:val="000000" w:themeColor="text1"/>
                <w:sz w:val="24"/>
              </w:rPr>
            </w:pPr>
          </w:p>
        </w:tc>
        <w:tc>
          <w:tcPr>
            <w:tcW w:w="288" w:type="pct"/>
            <w:noWrap/>
            <w:vAlign w:val="center"/>
          </w:tcPr>
          <w:p>
            <w:pPr>
              <w:widowControl w:val="0"/>
              <w:spacing w:line="320" w:lineRule="exact"/>
              <w:ind w:firstLine="0" w:firstLineChars="0"/>
              <w:textAlignment w:val="center"/>
              <w:rPr>
                <w:rFonts w:hint="default"/>
                <w:color w:val="000000" w:themeColor="text1"/>
                <w:sz w:val="24"/>
              </w:rPr>
            </w:pPr>
          </w:p>
        </w:tc>
        <w:tc>
          <w:tcPr>
            <w:tcW w:w="507"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c>
          <w:tcPr>
            <w:tcW w:w="551"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21699</w:t>
            </w:r>
          </w:p>
        </w:tc>
        <w:tc>
          <w:tcPr>
            <w:tcW w:w="949"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其他商业服务业等支出</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143.42</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143.42</w:t>
            </w:r>
          </w:p>
        </w:tc>
        <w:tc>
          <w:tcPr>
            <w:tcW w:w="463" w:type="pct"/>
            <w:noWrap/>
            <w:vAlign w:val="center"/>
          </w:tcPr>
          <w:p>
            <w:pPr>
              <w:widowControl w:val="0"/>
              <w:spacing w:line="320" w:lineRule="exact"/>
              <w:ind w:firstLine="0" w:firstLineChars="0"/>
              <w:textAlignment w:val="center"/>
              <w:rPr>
                <w:rFonts w:hint="default"/>
                <w:color w:val="000000" w:themeColor="text1"/>
                <w:sz w:val="24"/>
              </w:rPr>
            </w:pPr>
          </w:p>
        </w:tc>
        <w:tc>
          <w:tcPr>
            <w:tcW w:w="288" w:type="pct"/>
            <w:noWrap/>
            <w:vAlign w:val="center"/>
          </w:tcPr>
          <w:p>
            <w:pPr>
              <w:widowControl w:val="0"/>
              <w:spacing w:line="320" w:lineRule="exact"/>
              <w:ind w:firstLine="0" w:firstLineChars="0"/>
              <w:textAlignment w:val="center"/>
              <w:rPr>
                <w:rFonts w:hint="default"/>
                <w:color w:val="000000" w:themeColor="text1"/>
                <w:sz w:val="24"/>
              </w:rPr>
            </w:pPr>
          </w:p>
        </w:tc>
        <w:tc>
          <w:tcPr>
            <w:tcW w:w="507"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c>
          <w:tcPr>
            <w:tcW w:w="551"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2169999</w:t>
            </w:r>
          </w:p>
        </w:tc>
        <w:tc>
          <w:tcPr>
            <w:tcW w:w="949"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其他商业服务业等支出</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143.42</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143.42</w:t>
            </w:r>
          </w:p>
        </w:tc>
        <w:tc>
          <w:tcPr>
            <w:tcW w:w="463" w:type="pct"/>
            <w:noWrap/>
            <w:vAlign w:val="center"/>
          </w:tcPr>
          <w:p>
            <w:pPr>
              <w:widowControl w:val="0"/>
              <w:spacing w:line="320" w:lineRule="exact"/>
              <w:ind w:firstLine="0" w:firstLineChars="0"/>
              <w:textAlignment w:val="center"/>
              <w:rPr>
                <w:rFonts w:hint="default"/>
                <w:color w:val="000000" w:themeColor="text1"/>
                <w:sz w:val="24"/>
              </w:rPr>
            </w:pPr>
          </w:p>
        </w:tc>
        <w:tc>
          <w:tcPr>
            <w:tcW w:w="288" w:type="pct"/>
            <w:noWrap/>
            <w:vAlign w:val="center"/>
          </w:tcPr>
          <w:p>
            <w:pPr>
              <w:widowControl w:val="0"/>
              <w:spacing w:line="320" w:lineRule="exact"/>
              <w:ind w:firstLine="0" w:firstLineChars="0"/>
              <w:textAlignment w:val="center"/>
              <w:rPr>
                <w:rFonts w:hint="default"/>
                <w:color w:val="000000" w:themeColor="text1"/>
                <w:sz w:val="24"/>
              </w:rPr>
            </w:pPr>
          </w:p>
        </w:tc>
        <w:tc>
          <w:tcPr>
            <w:tcW w:w="507"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c>
          <w:tcPr>
            <w:tcW w:w="551"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221</w:t>
            </w:r>
          </w:p>
        </w:tc>
        <w:tc>
          <w:tcPr>
            <w:tcW w:w="949"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住房保障支出</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7.99</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7.99</w:t>
            </w:r>
          </w:p>
        </w:tc>
        <w:tc>
          <w:tcPr>
            <w:tcW w:w="463" w:type="pct"/>
            <w:noWrap/>
            <w:vAlign w:val="center"/>
          </w:tcPr>
          <w:p>
            <w:pPr>
              <w:widowControl w:val="0"/>
              <w:spacing w:line="320" w:lineRule="exact"/>
              <w:ind w:firstLine="0" w:firstLineChars="0"/>
              <w:textAlignment w:val="center"/>
              <w:rPr>
                <w:rFonts w:hint="default"/>
                <w:color w:val="000000" w:themeColor="text1"/>
                <w:sz w:val="24"/>
              </w:rPr>
            </w:pPr>
          </w:p>
        </w:tc>
        <w:tc>
          <w:tcPr>
            <w:tcW w:w="288" w:type="pct"/>
            <w:noWrap/>
            <w:vAlign w:val="center"/>
          </w:tcPr>
          <w:p>
            <w:pPr>
              <w:widowControl w:val="0"/>
              <w:spacing w:line="320" w:lineRule="exact"/>
              <w:ind w:firstLine="0" w:firstLineChars="0"/>
              <w:textAlignment w:val="center"/>
              <w:rPr>
                <w:rFonts w:hint="default"/>
                <w:color w:val="000000" w:themeColor="text1"/>
                <w:sz w:val="24"/>
              </w:rPr>
            </w:pPr>
          </w:p>
        </w:tc>
        <w:tc>
          <w:tcPr>
            <w:tcW w:w="507"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c>
          <w:tcPr>
            <w:tcW w:w="551"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22102</w:t>
            </w:r>
          </w:p>
        </w:tc>
        <w:tc>
          <w:tcPr>
            <w:tcW w:w="949"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住房改革支出</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7.99</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7.99</w:t>
            </w:r>
          </w:p>
        </w:tc>
        <w:tc>
          <w:tcPr>
            <w:tcW w:w="463" w:type="pct"/>
            <w:noWrap/>
            <w:vAlign w:val="center"/>
          </w:tcPr>
          <w:p>
            <w:pPr>
              <w:widowControl w:val="0"/>
              <w:spacing w:line="320" w:lineRule="exact"/>
              <w:ind w:firstLine="0" w:firstLineChars="0"/>
              <w:textAlignment w:val="center"/>
              <w:rPr>
                <w:rFonts w:hint="default"/>
                <w:color w:val="000000" w:themeColor="text1"/>
                <w:sz w:val="24"/>
              </w:rPr>
            </w:pPr>
          </w:p>
        </w:tc>
        <w:tc>
          <w:tcPr>
            <w:tcW w:w="288" w:type="pct"/>
            <w:noWrap/>
            <w:vAlign w:val="center"/>
          </w:tcPr>
          <w:p>
            <w:pPr>
              <w:widowControl w:val="0"/>
              <w:spacing w:line="320" w:lineRule="exact"/>
              <w:ind w:firstLine="0" w:firstLineChars="0"/>
              <w:textAlignment w:val="center"/>
              <w:rPr>
                <w:rFonts w:hint="default"/>
                <w:color w:val="000000" w:themeColor="text1"/>
                <w:sz w:val="24"/>
              </w:rPr>
            </w:pPr>
          </w:p>
        </w:tc>
        <w:tc>
          <w:tcPr>
            <w:tcW w:w="507"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c>
          <w:tcPr>
            <w:tcW w:w="551"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2210201</w:t>
            </w:r>
          </w:p>
        </w:tc>
        <w:tc>
          <w:tcPr>
            <w:tcW w:w="949"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住房公积金</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5.78</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5.78</w:t>
            </w:r>
          </w:p>
        </w:tc>
        <w:tc>
          <w:tcPr>
            <w:tcW w:w="463" w:type="pct"/>
            <w:noWrap/>
            <w:vAlign w:val="center"/>
          </w:tcPr>
          <w:p>
            <w:pPr>
              <w:widowControl w:val="0"/>
              <w:spacing w:line="320" w:lineRule="exact"/>
              <w:ind w:firstLine="0" w:firstLineChars="0"/>
              <w:textAlignment w:val="center"/>
              <w:rPr>
                <w:rFonts w:hint="default"/>
                <w:color w:val="000000" w:themeColor="text1"/>
                <w:sz w:val="24"/>
              </w:rPr>
            </w:pPr>
          </w:p>
        </w:tc>
        <w:tc>
          <w:tcPr>
            <w:tcW w:w="288" w:type="pct"/>
            <w:noWrap/>
            <w:vAlign w:val="center"/>
          </w:tcPr>
          <w:p>
            <w:pPr>
              <w:widowControl w:val="0"/>
              <w:spacing w:line="320" w:lineRule="exact"/>
              <w:ind w:firstLine="0" w:firstLineChars="0"/>
              <w:textAlignment w:val="center"/>
              <w:rPr>
                <w:rFonts w:hint="default"/>
                <w:color w:val="000000" w:themeColor="text1"/>
                <w:sz w:val="24"/>
              </w:rPr>
            </w:pPr>
          </w:p>
        </w:tc>
        <w:tc>
          <w:tcPr>
            <w:tcW w:w="507"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c>
          <w:tcPr>
            <w:tcW w:w="551"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2210203</w:t>
            </w:r>
          </w:p>
        </w:tc>
        <w:tc>
          <w:tcPr>
            <w:tcW w:w="949"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购房补贴</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2.21</w:t>
            </w:r>
          </w:p>
        </w:tc>
        <w:tc>
          <w:tcPr>
            <w:tcW w:w="467" w:type="pct"/>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2.21</w:t>
            </w:r>
          </w:p>
        </w:tc>
        <w:tc>
          <w:tcPr>
            <w:tcW w:w="463" w:type="pct"/>
            <w:noWrap/>
            <w:vAlign w:val="center"/>
          </w:tcPr>
          <w:p>
            <w:pPr>
              <w:widowControl w:val="0"/>
              <w:spacing w:line="320" w:lineRule="exact"/>
              <w:ind w:firstLine="0" w:firstLineChars="0"/>
              <w:textAlignment w:val="center"/>
              <w:rPr>
                <w:rFonts w:hint="default"/>
                <w:color w:val="000000" w:themeColor="text1"/>
                <w:sz w:val="24"/>
              </w:rPr>
            </w:pPr>
          </w:p>
        </w:tc>
        <w:tc>
          <w:tcPr>
            <w:tcW w:w="288" w:type="pct"/>
            <w:noWrap/>
            <w:vAlign w:val="center"/>
          </w:tcPr>
          <w:p>
            <w:pPr>
              <w:widowControl w:val="0"/>
              <w:spacing w:line="320" w:lineRule="exact"/>
              <w:ind w:firstLine="0" w:firstLineChars="0"/>
              <w:textAlignment w:val="center"/>
              <w:rPr>
                <w:rFonts w:hint="default"/>
                <w:color w:val="000000" w:themeColor="text1"/>
                <w:sz w:val="24"/>
              </w:rPr>
            </w:pPr>
          </w:p>
        </w:tc>
        <w:tc>
          <w:tcPr>
            <w:tcW w:w="507"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c>
          <w:tcPr>
            <w:tcW w:w="551" w:type="pct"/>
            <w:noWrap/>
            <w:vAlign w:val="center"/>
          </w:tcPr>
          <w:p>
            <w:pPr>
              <w:widowControl w:val="0"/>
              <w:spacing w:line="320" w:lineRule="exact"/>
              <w:ind w:firstLine="0" w:firstLineChars="0"/>
              <w:textAlignment w:val="center"/>
              <w:rPr>
                <w:rFonts w:hint="default"/>
                <w:color w:val="000000" w:themeColor="text1"/>
                <w:sz w:val="24"/>
              </w:rPr>
            </w:pPr>
          </w:p>
        </w:tc>
        <w:tc>
          <w:tcPr>
            <w:tcW w:w="376" w:type="pct"/>
            <w:noWrap/>
            <w:vAlign w:val="center"/>
          </w:tcPr>
          <w:p>
            <w:pPr>
              <w:widowControl w:val="0"/>
              <w:spacing w:line="320" w:lineRule="exact"/>
              <w:ind w:firstLine="0" w:firstLineChars="0"/>
              <w:textAlignment w:val="center"/>
              <w:rPr>
                <w:rFonts w:hint="default"/>
                <w:color w:val="000000" w:themeColor="text1"/>
                <w:sz w:val="24"/>
              </w:rPr>
            </w:pPr>
          </w:p>
        </w:tc>
      </w:tr>
    </w:tbl>
    <w:p>
      <w:pPr>
        <w:widowControl w:val="0"/>
        <w:ind w:firstLine="0" w:firstLineChars="0"/>
        <w:textAlignment w:val="center"/>
        <w:rPr>
          <w:rFonts w:hint="default"/>
          <w:color w:val="000000" w:themeColor="text1"/>
          <w:szCs w:val="32"/>
        </w:rPr>
      </w:pPr>
      <w:r>
        <w:rPr>
          <w:color w:val="000000" w:themeColor="text1"/>
          <w:szCs w:val="32"/>
        </w:rPr>
        <w:t>备注：本表反映部门本年度取得的各项收入情况。</w:t>
      </w:r>
    </w:p>
    <w:p>
      <w:pPr>
        <w:pStyle w:val="18"/>
        <w:widowControl w:val="0"/>
        <w:spacing w:beforeAutospacing="0" w:afterAutospacing="0"/>
        <w:ind w:firstLine="0" w:firstLineChars="0"/>
        <w:jc w:val="center"/>
        <w:rPr>
          <w:rFonts w:hint="default" w:ascii="方正小标宋_GBK" w:eastAsia="方正小标宋_GBK" w:cs="黑体"/>
          <w:color w:val="000000" w:themeColor="text1"/>
          <w:sz w:val="44"/>
          <w:szCs w:val="44"/>
        </w:rPr>
      </w:pPr>
      <w:r>
        <w:rPr>
          <w:rFonts w:ascii="方正小标宋_GBK" w:eastAsia="方正小标宋_GBK" w:cs="黑体"/>
          <w:color w:val="000000" w:themeColor="text1"/>
          <w:sz w:val="44"/>
          <w:szCs w:val="44"/>
        </w:rPr>
        <w:t>支出决算表</w:t>
      </w:r>
    </w:p>
    <w:p>
      <w:pPr>
        <w:pStyle w:val="50"/>
        <w:widowControl w:val="0"/>
        <w:autoSpaceDE w:val="0"/>
        <w:spacing w:before="0" w:beforeAutospacing="0" w:after="0" w:afterAutospacing="0"/>
        <w:ind w:firstLine="0" w:firstLineChars="0"/>
        <w:jc w:val="right"/>
        <w:rPr>
          <w:rFonts w:hint="default" w:ascii="方正楷体_GBK" w:eastAsia="方正楷体_GBK"/>
          <w:color w:val="000000" w:themeColor="text1"/>
          <w:sz w:val="32"/>
          <w:szCs w:val="32"/>
        </w:rPr>
      </w:pPr>
      <w:r>
        <w:rPr>
          <w:rFonts w:ascii="方正楷体_GBK" w:eastAsia="方正楷体_GBK"/>
          <w:color w:val="000000" w:themeColor="text1"/>
          <w:sz w:val="32"/>
          <w:szCs w:val="32"/>
        </w:rPr>
        <w:t>公开03表</w:t>
      </w:r>
    </w:p>
    <w:p>
      <w:pPr>
        <w:pStyle w:val="50"/>
        <w:widowControl w:val="0"/>
        <w:autoSpaceDE w:val="0"/>
        <w:spacing w:before="0" w:beforeAutospacing="0" w:afterLines="20" w:afterAutospacing="0"/>
        <w:ind w:firstLine="0" w:firstLineChars="0"/>
        <w:jc w:val="both"/>
        <w:rPr>
          <w:rFonts w:hint="default" w:ascii="方正楷体_GBK" w:eastAsia="方正楷体_GBK"/>
          <w:color w:val="000000" w:themeColor="text1"/>
          <w:sz w:val="32"/>
          <w:szCs w:val="32"/>
        </w:rPr>
      </w:pPr>
      <w:r>
        <w:rPr>
          <w:rFonts w:ascii="方正楷体_GBK" w:eastAsia="方正楷体_GBK"/>
          <w:color w:val="000000" w:themeColor="text1"/>
          <w:sz w:val="32"/>
          <w:szCs w:val="32"/>
        </w:rPr>
        <w:t xml:space="preserve">公开部门：重庆市渝中区人民政府外事办公室                                       2020年度                                                                                           单位：万元 </w:t>
      </w:r>
    </w:p>
    <w:tbl>
      <w:tblPr>
        <w:tblStyle w:val="20"/>
        <w:tblW w:w="5000" w:type="pct"/>
        <w:jc w:val="center"/>
        <w:tblLayout w:type="autofit"/>
        <w:tblCellMar>
          <w:top w:w="0" w:type="dxa"/>
          <w:left w:w="108" w:type="dxa"/>
          <w:bottom w:w="0" w:type="dxa"/>
          <w:right w:w="108" w:type="dxa"/>
        </w:tblCellMar>
      </w:tblPr>
      <w:tblGrid>
        <w:gridCol w:w="2357"/>
        <w:gridCol w:w="5481"/>
        <w:gridCol w:w="2132"/>
        <w:gridCol w:w="2128"/>
        <w:gridCol w:w="1759"/>
        <w:gridCol w:w="1975"/>
        <w:gridCol w:w="1602"/>
        <w:gridCol w:w="3760"/>
      </w:tblGrid>
      <w:tr>
        <w:tblPrEx>
          <w:tblCellMar>
            <w:top w:w="0" w:type="dxa"/>
            <w:left w:w="108" w:type="dxa"/>
            <w:bottom w:w="0" w:type="dxa"/>
            <w:right w:w="108" w:type="dxa"/>
          </w:tblCellMar>
        </w:tblPrEx>
        <w:trPr>
          <w:trHeight w:val="369" w:hRule="atLeast"/>
          <w:jc w:val="center"/>
        </w:trPr>
        <w:tc>
          <w:tcPr>
            <w:tcW w:w="1849" w:type="pct"/>
            <w:gridSpan w:val="2"/>
            <w:tcBorders>
              <w:top w:val="single" w:color="auto" w:sz="4" w:space="0"/>
              <w:left w:val="single" w:color="auto" w:sz="4" w:space="0"/>
              <w:bottom w:val="single" w:color="auto" w:sz="4" w:space="0"/>
              <w:right w:val="single" w:color="auto" w:sz="4" w:space="0"/>
            </w:tcBorders>
            <w:noWrap/>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   目</w:t>
            </w:r>
          </w:p>
        </w:tc>
        <w:tc>
          <w:tcPr>
            <w:tcW w:w="503" w:type="pct"/>
            <w:vMerge w:val="restart"/>
            <w:tcBorders>
              <w:top w:val="single" w:color="auto" w:sz="4" w:space="0"/>
              <w:left w:val="nil"/>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本年支出合计</w:t>
            </w:r>
          </w:p>
        </w:tc>
        <w:tc>
          <w:tcPr>
            <w:tcW w:w="502" w:type="pct"/>
            <w:vMerge w:val="restart"/>
            <w:tcBorders>
              <w:top w:val="single" w:color="auto" w:sz="4" w:space="0"/>
              <w:left w:val="nil"/>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基本支出</w:t>
            </w:r>
          </w:p>
        </w:tc>
        <w:tc>
          <w:tcPr>
            <w:tcW w:w="415" w:type="pct"/>
            <w:vMerge w:val="restart"/>
            <w:tcBorders>
              <w:top w:val="single" w:color="auto" w:sz="4" w:space="0"/>
              <w:left w:val="nil"/>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项目支出</w:t>
            </w:r>
          </w:p>
        </w:tc>
        <w:tc>
          <w:tcPr>
            <w:tcW w:w="466" w:type="pct"/>
            <w:vMerge w:val="restart"/>
            <w:tcBorders>
              <w:top w:val="single" w:color="auto" w:sz="4" w:space="0"/>
              <w:left w:val="nil"/>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上缴上级支出</w:t>
            </w:r>
          </w:p>
        </w:tc>
        <w:tc>
          <w:tcPr>
            <w:tcW w:w="378" w:type="pct"/>
            <w:vMerge w:val="restart"/>
            <w:tcBorders>
              <w:top w:val="single" w:color="auto" w:sz="4" w:space="0"/>
              <w:left w:val="nil"/>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经营支出</w:t>
            </w:r>
          </w:p>
        </w:tc>
        <w:tc>
          <w:tcPr>
            <w:tcW w:w="887" w:type="pct"/>
            <w:vMerge w:val="restart"/>
            <w:tcBorders>
              <w:top w:val="single" w:color="auto" w:sz="4" w:space="0"/>
              <w:left w:val="nil"/>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对附属单位补助支出</w:t>
            </w:r>
          </w:p>
        </w:tc>
      </w:tr>
      <w:tr>
        <w:tblPrEx>
          <w:tblCellMar>
            <w:top w:w="0" w:type="dxa"/>
            <w:left w:w="108" w:type="dxa"/>
            <w:bottom w:w="0" w:type="dxa"/>
            <w:right w:w="108" w:type="dxa"/>
          </w:tblCellMar>
        </w:tblPrEx>
        <w:trPr>
          <w:trHeight w:val="369" w:hRule="atLeast"/>
          <w:jc w:val="center"/>
        </w:trPr>
        <w:tc>
          <w:tcPr>
            <w:tcW w:w="556" w:type="pct"/>
            <w:vMerge w:val="restart"/>
            <w:tcBorders>
              <w:top w:val="nil"/>
              <w:left w:val="single" w:color="auto" w:sz="4" w:space="0"/>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功能分类科目编码</w:t>
            </w:r>
          </w:p>
        </w:tc>
        <w:tc>
          <w:tcPr>
            <w:tcW w:w="1293" w:type="pct"/>
            <w:vMerge w:val="restart"/>
            <w:tcBorders>
              <w:top w:val="nil"/>
              <w:left w:val="nil"/>
              <w:bottom w:val="single" w:color="auto" w:sz="4" w:space="0"/>
              <w:right w:val="single" w:color="auto" w:sz="4" w:space="0"/>
            </w:tcBorders>
            <w:noWrap/>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项目（按“项”级功能分类科目）</w:t>
            </w:r>
          </w:p>
        </w:tc>
        <w:tc>
          <w:tcPr>
            <w:tcW w:w="503"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502"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415"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466"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378"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887"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556" w:type="pct"/>
            <w:vMerge w:val="continue"/>
            <w:tcBorders>
              <w:top w:val="nil"/>
              <w:left w:val="single" w:color="auto" w:sz="4" w:space="0"/>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1293" w:type="pct"/>
            <w:vMerge w:val="continue"/>
            <w:tcBorders>
              <w:top w:val="nil"/>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503"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502"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415"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466"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378"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887"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556" w:type="pct"/>
            <w:vMerge w:val="continue"/>
            <w:tcBorders>
              <w:top w:val="nil"/>
              <w:left w:val="single" w:color="auto" w:sz="4" w:space="0"/>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1293" w:type="pct"/>
            <w:vMerge w:val="continue"/>
            <w:tcBorders>
              <w:top w:val="nil"/>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503"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502"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415"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466"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378"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887"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1849" w:type="pct"/>
            <w:gridSpan w:val="2"/>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合计</w:t>
            </w:r>
          </w:p>
        </w:tc>
        <w:tc>
          <w:tcPr>
            <w:tcW w:w="50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732.43</w:t>
            </w:r>
          </w:p>
        </w:tc>
        <w:tc>
          <w:tcPr>
            <w:tcW w:w="50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155.60</w:t>
            </w:r>
          </w:p>
        </w:tc>
        <w:tc>
          <w:tcPr>
            <w:tcW w:w="4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576.84</w:t>
            </w:r>
          </w:p>
        </w:tc>
        <w:tc>
          <w:tcPr>
            <w:tcW w:w="46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8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556"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201</w:t>
            </w:r>
          </w:p>
        </w:tc>
        <w:tc>
          <w:tcPr>
            <w:tcW w:w="129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一般公共服务支出</w:t>
            </w:r>
          </w:p>
        </w:tc>
        <w:tc>
          <w:tcPr>
            <w:tcW w:w="50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562.49</w:t>
            </w:r>
          </w:p>
        </w:tc>
        <w:tc>
          <w:tcPr>
            <w:tcW w:w="50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129.96</w:t>
            </w:r>
          </w:p>
        </w:tc>
        <w:tc>
          <w:tcPr>
            <w:tcW w:w="4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432.53</w:t>
            </w:r>
          </w:p>
        </w:tc>
        <w:tc>
          <w:tcPr>
            <w:tcW w:w="46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8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556"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20132</w:t>
            </w:r>
          </w:p>
        </w:tc>
        <w:tc>
          <w:tcPr>
            <w:tcW w:w="129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组织事务</w:t>
            </w:r>
          </w:p>
        </w:tc>
        <w:tc>
          <w:tcPr>
            <w:tcW w:w="50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0.06</w:t>
            </w:r>
          </w:p>
        </w:tc>
        <w:tc>
          <w:tcPr>
            <w:tcW w:w="50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4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0.06</w:t>
            </w:r>
          </w:p>
        </w:tc>
        <w:tc>
          <w:tcPr>
            <w:tcW w:w="46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8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556"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2013202</w:t>
            </w:r>
          </w:p>
        </w:tc>
        <w:tc>
          <w:tcPr>
            <w:tcW w:w="129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一般行政管理事务</w:t>
            </w:r>
          </w:p>
        </w:tc>
        <w:tc>
          <w:tcPr>
            <w:tcW w:w="50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0.06</w:t>
            </w:r>
          </w:p>
        </w:tc>
        <w:tc>
          <w:tcPr>
            <w:tcW w:w="50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4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0.06</w:t>
            </w:r>
          </w:p>
        </w:tc>
        <w:tc>
          <w:tcPr>
            <w:tcW w:w="46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8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556"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20135</w:t>
            </w:r>
          </w:p>
        </w:tc>
        <w:tc>
          <w:tcPr>
            <w:tcW w:w="129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对外联络事务</w:t>
            </w:r>
          </w:p>
        </w:tc>
        <w:tc>
          <w:tcPr>
            <w:tcW w:w="50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562.43</w:t>
            </w:r>
          </w:p>
        </w:tc>
        <w:tc>
          <w:tcPr>
            <w:tcW w:w="50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129.96</w:t>
            </w:r>
          </w:p>
        </w:tc>
        <w:tc>
          <w:tcPr>
            <w:tcW w:w="4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432.47</w:t>
            </w:r>
          </w:p>
        </w:tc>
        <w:tc>
          <w:tcPr>
            <w:tcW w:w="46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8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556"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2013501</w:t>
            </w:r>
          </w:p>
        </w:tc>
        <w:tc>
          <w:tcPr>
            <w:tcW w:w="129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行政运行</w:t>
            </w:r>
          </w:p>
        </w:tc>
        <w:tc>
          <w:tcPr>
            <w:tcW w:w="50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104.70</w:t>
            </w:r>
          </w:p>
        </w:tc>
        <w:tc>
          <w:tcPr>
            <w:tcW w:w="50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104.70</w:t>
            </w:r>
          </w:p>
        </w:tc>
        <w:tc>
          <w:tcPr>
            <w:tcW w:w="4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46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8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556"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2013502</w:t>
            </w:r>
          </w:p>
        </w:tc>
        <w:tc>
          <w:tcPr>
            <w:tcW w:w="129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一般行政管理事务</w:t>
            </w:r>
          </w:p>
        </w:tc>
        <w:tc>
          <w:tcPr>
            <w:tcW w:w="50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432.47</w:t>
            </w:r>
          </w:p>
        </w:tc>
        <w:tc>
          <w:tcPr>
            <w:tcW w:w="50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4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432.47</w:t>
            </w:r>
          </w:p>
        </w:tc>
        <w:tc>
          <w:tcPr>
            <w:tcW w:w="46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8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556"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2013550</w:t>
            </w:r>
          </w:p>
        </w:tc>
        <w:tc>
          <w:tcPr>
            <w:tcW w:w="129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事业运行</w:t>
            </w:r>
          </w:p>
        </w:tc>
        <w:tc>
          <w:tcPr>
            <w:tcW w:w="50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25.26</w:t>
            </w:r>
          </w:p>
        </w:tc>
        <w:tc>
          <w:tcPr>
            <w:tcW w:w="50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25.26</w:t>
            </w:r>
          </w:p>
        </w:tc>
        <w:tc>
          <w:tcPr>
            <w:tcW w:w="4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46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8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556"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208</w:t>
            </w:r>
          </w:p>
        </w:tc>
        <w:tc>
          <w:tcPr>
            <w:tcW w:w="129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社会保障和就业支出</w:t>
            </w:r>
          </w:p>
        </w:tc>
        <w:tc>
          <w:tcPr>
            <w:tcW w:w="50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11.63</w:t>
            </w:r>
          </w:p>
        </w:tc>
        <w:tc>
          <w:tcPr>
            <w:tcW w:w="50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11.63</w:t>
            </w:r>
          </w:p>
        </w:tc>
        <w:tc>
          <w:tcPr>
            <w:tcW w:w="4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46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8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556"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20805</w:t>
            </w:r>
          </w:p>
        </w:tc>
        <w:tc>
          <w:tcPr>
            <w:tcW w:w="129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行政事业单位养老支出</w:t>
            </w:r>
          </w:p>
        </w:tc>
        <w:tc>
          <w:tcPr>
            <w:tcW w:w="50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11.63</w:t>
            </w:r>
          </w:p>
        </w:tc>
        <w:tc>
          <w:tcPr>
            <w:tcW w:w="50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11.63</w:t>
            </w:r>
          </w:p>
        </w:tc>
        <w:tc>
          <w:tcPr>
            <w:tcW w:w="4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46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8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556"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2080505</w:t>
            </w:r>
          </w:p>
        </w:tc>
        <w:tc>
          <w:tcPr>
            <w:tcW w:w="129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机关事业单位基本养老保险缴费支出</w:t>
            </w:r>
          </w:p>
        </w:tc>
        <w:tc>
          <w:tcPr>
            <w:tcW w:w="50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7.70</w:t>
            </w:r>
          </w:p>
        </w:tc>
        <w:tc>
          <w:tcPr>
            <w:tcW w:w="50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7.70</w:t>
            </w:r>
          </w:p>
        </w:tc>
        <w:tc>
          <w:tcPr>
            <w:tcW w:w="4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46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8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556"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2080506</w:t>
            </w:r>
          </w:p>
        </w:tc>
        <w:tc>
          <w:tcPr>
            <w:tcW w:w="129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机关事业单位职业年金缴费支出</w:t>
            </w:r>
          </w:p>
        </w:tc>
        <w:tc>
          <w:tcPr>
            <w:tcW w:w="50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3.93</w:t>
            </w:r>
          </w:p>
        </w:tc>
        <w:tc>
          <w:tcPr>
            <w:tcW w:w="50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3.93</w:t>
            </w:r>
          </w:p>
        </w:tc>
        <w:tc>
          <w:tcPr>
            <w:tcW w:w="4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46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8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556"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210</w:t>
            </w:r>
          </w:p>
        </w:tc>
        <w:tc>
          <w:tcPr>
            <w:tcW w:w="129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卫生健康支出</w:t>
            </w:r>
          </w:p>
        </w:tc>
        <w:tc>
          <w:tcPr>
            <w:tcW w:w="50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6.90</w:t>
            </w:r>
          </w:p>
        </w:tc>
        <w:tc>
          <w:tcPr>
            <w:tcW w:w="50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6.01</w:t>
            </w:r>
          </w:p>
        </w:tc>
        <w:tc>
          <w:tcPr>
            <w:tcW w:w="4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0.89</w:t>
            </w:r>
          </w:p>
        </w:tc>
        <w:tc>
          <w:tcPr>
            <w:tcW w:w="46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8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556"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21004</w:t>
            </w:r>
          </w:p>
        </w:tc>
        <w:tc>
          <w:tcPr>
            <w:tcW w:w="129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公共卫生</w:t>
            </w:r>
          </w:p>
        </w:tc>
        <w:tc>
          <w:tcPr>
            <w:tcW w:w="50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0.89</w:t>
            </w:r>
          </w:p>
        </w:tc>
        <w:tc>
          <w:tcPr>
            <w:tcW w:w="50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4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0.89</w:t>
            </w:r>
          </w:p>
        </w:tc>
        <w:tc>
          <w:tcPr>
            <w:tcW w:w="46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8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556"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2100410</w:t>
            </w:r>
          </w:p>
        </w:tc>
        <w:tc>
          <w:tcPr>
            <w:tcW w:w="129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突发公共卫生事件应急处理</w:t>
            </w:r>
          </w:p>
        </w:tc>
        <w:tc>
          <w:tcPr>
            <w:tcW w:w="50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0.89</w:t>
            </w:r>
          </w:p>
        </w:tc>
        <w:tc>
          <w:tcPr>
            <w:tcW w:w="50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4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0.89</w:t>
            </w:r>
          </w:p>
        </w:tc>
        <w:tc>
          <w:tcPr>
            <w:tcW w:w="46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8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556"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21011</w:t>
            </w:r>
          </w:p>
        </w:tc>
        <w:tc>
          <w:tcPr>
            <w:tcW w:w="129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行政事业单位医疗</w:t>
            </w:r>
          </w:p>
        </w:tc>
        <w:tc>
          <w:tcPr>
            <w:tcW w:w="50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6.01</w:t>
            </w:r>
          </w:p>
        </w:tc>
        <w:tc>
          <w:tcPr>
            <w:tcW w:w="50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6.01</w:t>
            </w:r>
          </w:p>
        </w:tc>
        <w:tc>
          <w:tcPr>
            <w:tcW w:w="4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46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8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556"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2101101</w:t>
            </w:r>
          </w:p>
        </w:tc>
        <w:tc>
          <w:tcPr>
            <w:tcW w:w="129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行政单位医疗</w:t>
            </w:r>
          </w:p>
        </w:tc>
        <w:tc>
          <w:tcPr>
            <w:tcW w:w="50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4.64</w:t>
            </w:r>
          </w:p>
        </w:tc>
        <w:tc>
          <w:tcPr>
            <w:tcW w:w="50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4.64</w:t>
            </w:r>
          </w:p>
        </w:tc>
        <w:tc>
          <w:tcPr>
            <w:tcW w:w="4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46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8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556"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2101102</w:t>
            </w:r>
          </w:p>
        </w:tc>
        <w:tc>
          <w:tcPr>
            <w:tcW w:w="129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事业单位医疗</w:t>
            </w:r>
          </w:p>
        </w:tc>
        <w:tc>
          <w:tcPr>
            <w:tcW w:w="50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1.37</w:t>
            </w:r>
          </w:p>
        </w:tc>
        <w:tc>
          <w:tcPr>
            <w:tcW w:w="50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1.37</w:t>
            </w:r>
          </w:p>
        </w:tc>
        <w:tc>
          <w:tcPr>
            <w:tcW w:w="4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46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8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556"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216</w:t>
            </w:r>
          </w:p>
        </w:tc>
        <w:tc>
          <w:tcPr>
            <w:tcW w:w="129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商业服务业等支出</w:t>
            </w:r>
          </w:p>
        </w:tc>
        <w:tc>
          <w:tcPr>
            <w:tcW w:w="50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143.42</w:t>
            </w:r>
          </w:p>
        </w:tc>
        <w:tc>
          <w:tcPr>
            <w:tcW w:w="50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4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143.42</w:t>
            </w:r>
          </w:p>
        </w:tc>
        <w:tc>
          <w:tcPr>
            <w:tcW w:w="46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8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556"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21699</w:t>
            </w:r>
          </w:p>
        </w:tc>
        <w:tc>
          <w:tcPr>
            <w:tcW w:w="129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其他商业服务业等支出</w:t>
            </w:r>
          </w:p>
        </w:tc>
        <w:tc>
          <w:tcPr>
            <w:tcW w:w="50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143.42</w:t>
            </w:r>
          </w:p>
        </w:tc>
        <w:tc>
          <w:tcPr>
            <w:tcW w:w="50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4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143.42</w:t>
            </w:r>
          </w:p>
        </w:tc>
        <w:tc>
          <w:tcPr>
            <w:tcW w:w="46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8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556"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2169999</w:t>
            </w:r>
          </w:p>
        </w:tc>
        <w:tc>
          <w:tcPr>
            <w:tcW w:w="129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其他商业服务业等支出</w:t>
            </w:r>
          </w:p>
        </w:tc>
        <w:tc>
          <w:tcPr>
            <w:tcW w:w="50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143.42</w:t>
            </w:r>
          </w:p>
        </w:tc>
        <w:tc>
          <w:tcPr>
            <w:tcW w:w="50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4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143.42</w:t>
            </w:r>
          </w:p>
        </w:tc>
        <w:tc>
          <w:tcPr>
            <w:tcW w:w="46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8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556"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221</w:t>
            </w:r>
          </w:p>
        </w:tc>
        <w:tc>
          <w:tcPr>
            <w:tcW w:w="129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住房保障支出</w:t>
            </w:r>
          </w:p>
        </w:tc>
        <w:tc>
          <w:tcPr>
            <w:tcW w:w="50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7.99</w:t>
            </w:r>
          </w:p>
        </w:tc>
        <w:tc>
          <w:tcPr>
            <w:tcW w:w="50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7.99</w:t>
            </w:r>
          </w:p>
        </w:tc>
        <w:tc>
          <w:tcPr>
            <w:tcW w:w="4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46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8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556"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22102</w:t>
            </w:r>
          </w:p>
        </w:tc>
        <w:tc>
          <w:tcPr>
            <w:tcW w:w="129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住房改革支出</w:t>
            </w:r>
          </w:p>
        </w:tc>
        <w:tc>
          <w:tcPr>
            <w:tcW w:w="50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7.99</w:t>
            </w:r>
          </w:p>
        </w:tc>
        <w:tc>
          <w:tcPr>
            <w:tcW w:w="50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7.99</w:t>
            </w:r>
          </w:p>
        </w:tc>
        <w:tc>
          <w:tcPr>
            <w:tcW w:w="4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46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8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556"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2210201</w:t>
            </w:r>
          </w:p>
        </w:tc>
        <w:tc>
          <w:tcPr>
            <w:tcW w:w="129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住房公积金</w:t>
            </w:r>
          </w:p>
        </w:tc>
        <w:tc>
          <w:tcPr>
            <w:tcW w:w="50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5.78</w:t>
            </w:r>
          </w:p>
        </w:tc>
        <w:tc>
          <w:tcPr>
            <w:tcW w:w="50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5.78</w:t>
            </w:r>
          </w:p>
        </w:tc>
        <w:tc>
          <w:tcPr>
            <w:tcW w:w="4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46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8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556"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2210203</w:t>
            </w:r>
          </w:p>
        </w:tc>
        <w:tc>
          <w:tcPr>
            <w:tcW w:w="129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购房补贴</w:t>
            </w:r>
          </w:p>
        </w:tc>
        <w:tc>
          <w:tcPr>
            <w:tcW w:w="50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2.21</w:t>
            </w:r>
          </w:p>
        </w:tc>
        <w:tc>
          <w:tcPr>
            <w:tcW w:w="50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2.21</w:t>
            </w:r>
          </w:p>
        </w:tc>
        <w:tc>
          <w:tcPr>
            <w:tcW w:w="4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46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8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bl>
    <w:p>
      <w:pPr>
        <w:widowControl w:val="0"/>
        <w:ind w:firstLine="0" w:firstLineChars="0"/>
        <w:textAlignment w:val="center"/>
        <w:rPr>
          <w:rFonts w:hint="default"/>
          <w:color w:val="000000" w:themeColor="text1"/>
          <w:szCs w:val="32"/>
        </w:rPr>
      </w:pPr>
      <w:r>
        <w:rPr>
          <w:color w:val="000000" w:themeColor="text1"/>
          <w:szCs w:val="32"/>
        </w:rPr>
        <w:t>备注：本表反映部门本年度各项支出情况。</w:t>
      </w:r>
    </w:p>
    <w:p>
      <w:pPr>
        <w:pStyle w:val="18"/>
        <w:widowControl w:val="0"/>
        <w:spacing w:beforeAutospacing="0" w:afterAutospacing="0"/>
        <w:ind w:firstLine="0" w:firstLineChars="0"/>
        <w:jc w:val="center"/>
        <w:rPr>
          <w:rFonts w:hint="default" w:ascii="方正小标宋_GBK" w:eastAsia="方正小标宋_GBK" w:cs="黑体"/>
          <w:color w:val="000000" w:themeColor="text1"/>
          <w:sz w:val="44"/>
          <w:szCs w:val="44"/>
        </w:rPr>
      </w:pPr>
      <w:r>
        <w:rPr>
          <w:rFonts w:ascii="方正小标宋_GBK" w:eastAsia="方正小标宋_GBK" w:cs="黑体"/>
          <w:color w:val="000000" w:themeColor="text1"/>
          <w:sz w:val="44"/>
          <w:szCs w:val="44"/>
        </w:rPr>
        <w:t>财政拨款收入支出决算总表</w:t>
      </w:r>
    </w:p>
    <w:p>
      <w:pPr>
        <w:pStyle w:val="50"/>
        <w:widowControl w:val="0"/>
        <w:autoSpaceDE w:val="0"/>
        <w:spacing w:before="0" w:beforeAutospacing="0" w:after="0" w:afterAutospacing="0"/>
        <w:ind w:firstLine="0" w:firstLineChars="0"/>
        <w:jc w:val="right"/>
        <w:rPr>
          <w:rFonts w:hint="default" w:ascii="方正楷体_GBK" w:eastAsia="方正楷体_GBK"/>
          <w:color w:val="000000" w:themeColor="text1"/>
          <w:sz w:val="32"/>
          <w:szCs w:val="32"/>
        </w:rPr>
      </w:pPr>
      <w:r>
        <w:rPr>
          <w:rFonts w:ascii="方正楷体_GBK" w:eastAsia="方正楷体_GBK"/>
          <w:color w:val="000000" w:themeColor="text1"/>
          <w:sz w:val="32"/>
          <w:szCs w:val="32"/>
        </w:rPr>
        <w:t>公开04表</w:t>
      </w:r>
    </w:p>
    <w:p>
      <w:pPr>
        <w:pStyle w:val="50"/>
        <w:widowControl w:val="0"/>
        <w:autoSpaceDE w:val="0"/>
        <w:spacing w:before="0" w:beforeAutospacing="0" w:afterLines="20" w:afterAutospacing="0"/>
        <w:ind w:firstLine="0" w:firstLineChars="0"/>
        <w:jc w:val="both"/>
        <w:rPr>
          <w:rFonts w:hint="default" w:ascii="方正楷体_GBK" w:eastAsia="方正楷体_GBK"/>
          <w:color w:val="000000" w:themeColor="text1"/>
          <w:sz w:val="32"/>
          <w:szCs w:val="32"/>
        </w:rPr>
      </w:pPr>
      <w:r>
        <w:rPr>
          <w:rFonts w:ascii="方正楷体_GBK" w:eastAsia="方正楷体_GBK"/>
          <w:color w:val="000000" w:themeColor="text1"/>
          <w:sz w:val="32"/>
          <w:szCs w:val="32"/>
        </w:rPr>
        <w:t xml:space="preserve">公开部门：重庆市渝中区人民政府外事办公室                                        2020年度                                                                                          单位：万元 </w:t>
      </w:r>
    </w:p>
    <w:tbl>
      <w:tblPr>
        <w:tblStyle w:val="20"/>
        <w:tblW w:w="5000" w:type="pct"/>
        <w:jc w:val="center"/>
        <w:tblLayout w:type="autofit"/>
        <w:tblCellMar>
          <w:top w:w="0" w:type="dxa"/>
          <w:left w:w="108" w:type="dxa"/>
          <w:bottom w:w="0" w:type="dxa"/>
          <w:right w:w="108" w:type="dxa"/>
        </w:tblCellMar>
      </w:tblPr>
      <w:tblGrid>
        <w:gridCol w:w="3959"/>
        <w:gridCol w:w="1581"/>
        <w:gridCol w:w="4171"/>
        <w:gridCol w:w="1526"/>
        <w:gridCol w:w="3103"/>
        <w:gridCol w:w="3319"/>
        <w:gridCol w:w="3535"/>
      </w:tblGrid>
      <w:tr>
        <w:tblPrEx>
          <w:tblCellMar>
            <w:top w:w="0" w:type="dxa"/>
            <w:left w:w="108" w:type="dxa"/>
            <w:bottom w:w="0" w:type="dxa"/>
            <w:right w:w="108" w:type="dxa"/>
          </w:tblCellMar>
        </w:tblPrEx>
        <w:trPr>
          <w:trHeight w:val="300" w:hRule="atLeast"/>
          <w:jc w:val="center"/>
        </w:trPr>
        <w:tc>
          <w:tcPr>
            <w:tcW w:w="1307" w:type="pct"/>
            <w:gridSpan w:val="2"/>
            <w:tcBorders>
              <w:top w:val="single" w:color="auto" w:sz="4" w:space="0"/>
              <w:left w:val="single" w:color="auto" w:sz="4" w:space="0"/>
              <w:bottom w:val="single" w:color="auto" w:sz="4" w:space="0"/>
              <w:right w:val="single" w:color="auto" w:sz="4" w:space="0"/>
            </w:tcBorders>
            <w:noWrap/>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收     入</w:t>
            </w:r>
          </w:p>
        </w:tc>
        <w:tc>
          <w:tcPr>
            <w:tcW w:w="3693" w:type="pct"/>
            <w:gridSpan w:val="5"/>
            <w:tcBorders>
              <w:top w:val="single" w:color="auto" w:sz="4" w:space="0"/>
              <w:left w:val="nil"/>
              <w:bottom w:val="single" w:color="auto" w:sz="4" w:space="0"/>
              <w:right w:val="single" w:color="auto" w:sz="4" w:space="0"/>
            </w:tcBorders>
            <w:noWrap/>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支     出</w:t>
            </w:r>
          </w:p>
        </w:tc>
      </w:tr>
      <w:tr>
        <w:tblPrEx>
          <w:tblCellMar>
            <w:top w:w="0" w:type="dxa"/>
            <w:left w:w="108" w:type="dxa"/>
            <w:bottom w:w="0" w:type="dxa"/>
            <w:right w:w="108" w:type="dxa"/>
          </w:tblCellMar>
        </w:tblPrEx>
        <w:trPr>
          <w:trHeight w:val="285" w:hRule="atLeast"/>
          <w:jc w:val="center"/>
        </w:trPr>
        <w:tc>
          <w:tcPr>
            <w:tcW w:w="934" w:type="pct"/>
            <w:vMerge w:val="restart"/>
            <w:tcBorders>
              <w:top w:val="nil"/>
              <w:left w:val="single" w:color="auto" w:sz="4" w:space="0"/>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    目</w:t>
            </w:r>
          </w:p>
        </w:tc>
        <w:tc>
          <w:tcPr>
            <w:tcW w:w="373" w:type="pct"/>
            <w:vMerge w:val="restart"/>
            <w:tcBorders>
              <w:top w:val="nil"/>
              <w:left w:val="nil"/>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决算数</w:t>
            </w:r>
          </w:p>
        </w:tc>
        <w:tc>
          <w:tcPr>
            <w:tcW w:w="984" w:type="pct"/>
            <w:vMerge w:val="restart"/>
            <w:tcBorders>
              <w:top w:val="single" w:color="auto" w:sz="4" w:space="0"/>
              <w:left w:val="nil"/>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功能分类科目</w:t>
            </w:r>
          </w:p>
        </w:tc>
        <w:tc>
          <w:tcPr>
            <w:tcW w:w="2709" w:type="pct"/>
            <w:gridSpan w:val="4"/>
            <w:tcBorders>
              <w:top w:val="single" w:color="auto" w:sz="4" w:space="0"/>
              <w:left w:val="nil"/>
              <w:bottom w:val="single" w:color="auto" w:sz="4" w:space="0"/>
              <w:right w:val="single" w:color="auto" w:sz="4" w:space="0"/>
            </w:tcBorders>
            <w:noWrap/>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决算数</w:t>
            </w:r>
          </w:p>
        </w:tc>
      </w:tr>
      <w:tr>
        <w:tblPrEx>
          <w:tblCellMar>
            <w:top w:w="0" w:type="dxa"/>
            <w:left w:w="108" w:type="dxa"/>
            <w:bottom w:w="0" w:type="dxa"/>
            <w:right w:w="108" w:type="dxa"/>
          </w:tblCellMar>
        </w:tblPrEx>
        <w:trPr>
          <w:trHeight w:val="600" w:hRule="atLeast"/>
          <w:jc w:val="center"/>
        </w:trPr>
        <w:tc>
          <w:tcPr>
            <w:tcW w:w="934" w:type="pct"/>
            <w:vMerge w:val="continue"/>
            <w:tcBorders>
              <w:top w:val="nil"/>
              <w:left w:val="single" w:color="auto" w:sz="4" w:space="0"/>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373" w:type="pct"/>
            <w:vMerge w:val="continue"/>
            <w:tcBorders>
              <w:top w:val="nil"/>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984"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360" w:type="pct"/>
            <w:tcBorders>
              <w:top w:val="single" w:color="auto" w:sz="4" w:space="0"/>
              <w:left w:val="nil"/>
              <w:bottom w:val="single" w:color="auto" w:sz="4" w:space="0"/>
              <w:right w:val="single" w:color="auto" w:sz="4" w:space="0"/>
            </w:tcBorders>
            <w:noWrap/>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小  计</w:t>
            </w:r>
          </w:p>
        </w:tc>
        <w:tc>
          <w:tcPr>
            <w:tcW w:w="732" w:type="pct"/>
            <w:tcBorders>
              <w:top w:val="single" w:color="auto" w:sz="4" w:space="0"/>
              <w:left w:val="nil"/>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一般公共预算财政拨款</w:t>
            </w:r>
          </w:p>
        </w:tc>
        <w:tc>
          <w:tcPr>
            <w:tcW w:w="783" w:type="pct"/>
            <w:tcBorders>
              <w:top w:val="single" w:color="auto" w:sz="4" w:space="0"/>
              <w:left w:val="nil"/>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政府性基金预算财政拨款</w:t>
            </w:r>
          </w:p>
        </w:tc>
        <w:tc>
          <w:tcPr>
            <w:tcW w:w="834" w:type="pct"/>
            <w:tcBorders>
              <w:top w:val="single" w:color="auto" w:sz="4" w:space="0"/>
              <w:left w:val="nil"/>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国有资本经营预算财政拨款</w:t>
            </w: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一、一般公共预算财政拨款</w:t>
            </w: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734.01</w:t>
            </w: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一、一般公共服务支出</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562.49</w:t>
            </w: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562.49</w:t>
            </w: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二、政府性基金预算财政拨款</w:t>
            </w: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二、外交支出</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三、国有资本经营预算财政拨款</w:t>
            </w: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三、国防支出</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四、公共安全支出</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五、教育支出</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六、科学技术支出</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七、文化旅游体育与传媒支出</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八、社会保障和就业支出</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11.63</w:t>
            </w: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11.63</w:t>
            </w: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九、卫生健康支出</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6.90</w:t>
            </w: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6.90</w:t>
            </w: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十、节能环保支出</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十一、城乡社区支出</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十二、农林水支出</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十三、交通运输支出</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十四、资源勘探工业信息等支出</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十五、商业服务业等支出</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143.42</w:t>
            </w: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143.42</w:t>
            </w: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十六、金融支出</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十七、援助其他地区支出</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十八、自然资源海洋气象等支出</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十九、住房保障支出</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7.99</w:t>
            </w: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7.99</w:t>
            </w: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二十、粮油物资储备支出</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二十一、国有资本经营预算支出</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二十二、灾害防治及应急管理支出</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二十三、其他支出</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二十四、债务还本支出</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本年收入合计</w:t>
            </w: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734.01</w:t>
            </w: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二十五、债务付息支出</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年初财政拨款结转和结余</w:t>
            </w: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0.24</w:t>
            </w: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二十六、抗疫特别国债安排的支出</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一、一般公共预算财政拨款</w:t>
            </w: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0.24</w:t>
            </w: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本年支出合计</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732.43</w:t>
            </w: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732.43</w:t>
            </w: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二、政府性基金预算财政拨款</w:t>
            </w: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年末财政拨款结转和结余</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1.82</w:t>
            </w: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1.82</w:t>
            </w: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三、国有资本经营预算财政拨款</w:t>
            </w: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00" w:hRule="atLeast"/>
          <w:jc w:val="center"/>
        </w:trPr>
        <w:tc>
          <w:tcPr>
            <w:tcW w:w="93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总计</w:t>
            </w:r>
          </w:p>
        </w:tc>
        <w:tc>
          <w:tcPr>
            <w:tcW w:w="37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734.25</w:t>
            </w:r>
          </w:p>
        </w:tc>
        <w:tc>
          <w:tcPr>
            <w:tcW w:w="98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总计</w:t>
            </w:r>
          </w:p>
        </w:tc>
        <w:tc>
          <w:tcPr>
            <w:tcW w:w="360"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734.25</w:t>
            </w:r>
          </w:p>
        </w:tc>
        <w:tc>
          <w:tcPr>
            <w:tcW w:w="73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734.25</w:t>
            </w:r>
          </w:p>
        </w:tc>
        <w:tc>
          <w:tcPr>
            <w:tcW w:w="78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83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bl>
    <w:p>
      <w:pPr>
        <w:widowControl w:val="0"/>
        <w:autoSpaceDE w:val="0"/>
        <w:ind w:firstLine="0" w:firstLineChars="0"/>
        <w:rPr>
          <w:rFonts w:hint="default"/>
          <w:color w:val="000000" w:themeColor="text1"/>
          <w:szCs w:val="32"/>
        </w:rPr>
      </w:pPr>
      <w:r>
        <w:rPr>
          <w:color w:val="000000" w:themeColor="text1"/>
          <w:szCs w:val="32"/>
        </w:rPr>
        <w:t>备注：本表反映部门本年度一般公共预算财政拨款和政府性基金预算财政拨款的总收支和年末结转结余情况。</w:t>
      </w:r>
    </w:p>
    <w:p>
      <w:pPr>
        <w:pStyle w:val="18"/>
        <w:widowControl w:val="0"/>
        <w:spacing w:beforeAutospacing="0" w:afterAutospacing="0"/>
        <w:ind w:firstLine="0" w:firstLineChars="0"/>
        <w:jc w:val="center"/>
        <w:rPr>
          <w:rFonts w:hint="default" w:ascii="方正小标宋_GBK" w:eastAsia="方正小标宋_GBK" w:cs="黑体"/>
          <w:color w:val="000000" w:themeColor="text1"/>
          <w:sz w:val="44"/>
          <w:szCs w:val="44"/>
        </w:rPr>
      </w:pPr>
      <w:r>
        <w:rPr>
          <w:rFonts w:ascii="方正小标宋_GBK" w:eastAsia="方正小标宋_GBK" w:cs="黑体"/>
          <w:color w:val="000000" w:themeColor="text1"/>
          <w:sz w:val="44"/>
          <w:szCs w:val="44"/>
        </w:rPr>
        <w:t>一般公共预算财政拨款收入支出决算表</w:t>
      </w:r>
    </w:p>
    <w:p>
      <w:pPr>
        <w:pStyle w:val="50"/>
        <w:widowControl w:val="0"/>
        <w:autoSpaceDE w:val="0"/>
        <w:spacing w:before="0" w:beforeAutospacing="0" w:after="0" w:afterAutospacing="0"/>
        <w:ind w:firstLine="0" w:firstLineChars="0"/>
        <w:jc w:val="right"/>
        <w:rPr>
          <w:rFonts w:hint="default" w:ascii="方正楷体_GBK" w:eastAsia="方正楷体_GBK"/>
          <w:color w:val="000000" w:themeColor="text1"/>
          <w:sz w:val="32"/>
          <w:szCs w:val="32"/>
        </w:rPr>
      </w:pPr>
      <w:r>
        <w:rPr>
          <w:rFonts w:ascii="方正楷体_GBK" w:eastAsia="方正楷体_GBK"/>
          <w:color w:val="000000" w:themeColor="text1"/>
          <w:sz w:val="32"/>
          <w:szCs w:val="32"/>
        </w:rPr>
        <w:t>公开05表</w:t>
      </w:r>
    </w:p>
    <w:p>
      <w:pPr>
        <w:pStyle w:val="50"/>
        <w:widowControl w:val="0"/>
        <w:autoSpaceDE w:val="0"/>
        <w:spacing w:before="0" w:beforeAutospacing="0" w:afterLines="20" w:afterAutospacing="0"/>
        <w:ind w:firstLine="0" w:firstLineChars="0"/>
        <w:jc w:val="both"/>
        <w:rPr>
          <w:rFonts w:hint="default" w:ascii="方正楷体_GBK" w:eastAsia="方正楷体_GBK"/>
          <w:color w:val="000000" w:themeColor="text1"/>
          <w:sz w:val="32"/>
          <w:szCs w:val="32"/>
        </w:rPr>
      </w:pPr>
      <w:r>
        <w:rPr>
          <w:rFonts w:ascii="方正楷体_GBK" w:eastAsia="方正楷体_GBK"/>
          <w:color w:val="000000" w:themeColor="text1"/>
          <w:sz w:val="32"/>
          <w:szCs w:val="32"/>
        </w:rPr>
        <w:t xml:space="preserve">公开部门：重庆市渝中区人民政府外事办公室                                      2020年度                                                                                             单位：万元 </w:t>
      </w:r>
    </w:p>
    <w:tbl>
      <w:tblPr>
        <w:tblStyle w:val="20"/>
        <w:tblW w:w="5000" w:type="pct"/>
        <w:jc w:val="center"/>
        <w:tblLayout w:type="autofit"/>
        <w:tblCellMar>
          <w:top w:w="0" w:type="dxa"/>
          <w:left w:w="108" w:type="dxa"/>
          <w:bottom w:w="0" w:type="dxa"/>
          <w:right w:w="108" w:type="dxa"/>
        </w:tblCellMar>
      </w:tblPr>
      <w:tblGrid>
        <w:gridCol w:w="2797"/>
        <w:gridCol w:w="5549"/>
        <w:gridCol w:w="2183"/>
        <w:gridCol w:w="2136"/>
        <w:gridCol w:w="1454"/>
        <w:gridCol w:w="1967"/>
        <w:gridCol w:w="2624"/>
        <w:gridCol w:w="2484"/>
      </w:tblGrid>
      <w:tr>
        <w:tblPrEx>
          <w:tblCellMar>
            <w:top w:w="0" w:type="dxa"/>
            <w:left w:w="108" w:type="dxa"/>
            <w:bottom w:w="0" w:type="dxa"/>
            <w:right w:w="108" w:type="dxa"/>
          </w:tblCellMar>
        </w:tblPrEx>
        <w:trPr>
          <w:trHeight w:val="369" w:hRule="atLeast"/>
          <w:jc w:val="center"/>
        </w:trPr>
        <w:tc>
          <w:tcPr>
            <w:tcW w:w="1969" w:type="pct"/>
            <w:gridSpan w:val="2"/>
            <w:tcBorders>
              <w:top w:val="single" w:color="auto" w:sz="4" w:space="0"/>
              <w:left w:val="single" w:color="auto" w:sz="4" w:space="0"/>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   目</w:t>
            </w:r>
          </w:p>
        </w:tc>
        <w:tc>
          <w:tcPr>
            <w:tcW w:w="515" w:type="pct"/>
            <w:vMerge w:val="restart"/>
            <w:tcBorders>
              <w:top w:val="single" w:color="auto" w:sz="4" w:space="0"/>
              <w:left w:val="nil"/>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年初结转结余</w:t>
            </w:r>
          </w:p>
        </w:tc>
        <w:tc>
          <w:tcPr>
            <w:tcW w:w="504" w:type="pct"/>
            <w:vMerge w:val="restart"/>
            <w:tcBorders>
              <w:top w:val="single" w:color="auto" w:sz="4" w:space="0"/>
              <w:left w:val="nil"/>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本年收入</w:t>
            </w:r>
          </w:p>
        </w:tc>
        <w:tc>
          <w:tcPr>
            <w:tcW w:w="1426" w:type="pct"/>
            <w:gridSpan w:val="3"/>
            <w:tcBorders>
              <w:top w:val="single" w:color="auto" w:sz="4" w:space="0"/>
              <w:left w:val="nil"/>
              <w:bottom w:val="nil"/>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本年支出</w:t>
            </w:r>
          </w:p>
        </w:tc>
        <w:tc>
          <w:tcPr>
            <w:tcW w:w="586" w:type="pct"/>
            <w:vMerge w:val="restart"/>
            <w:tcBorders>
              <w:top w:val="single" w:color="auto" w:sz="4" w:space="0"/>
              <w:left w:val="nil"/>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年末结转和结余</w:t>
            </w:r>
          </w:p>
        </w:tc>
      </w:tr>
      <w:tr>
        <w:tblPrEx>
          <w:tblCellMar>
            <w:top w:w="0" w:type="dxa"/>
            <w:left w:w="108" w:type="dxa"/>
            <w:bottom w:w="0" w:type="dxa"/>
            <w:right w:w="108" w:type="dxa"/>
          </w:tblCellMar>
        </w:tblPrEx>
        <w:trPr>
          <w:trHeight w:val="369" w:hRule="atLeast"/>
          <w:jc w:val="center"/>
        </w:trPr>
        <w:tc>
          <w:tcPr>
            <w:tcW w:w="660" w:type="pct"/>
            <w:vMerge w:val="restart"/>
            <w:tcBorders>
              <w:top w:val="nil"/>
              <w:left w:val="single" w:color="auto" w:sz="4" w:space="0"/>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功能分类科目编码</w:t>
            </w:r>
          </w:p>
        </w:tc>
        <w:tc>
          <w:tcPr>
            <w:tcW w:w="1309" w:type="pct"/>
            <w:vMerge w:val="restart"/>
            <w:tcBorders>
              <w:top w:val="nil"/>
              <w:left w:val="nil"/>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项目（按“项”级功能分类科目）</w:t>
            </w:r>
          </w:p>
        </w:tc>
        <w:tc>
          <w:tcPr>
            <w:tcW w:w="515" w:type="pct"/>
            <w:vMerge w:val="continue"/>
            <w:tcBorders>
              <w:top w:val="single" w:color="auto" w:sz="4" w:space="0"/>
              <w:left w:val="nil"/>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p>
        </w:tc>
        <w:tc>
          <w:tcPr>
            <w:tcW w:w="504" w:type="pct"/>
            <w:vMerge w:val="continue"/>
            <w:tcBorders>
              <w:top w:val="single" w:color="auto" w:sz="4" w:space="0"/>
              <w:left w:val="nil"/>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p>
        </w:tc>
        <w:tc>
          <w:tcPr>
            <w:tcW w:w="343" w:type="pct"/>
            <w:vMerge w:val="restart"/>
            <w:tcBorders>
              <w:top w:val="nil"/>
              <w:left w:val="nil"/>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合   计</w:t>
            </w:r>
          </w:p>
        </w:tc>
        <w:tc>
          <w:tcPr>
            <w:tcW w:w="464" w:type="pct"/>
            <w:vMerge w:val="restart"/>
            <w:tcBorders>
              <w:top w:val="single" w:color="auto" w:sz="4" w:space="0"/>
              <w:left w:val="nil"/>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基本支出</w:t>
            </w:r>
          </w:p>
        </w:tc>
        <w:tc>
          <w:tcPr>
            <w:tcW w:w="619" w:type="pct"/>
            <w:vMerge w:val="restart"/>
            <w:tcBorders>
              <w:top w:val="single" w:color="auto" w:sz="4" w:space="0"/>
              <w:left w:val="nil"/>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项目支出</w:t>
            </w:r>
          </w:p>
        </w:tc>
        <w:tc>
          <w:tcPr>
            <w:tcW w:w="586" w:type="pct"/>
            <w:vMerge w:val="continue"/>
            <w:tcBorders>
              <w:top w:val="single" w:color="auto" w:sz="4" w:space="0"/>
              <w:left w:val="nil"/>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p>
        </w:tc>
      </w:tr>
      <w:tr>
        <w:tblPrEx>
          <w:tblCellMar>
            <w:top w:w="0" w:type="dxa"/>
            <w:left w:w="108" w:type="dxa"/>
            <w:bottom w:w="0" w:type="dxa"/>
            <w:right w:w="108" w:type="dxa"/>
          </w:tblCellMar>
        </w:tblPrEx>
        <w:trPr>
          <w:trHeight w:val="369" w:hRule="atLeast"/>
          <w:jc w:val="center"/>
        </w:trPr>
        <w:tc>
          <w:tcPr>
            <w:tcW w:w="660" w:type="pct"/>
            <w:vMerge w:val="continue"/>
            <w:tcBorders>
              <w:top w:val="nil"/>
              <w:left w:val="single" w:color="auto" w:sz="4" w:space="0"/>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1309" w:type="pct"/>
            <w:vMerge w:val="continue"/>
            <w:tcBorders>
              <w:top w:val="nil"/>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515"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504"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343" w:type="pct"/>
            <w:vMerge w:val="continue"/>
            <w:tcBorders>
              <w:top w:val="nil"/>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464"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619"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586"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660" w:type="pct"/>
            <w:vMerge w:val="continue"/>
            <w:tcBorders>
              <w:top w:val="nil"/>
              <w:left w:val="single" w:color="auto" w:sz="4" w:space="0"/>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1309" w:type="pct"/>
            <w:vMerge w:val="continue"/>
            <w:tcBorders>
              <w:top w:val="nil"/>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515"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504"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343" w:type="pct"/>
            <w:vMerge w:val="continue"/>
            <w:tcBorders>
              <w:top w:val="nil"/>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464"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619"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586"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1969" w:type="pct"/>
            <w:gridSpan w:val="2"/>
            <w:tcBorders>
              <w:top w:val="single" w:color="auto" w:sz="4" w:space="0"/>
              <w:left w:val="single" w:color="auto" w:sz="4" w:space="0"/>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合计</w:t>
            </w:r>
          </w:p>
        </w:tc>
        <w:tc>
          <w:tcPr>
            <w:tcW w:w="5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0.24</w:t>
            </w:r>
          </w:p>
        </w:tc>
        <w:tc>
          <w:tcPr>
            <w:tcW w:w="50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734.01</w:t>
            </w:r>
          </w:p>
        </w:tc>
        <w:tc>
          <w:tcPr>
            <w:tcW w:w="34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732.43</w:t>
            </w:r>
          </w:p>
        </w:tc>
        <w:tc>
          <w:tcPr>
            <w:tcW w:w="46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155.60</w:t>
            </w:r>
          </w:p>
        </w:tc>
        <w:tc>
          <w:tcPr>
            <w:tcW w:w="61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576.84</w:t>
            </w:r>
          </w:p>
        </w:tc>
        <w:tc>
          <w:tcPr>
            <w:tcW w:w="58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1.82</w:t>
            </w:r>
          </w:p>
        </w:tc>
      </w:tr>
      <w:tr>
        <w:tblPrEx>
          <w:tblCellMar>
            <w:top w:w="0" w:type="dxa"/>
            <w:left w:w="108" w:type="dxa"/>
            <w:bottom w:w="0" w:type="dxa"/>
            <w:right w:w="108" w:type="dxa"/>
          </w:tblCellMar>
        </w:tblPrEx>
        <w:trPr>
          <w:trHeight w:val="369" w:hRule="atLeast"/>
          <w:jc w:val="center"/>
        </w:trPr>
        <w:tc>
          <w:tcPr>
            <w:tcW w:w="660"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201</w:t>
            </w:r>
          </w:p>
        </w:tc>
        <w:tc>
          <w:tcPr>
            <w:tcW w:w="130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一般公共服务支出</w:t>
            </w:r>
          </w:p>
        </w:tc>
        <w:tc>
          <w:tcPr>
            <w:tcW w:w="5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0.24</w:t>
            </w:r>
          </w:p>
        </w:tc>
        <w:tc>
          <w:tcPr>
            <w:tcW w:w="50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564.06</w:t>
            </w:r>
          </w:p>
        </w:tc>
        <w:tc>
          <w:tcPr>
            <w:tcW w:w="34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562.49</w:t>
            </w:r>
          </w:p>
        </w:tc>
        <w:tc>
          <w:tcPr>
            <w:tcW w:w="46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129.96</w:t>
            </w:r>
          </w:p>
        </w:tc>
        <w:tc>
          <w:tcPr>
            <w:tcW w:w="61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432.53</w:t>
            </w:r>
          </w:p>
        </w:tc>
        <w:tc>
          <w:tcPr>
            <w:tcW w:w="58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1.82</w:t>
            </w:r>
          </w:p>
        </w:tc>
      </w:tr>
      <w:tr>
        <w:tblPrEx>
          <w:tblCellMar>
            <w:top w:w="0" w:type="dxa"/>
            <w:left w:w="108" w:type="dxa"/>
            <w:bottom w:w="0" w:type="dxa"/>
            <w:right w:w="108" w:type="dxa"/>
          </w:tblCellMar>
        </w:tblPrEx>
        <w:trPr>
          <w:trHeight w:val="369" w:hRule="atLeast"/>
          <w:jc w:val="center"/>
        </w:trPr>
        <w:tc>
          <w:tcPr>
            <w:tcW w:w="660"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20132</w:t>
            </w:r>
          </w:p>
        </w:tc>
        <w:tc>
          <w:tcPr>
            <w:tcW w:w="130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组织事务</w:t>
            </w:r>
          </w:p>
        </w:tc>
        <w:tc>
          <w:tcPr>
            <w:tcW w:w="5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0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0.06</w:t>
            </w:r>
          </w:p>
        </w:tc>
        <w:tc>
          <w:tcPr>
            <w:tcW w:w="34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0.06</w:t>
            </w:r>
          </w:p>
        </w:tc>
        <w:tc>
          <w:tcPr>
            <w:tcW w:w="46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61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0.06</w:t>
            </w:r>
          </w:p>
        </w:tc>
        <w:tc>
          <w:tcPr>
            <w:tcW w:w="58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660"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2013202</w:t>
            </w:r>
          </w:p>
        </w:tc>
        <w:tc>
          <w:tcPr>
            <w:tcW w:w="130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一般行政管理事务</w:t>
            </w:r>
          </w:p>
        </w:tc>
        <w:tc>
          <w:tcPr>
            <w:tcW w:w="5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0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0.06</w:t>
            </w:r>
          </w:p>
        </w:tc>
        <w:tc>
          <w:tcPr>
            <w:tcW w:w="34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0.06</w:t>
            </w:r>
          </w:p>
        </w:tc>
        <w:tc>
          <w:tcPr>
            <w:tcW w:w="46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61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0.06</w:t>
            </w:r>
          </w:p>
        </w:tc>
        <w:tc>
          <w:tcPr>
            <w:tcW w:w="58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660"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20135</w:t>
            </w:r>
          </w:p>
        </w:tc>
        <w:tc>
          <w:tcPr>
            <w:tcW w:w="130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对外联络事务</w:t>
            </w:r>
          </w:p>
        </w:tc>
        <w:tc>
          <w:tcPr>
            <w:tcW w:w="5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0.24</w:t>
            </w:r>
          </w:p>
        </w:tc>
        <w:tc>
          <w:tcPr>
            <w:tcW w:w="50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564.00</w:t>
            </w:r>
          </w:p>
        </w:tc>
        <w:tc>
          <w:tcPr>
            <w:tcW w:w="34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562.43</w:t>
            </w:r>
          </w:p>
        </w:tc>
        <w:tc>
          <w:tcPr>
            <w:tcW w:w="46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129.96</w:t>
            </w:r>
          </w:p>
        </w:tc>
        <w:tc>
          <w:tcPr>
            <w:tcW w:w="61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432.47</w:t>
            </w:r>
          </w:p>
        </w:tc>
        <w:tc>
          <w:tcPr>
            <w:tcW w:w="58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1.82</w:t>
            </w:r>
          </w:p>
        </w:tc>
      </w:tr>
      <w:tr>
        <w:tblPrEx>
          <w:tblCellMar>
            <w:top w:w="0" w:type="dxa"/>
            <w:left w:w="108" w:type="dxa"/>
            <w:bottom w:w="0" w:type="dxa"/>
            <w:right w:w="108" w:type="dxa"/>
          </w:tblCellMar>
        </w:tblPrEx>
        <w:trPr>
          <w:trHeight w:val="369" w:hRule="atLeast"/>
          <w:jc w:val="center"/>
        </w:trPr>
        <w:tc>
          <w:tcPr>
            <w:tcW w:w="660"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2013501</w:t>
            </w:r>
          </w:p>
        </w:tc>
        <w:tc>
          <w:tcPr>
            <w:tcW w:w="130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行政运行</w:t>
            </w:r>
          </w:p>
        </w:tc>
        <w:tc>
          <w:tcPr>
            <w:tcW w:w="5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0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104.70</w:t>
            </w:r>
          </w:p>
        </w:tc>
        <w:tc>
          <w:tcPr>
            <w:tcW w:w="34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104.70</w:t>
            </w:r>
          </w:p>
        </w:tc>
        <w:tc>
          <w:tcPr>
            <w:tcW w:w="46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104.70</w:t>
            </w:r>
          </w:p>
        </w:tc>
        <w:tc>
          <w:tcPr>
            <w:tcW w:w="61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8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660"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2013502</w:t>
            </w:r>
          </w:p>
        </w:tc>
        <w:tc>
          <w:tcPr>
            <w:tcW w:w="130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一般行政管理事务</w:t>
            </w:r>
          </w:p>
        </w:tc>
        <w:tc>
          <w:tcPr>
            <w:tcW w:w="5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0.24</w:t>
            </w:r>
          </w:p>
        </w:tc>
        <w:tc>
          <w:tcPr>
            <w:tcW w:w="50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434.04</w:t>
            </w:r>
          </w:p>
        </w:tc>
        <w:tc>
          <w:tcPr>
            <w:tcW w:w="34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432.47</w:t>
            </w:r>
          </w:p>
        </w:tc>
        <w:tc>
          <w:tcPr>
            <w:tcW w:w="46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61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432.47</w:t>
            </w:r>
          </w:p>
        </w:tc>
        <w:tc>
          <w:tcPr>
            <w:tcW w:w="58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1.82</w:t>
            </w:r>
          </w:p>
        </w:tc>
      </w:tr>
      <w:tr>
        <w:tblPrEx>
          <w:tblCellMar>
            <w:top w:w="0" w:type="dxa"/>
            <w:left w:w="108" w:type="dxa"/>
            <w:bottom w:w="0" w:type="dxa"/>
            <w:right w:w="108" w:type="dxa"/>
          </w:tblCellMar>
        </w:tblPrEx>
        <w:trPr>
          <w:trHeight w:val="369" w:hRule="atLeast"/>
          <w:jc w:val="center"/>
        </w:trPr>
        <w:tc>
          <w:tcPr>
            <w:tcW w:w="660"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2013550</w:t>
            </w:r>
          </w:p>
        </w:tc>
        <w:tc>
          <w:tcPr>
            <w:tcW w:w="130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事业运行</w:t>
            </w:r>
          </w:p>
        </w:tc>
        <w:tc>
          <w:tcPr>
            <w:tcW w:w="5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0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25.26</w:t>
            </w:r>
          </w:p>
        </w:tc>
        <w:tc>
          <w:tcPr>
            <w:tcW w:w="34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25.26</w:t>
            </w:r>
          </w:p>
        </w:tc>
        <w:tc>
          <w:tcPr>
            <w:tcW w:w="46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25.26</w:t>
            </w:r>
          </w:p>
        </w:tc>
        <w:tc>
          <w:tcPr>
            <w:tcW w:w="61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8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660"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208</w:t>
            </w:r>
          </w:p>
        </w:tc>
        <w:tc>
          <w:tcPr>
            <w:tcW w:w="130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社会保障和就业支出</w:t>
            </w:r>
          </w:p>
        </w:tc>
        <w:tc>
          <w:tcPr>
            <w:tcW w:w="5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0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11.63</w:t>
            </w:r>
          </w:p>
        </w:tc>
        <w:tc>
          <w:tcPr>
            <w:tcW w:w="34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11.63</w:t>
            </w:r>
          </w:p>
        </w:tc>
        <w:tc>
          <w:tcPr>
            <w:tcW w:w="46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11.63</w:t>
            </w:r>
          </w:p>
        </w:tc>
        <w:tc>
          <w:tcPr>
            <w:tcW w:w="61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8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660"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20805</w:t>
            </w:r>
          </w:p>
        </w:tc>
        <w:tc>
          <w:tcPr>
            <w:tcW w:w="130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行政事业单位养老支出</w:t>
            </w:r>
          </w:p>
        </w:tc>
        <w:tc>
          <w:tcPr>
            <w:tcW w:w="5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0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11.63</w:t>
            </w:r>
          </w:p>
        </w:tc>
        <w:tc>
          <w:tcPr>
            <w:tcW w:w="34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11.63</w:t>
            </w:r>
          </w:p>
        </w:tc>
        <w:tc>
          <w:tcPr>
            <w:tcW w:w="46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11.63</w:t>
            </w:r>
          </w:p>
        </w:tc>
        <w:tc>
          <w:tcPr>
            <w:tcW w:w="61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8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660"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2080505</w:t>
            </w:r>
          </w:p>
        </w:tc>
        <w:tc>
          <w:tcPr>
            <w:tcW w:w="130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机关事业单位基本养老保险缴费支出</w:t>
            </w:r>
          </w:p>
        </w:tc>
        <w:tc>
          <w:tcPr>
            <w:tcW w:w="5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0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7.70</w:t>
            </w:r>
          </w:p>
        </w:tc>
        <w:tc>
          <w:tcPr>
            <w:tcW w:w="34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7.70</w:t>
            </w:r>
          </w:p>
        </w:tc>
        <w:tc>
          <w:tcPr>
            <w:tcW w:w="46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7.70</w:t>
            </w:r>
          </w:p>
        </w:tc>
        <w:tc>
          <w:tcPr>
            <w:tcW w:w="61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8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660"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2080506</w:t>
            </w:r>
          </w:p>
        </w:tc>
        <w:tc>
          <w:tcPr>
            <w:tcW w:w="130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机关事业单位职业年金缴费支出</w:t>
            </w:r>
          </w:p>
        </w:tc>
        <w:tc>
          <w:tcPr>
            <w:tcW w:w="5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0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3.93</w:t>
            </w:r>
          </w:p>
        </w:tc>
        <w:tc>
          <w:tcPr>
            <w:tcW w:w="34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3.93</w:t>
            </w:r>
          </w:p>
        </w:tc>
        <w:tc>
          <w:tcPr>
            <w:tcW w:w="46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3.93</w:t>
            </w:r>
          </w:p>
        </w:tc>
        <w:tc>
          <w:tcPr>
            <w:tcW w:w="61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8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660"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210</w:t>
            </w:r>
          </w:p>
        </w:tc>
        <w:tc>
          <w:tcPr>
            <w:tcW w:w="130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卫生健康支出</w:t>
            </w:r>
          </w:p>
        </w:tc>
        <w:tc>
          <w:tcPr>
            <w:tcW w:w="5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0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6.90</w:t>
            </w:r>
          </w:p>
        </w:tc>
        <w:tc>
          <w:tcPr>
            <w:tcW w:w="34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6.90</w:t>
            </w:r>
          </w:p>
        </w:tc>
        <w:tc>
          <w:tcPr>
            <w:tcW w:w="46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6.01</w:t>
            </w:r>
          </w:p>
        </w:tc>
        <w:tc>
          <w:tcPr>
            <w:tcW w:w="61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0.89</w:t>
            </w:r>
          </w:p>
        </w:tc>
        <w:tc>
          <w:tcPr>
            <w:tcW w:w="58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660"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21004</w:t>
            </w:r>
          </w:p>
        </w:tc>
        <w:tc>
          <w:tcPr>
            <w:tcW w:w="130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公共卫生</w:t>
            </w:r>
          </w:p>
        </w:tc>
        <w:tc>
          <w:tcPr>
            <w:tcW w:w="5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0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0.89</w:t>
            </w:r>
          </w:p>
        </w:tc>
        <w:tc>
          <w:tcPr>
            <w:tcW w:w="34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0.89</w:t>
            </w:r>
          </w:p>
        </w:tc>
        <w:tc>
          <w:tcPr>
            <w:tcW w:w="46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61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0.89</w:t>
            </w:r>
          </w:p>
        </w:tc>
        <w:tc>
          <w:tcPr>
            <w:tcW w:w="58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660"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2100410</w:t>
            </w:r>
          </w:p>
        </w:tc>
        <w:tc>
          <w:tcPr>
            <w:tcW w:w="130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突发公共卫生事件应急处理</w:t>
            </w:r>
          </w:p>
        </w:tc>
        <w:tc>
          <w:tcPr>
            <w:tcW w:w="5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0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0.89</w:t>
            </w:r>
          </w:p>
        </w:tc>
        <w:tc>
          <w:tcPr>
            <w:tcW w:w="34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0.89</w:t>
            </w:r>
          </w:p>
        </w:tc>
        <w:tc>
          <w:tcPr>
            <w:tcW w:w="46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61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0.89</w:t>
            </w:r>
          </w:p>
        </w:tc>
        <w:tc>
          <w:tcPr>
            <w:tcW w:w="58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660"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21011</w:t>
            </w:r>
          </w:p>
        </w:tc>
        <w:tc>
          <w:tcPr>
            <w:tcW w:w="130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行政事业单位医疗</w:t>
            </w:r>
          </w:p>
        </w:tc>
        <w:tc>
          <w:tcPr>
            <w:tcW w:w="5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0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6.01</w:t>
            </w:r>
          </w:p>
        </w:tc>
        <w:tc>
          <w:tcPr>
            <w:tcW w:w="34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6.01</w:t>
            </w:r>
          </w:p>
        </w:tc>
        <w:tc>
          <w:tcPr>
            <w:tcW w:w="46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6.01</w:t>
            </w:r>
          </w:p>
        </w:tc>
        <w:tc>
          <w:tcPr>
            <w:tcW w:w="61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8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660"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2101101</w:t>
            </w:r>
          </w:p>
        </w:tc>
        <w:tc>
          <w:tcPr>
            <w:tcW w:w="130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行政单位医疗</w:t>
            </w:r>
          </w:p>
        </w:tc>
        <w:tc>
          <w:tcPr>
            <w:tcW w:w="5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0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4.64</w:t>
            </w:r>
          </w:p>
        </w:tc>
        <w:tc>
          <w:tcPr>
            <w:tcW w:w="34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4.64</w:t>
            </w:r>
          </w:p>
        </w:tc>
        <w:tc>
          <w:tcPr>
            <w:tcW w:w="46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4.64</w:t>
            </w:r>
          </w:p>
        </w:tc>
        <w:tc>
          <w:tcPr>
            <w:tcW w:w="61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8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660"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2101102</w:t>
            </w:r>
          </w:p>
        </w:tc>
        <w:tc>
          <w:tcPr>
            <w:tcW w:w="130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事业单位医疗</w:t>
            </w:r>
          </w:p>
        </w:tc>
        <w:tc>
          <w:tcPr>
            <w:tcW w:w="5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0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1.37</w:t>
            </w:r>
          </w:p>
        </w:tc>
        <w:tc>
          <w:tcPr>
            <w:tcW w:w="34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1.37</w:t>
            </w:r>
          </w:p>
        </w:tc>
        <w:tc>
          <w:tcPr>
            <w:tcW w:w="46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1.37</w:t>
            </w:r>
          </w:p>
        </w:tc>
        <w:tc>
          <w:tcPr>
            <w:tcW w:w="61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8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660"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216</w:t>
            </w:r>
          </w:p>
        </w:tc>
        <w:tc>
          <w:tcPr>
            <w:tcW w:w="130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商业服务业等支出</w:t>
            </w:r>
          </w:p>
        </w:tc>
        <w:tc>
          <w:tcPr>
            <w:tcW w:w="5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0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143.42</w:t>
            </w:r>
          </w:p>
        </w:tc>
        <w:tc>
          <w:tcPr>
            <w:tcW w:w="34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143.42</w:t>
            </w:r>
          </w:p>
        </w:tc>
        <w:tc>
          <w:tcPr>
            <w:tcW w:w="46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61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143.42</w:t>
            </w:r>
          </w:p>
        </w:tc>
        <w:tc>
          <w:tcPr>
            <w:tcW w:w="58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660"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21699</w:t>
            </w:r>
          </w:p>
        </w:tc>
        <w:tc>
          <w:tcPr>
            <w:tcW w:w="130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其他商业服务业等支出</w:t>
            </w:r>
          </w:p>
        </w:tc>
        <w:tc>
          <w:tcPr>
            <w:tcW w:w="5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0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143.42</w:t>
            </w:r>
          </w:p>
        </w:tc>
        <w:tc>
          <w:tcPr>
            <w:tcW w:w="34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143.42</w:t>
            </w:r>
          </w:p>
        </w:tc>
        <w:tc>
          <w:tcPr>
            <w:tcW w:w="46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61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143.42</w:t>
            </w:r>
          </w:p>
        </w:tc>
        <w:tc>
          <w:tcPr>
            <w:tcW w:w="58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660"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2169999</w:t>
            </w:r>
          </w:p>
        </w:tc>
        <w:tc>
          <w:tcPr>
            <w:tcW w:w="130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其他商业服务业等支出</w:t>
            </w:r>
          </w:p>
        </w:tc>
        <w:tc>
          <w:tcPr>
            <w:tcW w:w="5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0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143.42</w:t>
            </w:r>
          </w:p>
        </w:tc>
        <w:tc>
          <w:tcPr>
            <w:tcW w:w="34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143.42</w:t>
            </w:r>
          </w:p>
        </w:tc>
        <w:tc>
          <w:tcPr>
            <w:tcW w:w="46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61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143.42</w:t>
            </w:r>
          </w:p>
        </w:tc>
        <w:tc>
          <w:tcPr>
            <w:tcW w:w="58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660"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221</w:t>
            </w:r>
          </w:p>
        </w:tc>
        <w:tc>
          <w:tcPr>
            <w:tcW w:w="130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住房保障支出</w:t>
            </w:r>
          </w:p>
        </w:tc>
        <w:tc>
          <w:tcPr>
            <w:tcW w:w="5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0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7.99</w:t>
            </w:r>
          </w:p>
        </w:tc>
        <w:tc>
          <w:tcPr>
            <w:tcW w:w="34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7.99</w:t>
            </w:r>
          </w:p>
        </w:tc>
        <w:tc>
          <w:tcPr>
            <w:tcW w:w="46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7.99</w:t>
            </w:r>
          </w:p>
        </w:tc>
        <w:tc>
          <w:tcPr>
            <w:tcW w:w="61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8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660"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22102</w:t>
            </w:r>
          </w:p>
        </w:tc>
        <w:tc>
          <w:tcPr>
            <w:tcW w:w="130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住房改革支出</w:t>
            </w:r>
          </w:p>
        </w:tc>
        <w:tc>
          <w:tcPr>
            <w:tcW w:w="5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0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7.99</w:t>
            </w:r>
          </w:p>
        </w:tc>
        <w:tc>
          <w:tcPr>
            <w:tcW w:w="34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7.99</w:t>
            </w:r>
          </w:p>
        </w:tc>
        <w:tc>
          <w:tcPr>
            <w:tcW w:w="46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7.99</w:t>
            </w:r>
          </w:p>
        </w:tc>
        <w:tc>
          <w:tcPr>
            <w:tcW w:w="61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8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660"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2210201</w:t>
            </w:r>
          </w:p>
        </w:tc>
        <w:tc>
          <w:tcPr>
            <w:tcW w:w="130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住房公积金</w:t>
            </w:r>
          </w:p>
        </w:tc>
        <w:tc>
          <w:tcPr>
            <w:tcW w:w="5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0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5.78</w:t>
            </w:r>
          </w:p>
        </w:tc>
        <w:tc>
          <w:tcPr>
            <w:tcW w:w="34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5.78</w:t>
            </w:r>
          </w:p>
        </w:tc>
        <w:tc>
          <w:tcPr>
            <w:tcW w:w="46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5.78</w:t>
            </w:r>
          </w:p>
        </w:tc>
        <w:tc>
          <w:tcPr>
            <w:tcW w:w="61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8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369" w:hRule="atLeast"/>
          <w:jc w:val="center"/>
        </w:trPr>
        <w:tc>
          <w:tcPr>
            <w:tcW w:w="660"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2210203</w:t>
            </w:r>
          </w:p>
        </w:tc>
        <w:tc>
          <w:tcPr>
            <w:tcW w:w="130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购房补贴</w:t>
            </w:r>
          </w:p>
        </w:tc>
        <w:tc>
          <w:tcPr>
            <w:tcW w:w="515"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0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2.21</w:t>
            </w:r>
          </w:p>
        </w:tc>
        <w:tc>
          <w:tcPr>
            <w:tcW w:w="34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2.21</w:t>
            </w:r>
          </w:p>
        </w:tc>
        <w:tc>
          <w:tcPr>
            <w:tcW w:w="464"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2.21</w:t>
            </w:r>
          </w:p>
        </w:tc>
        <w:tc>
          <w:tcPr>
            <w:tcW w:w="61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86"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bl>
    <w:p>
      <w:pPr>
        <w:widowControl w:val="0"/>
        <w:autoSpaceDE w:val="0"/>
        <w:ind w:firstLine="0" w:firstLineChars="0"/>
        <w:rPr>
          <w:rFonts w:hint="default"/>
          <w:color w:val="000000" w:themeColor="text1"/>
          <w:szCs w:val="32"/>
        </w:rPr>
      </w:pPr>
      <w:r>
        <w:rPr>
          <w:color w:val="000000" w:themeColor="text1"/>
          <w:szCs w:val="32"/>
        </w:rPr>
        <w:t>备注：本表反映部门本年度一般公共预算财政拨款收支余情况。</w:t>
      </w:r>
    </w:p>
    <w:p>
      <w:pPr>
        <w:pStyle w:val="18"/>
        <w:widowControl w:val="0"/>
        <w:spacing w:beforeAutospacing="0" w:afterAutospacing="0"/>
        <w:ind w:firstLine="0" w:firstLineChars="0"/>
        <w:jc w:val="center"/>
        <w:rPr>
          <w:rFonts w:hint="default" w:ascii="方正小标宋_GBK" w:eastAsia="方正小标宋_GBK" w:cs="黑体"/>
          <w:color w:val="000000" w:themeColor="text1"/>
          <w:sz w:val="44"/>
          <w:szCs w:val="44"/>
        </w:rPr>
      </w:pPr>
      <w:r>
        <w:rPr>
          <w:rFonts w:ascii="方正小标宋_GBK" w:eastAsia="方正小标宋_GBK" w:cs="黑体"/>
          <w:color w:val="000000" w:themeColor="text1"/>
          <w:sz w:val="44"/>
          <w:szCs w:val="44"/>
        </w:rPr>
        <w:t>一般公共预算财政拨款基本支出决算表</w:t>
      </w:r>
    </w:p>
    <w:p>
      <w:pPr>
        <w:pStyle w:val="50"/>
        <w:widowControl w:val="0"/>
        <w:autoSpaceDE w:val="0"/>
        <w:spacing w:before="0" w:beforeAutospacing="0" w:after="0" w:afterAutospacing="0"/>
        <w:ind w:firstLine="0" w:firstLineChars="0"/>
        <w:jc w:val="right"/>
        <w:rPr>
          <w:rFonts w:hint="default" w:ascii="方正楷体_GBK" w:eastAsia="方正楷体_GBK"/>
          <w:color w:val="000000" w:themeColor="text1"/>
          <w:sz w:val="32"/>
          <w:szCs w:val="32"/>
        </w:rPr>
      </w:pPr>
      <w:r>
        <w:rPr>
          <w:rFonts w:ascii="方正楷体_GBK" w:eastAsia="方正楷体_GBK"/>
          <w:color w:val="000000" w:themeColor="text1"/>
          <w:sz w:val="32"/>
          <w:szCs w:val="32"/>
        </w:rPr>
        <w:t>公开06表</w:t>
      </w:r>
    </w:p>
    <w:p>
      <w:pPr>
        <w:pStyle w:val="50"/>
        <w:widowControl w:val="0"/>
        <w:autoSpaceDE w:val="0"/>
        <w:spacing w:before="0" w:beforeAutospacing="0" w:afterLines="20" w:afterAutospacing="0"/>
        <w:ind w:firstLine="0" w:firstLineChars="0"/>
        <w:jc w:val="both"/>
        <w:rPr>
          <w:rFonts w:hint="default" w:ascii="方正楷体_GBK" w:eastAsia="方正楷体_GBK"/>
          <w:color w:val="000000" w:themeColor="text1"/>
          <w:sz w:val="32"/>
          <w:szCs w:val="32"/>
        </w:rPr>
      </w:pPr>
      <w:r>
        <w:rPr>
          <w:rFonts w:ascii="方正楷体_GBK" w:eastAsia="方正楷体_GBK"/>
          <w:color w:val="000000" w:themeColor="text1"/>
          <w:sz w:val="32"/>
          <w:szCs w:val="32"/>
        </w:rPr>
        <w:t>公开部门：重庆市渝中区人民政府外事办公室                                      2020年度                                                                                            单位：万元</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4819"/>
        <w:gridCol w:w="992"/>
        <w:gridCol w:w="1276"/>
        <w:gridCol w:w="4824"/>
        <w:gridCol w:w="1022"/>
        <w:gridCol w:w="1259"/>
        <w:gridCol w:w="4790"/>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664" w:type="pct"/>
            <w:gridSpan w:val="3"/>
            <w:tcBorders>
              <w:top w:val="single" w:color="auto" w:sz="4" w:space="0"/>
              <w:left w:val="single" w:color="auto" w:sz="4" w:space="0"/>
              <w:bottom w:val="single" w:color="auto" w:sz="4" w:space="0"/>
              <w:right w:val="single" w:color="auto" w:sz="4" w:space="0"/>
            </w:tcBorders>
            <w:vAlign w:val="center"/>
          </w:tcPr>
          <w:p>
            <w:pPr>
              <w:widowControl w:val="0"/>
              <w:spacing w:line="29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 xml:space="preserve"> 人员经费</w:t>
            </w:r>
          </w:p>
        </w:tc>
        <w:tc>
          <w:tcPr>
            <w:tcW w:w="3336" w:type="pct"/>
            <w:gridSpan w:val="6"/>
            <w:tcBorders>
              <w:top w:val="single" w:color="auto" w:sz="4" w:space="0"/>
              <w:left w:val="nil"/>
              <w:bottom w:val="single" w:color="auto" w:sz="4" w:space="0"/>
              <w:right w:val="single" w:color="auto" w:sz="4" w:space="0"/>
            </w:tcBorders>
            <w:vAlign w:val="center"/>
          </w:tcPr>
          <w:p>
            <w:pPr>
              <w:widowControl w:val="0"/>
              <w:spacing w:line="29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3" w:type="pct"/>
            <w:vMerge w:val="restart"/>
            <w:tcBorders>
              <w:top w:val="nil"/>
              <w:left w:val="single" w:color="auto" w:sz="4" w:space="0"/>
              <w:bottom w:val="single" w:color="auto" w:sz="4" w:space="0"/>
              <w:right w:val="single" w:color="auto" w:sz="4" w:space="0"/>
            </w:tcBorders>
            <w:vAlign w:val="center"/>
          </w:tcPr>
          <w:p>
            <w:pPr>
              <w:widowControl w:val="0"/>
              <w:spacing w:line="29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经济分类科目编码</w:t>
            </w:r>
          </w:p>
        </w:tc>
        <w:tc>
          <w:tcPr>
            <w:tcW w:w="1137" w:type="pct"/>
            <w:vMerge w:val="restart"/>
            <w:tcBorders>
              <w:top w:val="nil"/>
              <w:left w:val="nil"/>
              <w:bottom w:val="single" w:color="auto" w:sz="4" w:space="0"/>
              <w:right w:val="single" w:color="auto" w:sz="4" w:space="0"/>
            </w:tcBorders>
            <w:vAlign w:val="center"/>
          </w:tcPr>
          <w:p>
            <w:pPr>
              <w:widowControl w:val="0"/>
              <w:spacing w:line="29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经济分类科目（按“款”级功能分类科目）</w:t>
            </w:r>
          </w:p>
        </w:tc>
        <w:tc>
          <w:tcPr>
            <w:tcW w:w="234" w:type="pct"/>
            <w:vMerge w:val="restart"/>
            <w:tcBorders>
              <w:top w:val="single" w:color="auto" w:sz="4" w:space="0"/>
              <w:left w:val="nil"/>
              <w:bottom w:val="single" w:color="auto" w:sz="4" w:space="0"/>
              <w:right w:val="single" w:color="auto" w:sz="4" w:space="0"/>
            </w:tcBorders>
            <w:vAlign w:val="center"/>
          </w:tcPr>
          <w:p>
            <w:pPr>
              <w:widowControl w:val="0"/>
              <w:spacing w:line="29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金   额</w:t>
            </w:r>
          </w:p>
        </w:tc>
        <w:tc>
          <w:tcPr>
            <w:tcW w:w="301" w:type="pct"/>
            <w:vMerge w:val="restart"/>
            <w:tcBorders>
              <w:top w:val="single" w:color="auto" w:sz="4" w:space="0"/>
              <w:left w:val="nil"/>
              <w:bottom w:val="single" w:color="auto" w:sz="4" w:space="0"/>
              <w:right w:val="single" w:color="auto" w:sz="4" w:space="0"/>
            </w:tcBorders>
            <w:vAlign w:val="center"/>
          </w:tcPr>
          <w:p>
            <w:pPr>
              <w:widowControl w:val="0"/>
              <w:spacing w:line="29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经济分类科目编码</w:t>
            </w:r>
          </w:p>
        </w:tc>
        <w:tc>
          <w:tcPr>
            <w:tcW w:w="1138" w:type="pct"/>
            <w:vMerge w:val="restart"/>
            <w:tcBorders>
              <w:top w:val="single" w:color="auto" w:sz="4" w:space="0"/>
              <w:left w:val="nil"/>
              <w:bottom w:val="single" w:color="auto" w:sz="4" w:space="0"/>
              <w:right w:val="single" w:color="auto" w:sz="4" w:space="0"/>
            </w:tcBorders>
            <w:vAlign w:val="center"/>
          </w:tcPr>
          <w:p>
            <w:pPr>
              <w:widowControl w:val="0"/>
              <w:spacing w:line="29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经济分类科目（按“款”级功能分类科目）</w:t>
            </w:r>
          </w:p>
        </w:tc>
        <w:tc>
          <w:tcPr>
            <w:tcW w:w="241" w:type="pct"/>
            <w:vMerge w:val="restart"/>
            <w:tcBorders>
              <w:top w:val="single" w:color="auto" w:sz="4" w:space="0"/>
              <w:left w:val="nil"/>
              <w:bottom w:val="single" w:color="auto" w:sz="4" w:space="0"/>
              <w:right w:val="single" w:color="auto" w:sz="4" w:space="0"/>
            </w:tcBorders>
            <w:vAlign w:val="center"/>
          </w:tcPr>
          <w:p>
            <w:pPr>
              <w:widowControl w:val="0"/>
              <w:spacing w:line="29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金   额</w:t>
            </w:r>
          </w:p>
        </w:tc>
        <w:tc>
          <w:tcPr>
            <w:tcW w:w="297" w:type="pct"/>
            <w:vMerge w:val="restart"/>
            <w:tcBorders>
              <w:top w:val="single" w:color="auto" w:sz="4" w:space="0"/>
              <w:left w:val="nil"/>
              <w:bottom w:val="single" w:color="auto" w:sz="4" w:space="0"/>
              <w:right w:val="single" w:color="auto" w:sz="4" w:space="0"/>
            </w:tcBorders>
            <w:vAlign w:val="center"/>
          </w:tcPr>
          <w:p>
            <w:pPr>
              <w:widowControl w:val="0"/>
              <w:spacing w:line="29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经济分类科目编码</w:t>
            </w:r>
          </w:p>
        </w:tc>
        <w:tc>
          <w:tcPr>
            <w:tcW w:w="1130" w:type="pct"/>
            <w:vMerge w:val="restart"/>
            <w:tcBorders>
              <w:top w:val="single" w:color="auto" w:sz="4" w:space="0"/>
              <w:left w:val="nil"/>
              <w:bottom w:val="single" w:color="auto" w:sz="4" w:space="0"/>
              <w:right w:val="single" w:color="auto" w:sz="4" w:space="0"/>
            </w:tcBorders>
            <w:vAlign w:val="center"/>
          </w:tcPr>
          <w:p>
            <w:pPr>
              <w:widowControl w:val="0"/>
              <w:spacing w:line="29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经济分类科目（按“款”级功能分类科目）</w:t>
            </w:r>
          </w:p>
        </w:tc>
        <w:tc>
          <w:tcPr>
            <w:tcW w:w="229" w:type="pct"/>
            <w:vMerge w:val="restart"/>
            <w:tcBorders>
              <w:top w:val="single" w:color="auto" w:sz="4" w:space="0"/>
              <w:left w:val="nil"/>
              <w:bottom w:val="single" w:color="auto" w:sz="4" w:space="0"/>
              <w:right w:val="single" w:color="auto" w:sz="4" w:space="0"/>
            </w:tcBorders>
            <w:vAlign w:val="center"/>
          </w:tcPr>
          <w:p>
            <w:pPr>
              <w:widowControl w:val="0"/>
              <w:spacing w:line="29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93" w:type="pct"/>
            <w:vMerge w:val="continue"/>
            <w:tcBorders>
              <w:top w:val="nil"/>
              <w:left w:val="single" w:color="auto" w:sz="4" w:space="0"/>
              <w:bottom w:val="single" w:color="auto" w:sz="4" w:space="0"/>
              <w:right w:val="single" w:color="auto" w:sz="4" w:space="0"/>
            </w:tcBorders>
            <w:vAlign w:val="center"/>
          </w:tcPr>
          <w:p>
            <w:pPr>
              <w:widowControl w:val="0"/>
              <w:spacing w:line="290" w:lineRule="exact"/>
              <w:ind w:firstLine="0" w:firstLineChars="0"/>
              <w:textAlignment w:val="center"/>
              <w:rPr>
                <w:rFonts w:hint="default"/>
                <w:color w:val="000000" w:themeColor="text1"/>
                <w:sz w:val="24"/>
              </w:rPr>
            </w:pPr>
          </w:p>
        </w:tc>
        <w:tc>
          <w:tcPr>
            <w:tcW w:w="1137" w:type="pct"/>
            <w:vMerge w:val="continue"/>
            <w:tcBorders>
              <w:top w:val="nil"/>
              <w:left w:val="nil"/>
              <w:bottom w:val="single" w:color="auto" w:sz="4" w:space="0"/>
              <w:right w:val="single" w:color="auto" w:sz="4" w:space="0"/>
            </w:tcBorders>
            <w:vAlign w:val="center"/>
          </w:tcPr>
          <w:p>
            <w:pPr>
              <w:widowControl w:val="0"/>
              <w:spacing w:line="290" w:lineRule="exact"/>
              <w:ind w:firstLine="0" w:firstLineChars="0"/>
              <w:textAlignment w:val="center"/>
              <w:rPr>
                <w:rFonts w:hint="default"/>
                <w:color w:val="000000" w:themeColor="text1"/>
                <w:sz w:val="24"/>
              </w:rPr>
            </w:pPr>
          </w:p>
        </w:tc>
        <w:tc>
          <w:tcPr>
            <w:tcW w:w="234" w:type="pct"/>
            <w:vMerge w:val="continue"/>
            <w:tcBorders>
              <w:top w:val="single" w:color="auto" w:sz="4" w:space="0"/>
              <w:left w:val="nil"/>
              <w:bottom w:val="single" w:color="auto" w:sz="4" w:space="0"/>
              <w:right w:val="single" w:color="auto" w:sz="4" w:space="0"/>
            </w:tcBorders>
            <w:vAlign w:val="center"/>
          </w:tcPr>
          <w:p>
            <w:pPr>
              <w:widowControl w:val="0"/>
              <w:spacing w:line="290" w:lineRule="exact"/>
              <w:ind w:firstLine="0" w:firstLineChars="0"/>
              <w:textAlignment w:val="center"/>
              <w:rPr>
                <w:rFonts w:hint="default"/>
                <w:color w:val="000000" w:themeColor="text1"/>
                <w:sz w:val="24"/>
              </w:rPr>
            </w:pPr>
          </w:p>
        </w:tc>
        <w:tc>
          <w:tcPr>
            <w:tcW w:w="301" w:type="pct"/>
            <w:vMerge w:val="continue"/>
            <w:tcBorders>
              <w:top w:val="single" w:color="auto" w:sz="4" w:space="0"/>
              <w:left w:val="nil"/>
              <w:bottom w:val="single" w:color="auto" w:sz="4" w:space="0"/>
              <w:right w:val="single" w:color="auto" w:sz="4" w:space="0"/>
            </w:tcBorders>
            <w:vAlign w:val="center"/>
          </w:tcPr>
          <w:p>
            <w:pPr>
              <w:widowControl w:val="0"/>
              <w:spacing w:line="290" w:lineRule="exact"/>
              <w:ind w:firstLine="0" w:firstLineChars="0"/>
              <w:textAlignment w:val="center"/>
              <w:rPr>
                <w:rFonts w:hint="default"/>
                <w:color w:val="000000" w:themeColor="text1"/>
                <w:sz w:val="24"/>
              </w:rPr>
            </w:pPr>
          </w:p>
        </w:tc>
        <w:tc>
          <w:tcPr>
            <w:tcW w:w="1138" w:type="pct"/>
            <w:vMerge w:val="continue"/>
            <w:tcBorders>
              <w:top w:val="single" w:color="auto" w:sz="4" w:space="0"/>
              <w:left w:val="nil"/>
              <w:bottom w:val="single" w:color="auto" w:sz="4" w:space="0"/>
              <w:right w:val="single" w:color="auto" w:sz="4" w:space="0"/>
            </w:tcBorders>
            <w:vAlign w:val="center"/>
          </w:tcPr>
          <w:p>
            <w:pPr>
              <w:widowControl w:val="0"/>
              <w:spacing w:line="290" w:lineRule="exact"/>
              <w:ind w:firstLine="0" w:firstLineChars="0"/>
              <w:textAlignment w:val="center"/>
              <w:rPr>
                <w:rFonts w:hint="default"/>
                <w:color w:val="000000" w:themeColor="text1"/>
                <w:sz w:val="24"/>
              </w:rPr>
            </w:pPr>
          </w:p>
        </w:tc>
        <w:tc>
          <w:tcPr>
            <w:tcW w:w="241" w:type="pct"/>
            <w:vMerge w:val="continue"/>
            <w:tcBorders>
              <w:top w:val="single" w:color="auto" w:sz="4" w:space="0"/>
              <w:left w:val="nil"/>
              <w:bottom w:val="single" w:color="auto" w:sz="4" w:space="0"/>
              <w:right w:val="single" w:color="auto" w:sz="4" w:space="0"/>
            </w:tcBorders>
            <w:vAlign w:val="center"/>
          </w:tcPr>
          <w:p>
            <w:pPr>
              <w:widowControl w:val="0"/>
              <w:spacing w:line="290" w:lineRule="exact"/>
              <w:ind w:firstLine="0" w:firstLineChars="0"/>
              <w:textAlignment w:val="center"/>
              <w:rPr>
                <w:rFonts w:hint="default"/>
                <w:color w:val="000000" w:themeColor="text1"/>
                <w:sz w:val="24"/>
              </w:rPr>
            </w:pPr>
          </w:p>
        </w:tc>
        <w:tc>
          <w:tcPr>
            <w:tcW w:w="297" w:type="pct"/>
            <w:vMerge w:val="continue"/>
            <w:tcBorders>
              <w:top w:val="single" w:color="auto" w:sz="4" w:space="0"/>
              <w:left w:val="nil"/>
              <w:bottom w:val="single" w:color="auto" w:sz="4" w:space="0"/>
              <w:right w:val="single" w:color="auto" w:sz="4" w:space="0"/>
            </w:tcBorders>
            <w:vAlign w:val="center"/>
          </w:tcPr>
          <w:p>
            <w:pPr>
              <w:widowControl w:val="0"/>
              <w:spacing w:line="290" w:lineRule="exact"/>
              <w:ind w:firstLine="0" w:firstLineChars="0"/>
              <w:textAlignment w:val="center"/>
              <w:rPr>
                <w:rFonts w:hint="default"/>
                <w:color w:val="000000" w:themeColor="text1"/>
                <w:sz w:val="24"/>
              </w:rPr>
            </w:pPr>
          </w:p>
        </w:tc>
        <w:tc>
          <w:tcPr>
            <w:tcW w:w="1130" w:type="pct"/>
            <w:vMerge w:val="continue"/>
            <w:tcBorders>
              <w:top w:val="single" w:color="auto" w:sz="4" w:space="0"/>
              <w:left w:val="nil"/>
              <w:bottom w:val="single" w:color="auto" w:sz="4" w:space="0"/>
              <w:right w:val="single" w:color="auto" w:sz="4" w:space="0"/>
            </w:tcBorders>
            <w:vAlign w:val="center"/>
          </w:tcPr>
          <w:p>
            <w:pPr>
              <w:widowControl w:val="0"/>
              <w:spacing w:line="290" w:lineRule="exact"/>
              <w:ind w:firstLine="0" w:firstLineChars="0"/>
              <w:textAlignment w:val="center"/>
              <w:rPr>
                <w:rFonts w:hint="default"/>
                <w:color w:val="000000" w:themeColor="text1"/>
                <w:sz w:val="24"/>
              </w:rPr>
            </w:pPr>
          </w:p>
        </w:tc>
        <w:tc>
          <w:tcPr>
            <w:tcW w:w="229" w:type="pct"/>
            <w:vMerge w:val="continue"/>
            <w:tcBorders>
              <w:top w:val="single" w:color="auto" w:sz="4" w:space="0"/>
              <w:left w:val="nil"/>
              <w:bottom w:val="single" w:color="auto" w:sz="4" w:space="0"/>
              <w:right w:val="single" w:color="auto" w:sz="4" w:space="0"/>
            </w:tcBorders>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301</w:t>
            </w: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工资福利支出</w:t>
            </w: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112.81</w:t>
            </w: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302</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商品和服务支出</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42.78</w:t>
            </w: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310</w:t>
            </w: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资本性支出</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30101</w:t>
            </w: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基本工资</w:t>
            </w: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30.85</w:t>
            </w: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30201</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办公费</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6.95</w:t>
            </w: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31001</w:t>
            </w: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房屋建筑物购建</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30102</w:t>
            </w: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津贴补贴</w:t>
            </w: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19.90</w:t>
            </w: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30202</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印刷费</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31002</w:t>
            </w: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办公设备购置</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30103</w:t>
            </w: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奖金</w:t>
            </w: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11.00</w:t>
            </w: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30203</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咨询费</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31003</w:t>
            </w: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专用设备购置</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30106</w:t>
            </w: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伙食补助费</w:t>
            </w: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30204</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手续费</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31005</w:t>
            </w: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基础设施建设</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30107</w:t>
            </w: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绩效工资</w:t>
            </w: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12.37</w:t>
            </w: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30205</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水费</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31006</w:t>
            </w: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大型修缮</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30108</w:t>
            </w: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机关事业单位基本养老保险费</w:t>
            </w: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7.70</w:t>
            </w: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30206</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电费</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31007</w:t>
            </w: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信息网络及软件购置更新</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30109</w:t>
            </w: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职业年金缴费</w:t>
            </w: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3.93</w:t>
            </w: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30207</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邮电费</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1.77</w:t>
            </w: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31008</w:t>
            </w: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物资储备</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30110</w:t>
            </w: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职工基本医疗保险缴费</w:t>
            </w: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4.72</w:t>
            </w: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30208</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取暖费</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31009</w:t>
            </w: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土地补偿</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30111</w:t>
            </w: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公务员医疗补助缴费</w:t>
            </w: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30209</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物业管理费</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31010</w:t>
            </w: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安置补助</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30112</w:t>
            </w: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其他社会保障缴费</w:t>
            </w: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0.18</w:t>
            </w: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30211</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差旅费</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9.12</w:t>
            </w: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31011</w:t>
            </w: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地上附着物和青苗补偿</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30113</w:t>
            </w: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住房公积金</w:t>
            </w: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5.78</w:t>
            </w: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30212</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因公出国（境）费用</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31012</w:t>
            </w: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拆迁补偿</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30114</w:t>
            </w: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医疗费</w:t>
            </w: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3.16</w:t>
            </w: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30213</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维修（护）费</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31013</w:t>
            </w: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公务用车购置</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30199</w:t>
            </w: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其他工资福利支出</w:t>
            </w: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13.24</w:t>
            </w: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30214</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租赁费</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31019</w:t>
            </w: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其他交通工具购置</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303</w:t>
            </w: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对个人和家庭的补助</w:t>
            </w: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30215</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会议费</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31021</w:t>
            </w: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文物和陈列品购置</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30301</w:t>
            </w: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离休费</w:t>
            </w: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30216</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培训费</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0.13</w:t>
            </w: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31022</w:t>
            </w: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无形资产购置</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30302</w:t>
            </w: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退休费</w:t>
            </w: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30217</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公务接待费</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0.08</w:t>
            </w: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31099</w:t>
            </w: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其他资本性支出</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30303</w:t>
            </w: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退职（役）费</w:t>
            </w: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30218</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专用材料费</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312</w:t>
            </w: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对企业补助</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30304</w:t>
            </w: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抚恤金</w:t>
            </w: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30224</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被装购置费</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31201</w:t>
            </w: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资本金注入</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30305</w:t>
            </w: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生活补助</w:t>
            </w: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30225</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专用燃料费</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31203</w:t>
            </w: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政府投资基金股权投资</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30306</w:t>
            </w: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救济费</w:t>
            </w: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30226</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劳务费</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1.23</w:t>
            </w: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31204</w:t>
            </w: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费用补贴</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30307</w:t>
            </w: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医疗费补助</w:t>
            </w: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30227</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委托业务费</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31205</w:t>
            </w: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利息补贴</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30308</w:t>
            </w: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助学金</w:t>
            </w: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30228</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工会经费</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10.78</w:t>
            </w: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31299</w:t>
            </w: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其他对企业补助</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30309</w:t>
            </w: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奖励金</w:t>
            </w: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30229</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福利费</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399</w:t>
            </w: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其他支出</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30310</w:t>
            </w: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个人农业生产补贴</w:t>
            </w: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30231</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公务用车运行维护费</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0.45</w:t>
            </w: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39906</w:t>
            </w: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赠与</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30311</w:t>
            </w: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代缴社会保险费</w:t>
            </w: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30239</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其他交通费用</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4.89</w:t>
            </w: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39907</w:t>
            </w: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国家赔偿费用支出</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30399</w:t>
            </w: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其他个人和家庭的补助支出</w:t>
            </w: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30240</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税金及附加费用</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39908</w:t>
            </w: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对民间非营利组织和群众性自治组织补贴</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30299</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其他商品和服务支出</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7.39</w:t>
            </w: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39999</w:t>
            </w: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其他支出</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307</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债务利息及费用支出</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30701</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国内债务付息</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30702</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国外债务付息</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30703</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国内债务发行费用</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3" w:type="pct"/>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113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30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30704</w:t>
            </w:r>
          </w:p>
        </w:tc>
        <w:tc>
          <w:tcPr>
            <w:tcW w:w="1138"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 xml:space="preserve">  国外债务发行费用</w:t>
            </w:r>
          </w:p>
        </w:tc>
        <w:tc>
          <w:tcPr>
            <w:tcW w:w="241"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97"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1130"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30" w:type="pct"/>
            <w:gridSpan w:val="2"/>
            <w:tcBorders>
              <w:top w:val="single" w:color="auto" w:sz="4" w:space="0"/>
              <w:left w:val="single" w:color="auto" w:sz="4" w:space="0"/>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人员经费合计</w:t>
            </w:r>
          </w:p>
        </w:tc>
        <w:tc>
          <w:tcPr>
            <w:tcW w:w="234"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112.81</w:t>
            </w:r>
          </w:p>
        </w:tc>
        <w:tc>
          <w:tcPr>
            <w:tcW w:w="3107" w:type="pct"/>
            <w:gridSpan w:val="5"/>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公用经费合计</w:t>
            </w:r>
          </w:p>
        </w:tc>
        <w:tc>
          <w:tcPr>
            <w:tcW w:w="229" w:type="pct"/>
            <w:tcBorders>
              <w:top w:val="single" w:color="auto" w:sz="4" w:space="0"/>
              <w:left w:val="nil"/>
              <w:bottom w:val="single" w:color="auto" w:sz="4" w:space="0"/>
              <w:right w:val="single" w:color="auto" w:sz="4" w:space="0"/>
            </w:tcBorders>
            <w:noWrap/>
            <w:vAlign w:val="center"/>
          </w:tcPr>
          <w:p>
            <w:pPr>
              <w:widowControl w:val="0"/>
              <w:spacing w:line="290" w:lineRule="exact"/>
              <w:ind w:firstLine="0" w:firstLineChars="0"/>
              <w:textAlignment w:val="center"/>
              <w:rPr>
                <w:rFonts w:hint="default"/>
                <w:color w:val="000000" w:themeColor="text1"/>
                <w:sz w:val="24"/>
              </w:rPr>
            </w:pPr>
            <w:r>
              <w:rPr>
                <w:color w:val="000000" w:themeColor="text1"/>
                <w:sz w:val="24"/>
              </w:rPr>
              <w:t>42.78</w:t>
            </w:r>
          </w:p>
        </w:tc>
      </w:tr>
    </w:tbl>
    <w:p>
      <w:pPr>
        <w:widowControl w:val="0"/>
        <w:autoSpaceDE w:val="0"/>
        <w:ind w:firstLine="0" w:firstLineChars="0"/>
        <w:rPr>
          <w:rFonts w:hint="default"/>
          <w:color w:val="000000" w:themeColor="text1"/>
          <w:szCs w:val="32"/>
        </w:rPr>
      </w:pPr>
      <w:r>
        <w:rPr>
          <w:color w:val="000000" w:themeColor="text1"/>
          <w:szCs w:val="32"/>
        </w:rPr>
        <w:t>注：本表反映部门本年度一般公共预算财政拨款基本支出明细情况。</w:t>
      </w:r>
    </w:p>
    <w:p>
      <w:pPr>
        <w:pStyle w:val="18"/>
        <w:widowControl w:val="0"/>
        <w:spacing w:beforeAutospacing="0" w:afterAutospacing="0"/>
        <w:ind w:firstLine="0" w:firstLineChars="0"/>
        <w:jc w:val="center"/>
        <w:rPr>
          <w:rFonts w:hint="default" w:ascii="方正小标宋_GBK" w:eastAsia="方正小标宋_GBK" w:cs="黑体"/>
          <w:color w:val="000000" w:themeColor="text1"/>
          <w:sz w:val="44"/>
          <w:szCs w:val="44"/>
        </w:rPr>
      </w:pPr>
      <w:r>
        <w:rPr>
          <w:rFonts w:ascii="方正小标宋_GBK" w:eastAsia="方正小标宋_GBK" w:cs="黑体"/>
          <w:color w:val="000000" w:themeColor="text1"/>
          <w:sz w:val="44"/>
          <w:szCs w:val="44"/>
        </w:rPr>
        <w:t>政府性基金预算财政拨款收入支出决算表</w:t>
      </w:r>
    </w:p>
    <w:p>
      <w:pPr>
        <w:pStyle w:val="50"/>
        <w:widowControl w:val="0"/>
        <w:autoSpaceDE w:val="0"/>
        <w:spacing w:before="0" w:beforeAutospacing="0" w:after="0" w:afterAutospacing="0"/>
        <w:ind w:firstLine="0" w:firstLineChars="0"/>
        <w:jc w:val="right"/>
        <w:rPr>
          <w:rFonts w:hint="default" w:ascii="方正楷体_GBK" w:eastAsia="方正楷体_GBK"/>
          <w:color w:val="000000" w:themeColor="text1"/>
          <w:sz w:val="32"/>
          <w:szCs w:val="32"/>
        </w:rPr>
      </w:pPr>
      <w:r>
        <w:rPr>
          <w:rFonts w:ascii="方正楷体_GBK" w:eastAsia="方正楷体_GBK"/>
          <w:color w:val="000000" w:themeColor="text1"/>
          <w:sz w:val="32"/>
          <w:szCs w:val="32"/>
        </w:rPr>
        <w:t>公开07表</w:t>
      </w:r>
    </w:p>
    <w:p>
      <w:pPr>
        <w:pStyle w:val="50"/>
        <w:widowControl w:val="0"/>
        <w:autoSpaceDE w:val="0"/>
        <w:spacing w:before="0" w:beforeAutospacing="0" w:afterLines="20" w:afterAutospacing="0"/>
        <w:ind w:firstLine="0" w:firstLineChars="0"/>
        <w:jc w:val="both"/>
        <w:rPr>
          <w:rFonts w:hint="default" w:ascii="方正楷体_GBK" w:eastAsia="方正楷体_GBK"/>
          <w:color w:val="000000" w:themeColor="text1"/>
          <w:sz w:val="32"/>
          <w:szCs w:val="32"/>
        </w:rPr>
      </w:pPr>
      <w:r>
        <w:rPr>
          <w:rFonts w:ascii="方正楷体_GBK" w:eastAsia="方正楷体_GBK"/>
          <w:color w:val="000000" w:themeColor="text1"/>
          <w:sz w:val="32"/>
          <w:szCs w:val="32"/>
        </w:rPr>
        <w:t xml:space="preserve">公开部门：重庆市渝中区人民政府外事办公室                                      2020年度                                                                                            单位：万元 </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3"/>
        <w:gridCol w:w="4930"/>
        <w:gridCol w:w="2242"/>
        <w:gridCol w:w="1933"/>
        <w:gridCol w:w="1437"/>
        <w:gridCol w:w="2306"/>
        <w:gridCol w:w="1649"/>
        <w:gridCol w:w="3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pct"/>
            <w:gridSpan w:val="2"/>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   目</w:t>
            </w:r>
          </w:p>
        </w:tc>
        <w:tc>
          <w:tcPr>
            <w:tcW w:w="529" w:type="pct"/>
            <w:vMerge w:val="restart"/>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年初结转和结余</w:t>
            </w:r>
          </w:p>
        </w:tc>
        <w:tc>
          <w:tcPr>
            <w:tcW w:w="456" w:type="pct"/>
            <w:vMerge w:val="restart"/>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本年收入</w:t>
            </w:r>
          </w:p>
        </w:tc>
        <w:tc>
          <w:tcPr>
            <w:tcW w:w="1272" w:type="pct"/>
            <w:gridSpan w:val="3"/>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本年支出</w:t>
            </w:r>
          </w:p>
        </w:tc>
        <w:tc>
          <w:tcPr>
            <w:tcW w:w="744" w:type="pct"/>
            <w:vMerge w:val="restart"/>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6" w:type="pct"/>
            <w:vMerge w:val="restart"/>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功能分类科目编码</w:t>
            </w:r>
          </w:p>
        </w:tc>
        <w:tc>
          <w:tcPr>
            <w:tcW w:w="1163" w:type="pct"/>
            <w:vMerge w:val="restart"/>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项目（按“项”级功能分类科目）</w:t>
            </w:r>
          </w:p>
        </w:tc>
        <w:tc>
          <w:tcPr>
            <w:tcW w:w="529" w:type="pct"/>
            <w:vMerge w:val="continue"/>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p>
        </w:tc>
        <w:tc>
          <w:tcPr>
            <w:tcW w:w="456" w:type="pct"/>
            <w:vMerge w:val="continue"/>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p>
        </w:tc>
        <w:tc>
          <w:tcPr>
            <w:tcW w:w="339" w:type="pct"/>
            <w:vMerge w:val="restart"/>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合   计</w:t>
            </w:r>
          </w:p>
        </w:tc>
        <w:tc>
          <w:tcPr>
            <w:tcW w:w="544" w:type="pct"/>
            <w:vMerge w:val="restart"/>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基本支出</w:t>
            </w:r>
          </w:p>
        </w:tc>
        <w:tc>
          <w:tcPr>
            <w:tcW w:w="389" w:type="pct"/>
            <w:vMerge w:val="restart"/>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项目支出</w:t>
            </w:r>
          </w:p>
        </w:tc>
        <w:tc>
          <w:tcPr>
            <w:tcW w:w="744" w:type="pct"/>
            <w:vMerge w:val="continue"/>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6" w:type="pct"/>
            <w:vMerge w:val="continue"/>
            <w:vAlign w:val="center"/>
          </w:tcPr>
          <w:p>
            <w:pPr>
              <w:widowControl w:val="0"/>
              <w:spacing w:line="320" w:lineRule="exact"/>
              <w:ind w:firstLine="0" w:firstLineChars="0"/>
              <w:textAlignment w:val="center"/>
              <w:rPr>
                <w:rFonts w:hint="default"/>
                <w:color w:val="000000" w:themeColor="text1"/>
                <w:sz w:val="24"/>
              </w:rPr>
            </w:pPr>
          </w:p>
        </w:tc>
        <w:tc>
          <w:tcPr>
            <w:tcW w:w="1163" w:type="pct"/>
            <w:vMerge w:val="continue"/>
            <w:vAlign w:val="center"/>
          </w:tcPr>
          <w:p>
            <w:pPr>
              <w:widowControl w:val="0"/>
              <w:spacing w:line="320" w:lineRule="exact"/>
              <w:ind w:firstLine="0" w:firstLineChars="0"/>
              <w:textAlignment w:val="center"/>
              <w:rPr>
                <w:rFonts w:hint="default"/>
                <w:color w:val="000000" w:themeColor="text1"/>
                <w:sz w:val="24"/>
              </w:rPr>
            </w:pPr>
          </w:p>
        </w:tc>
        <w:tc>
          <w:tcPr>
            <w:tcW w:w="529" w:type="pct"/>
            <w:vMerge w:val="continue"/>
            <w:vAlign w:val="center"/>
          </w:tcPr>
          <w:p>
            <w:pPr>
              <w:widowControl w:val="0"/>
              <w:spacing w:line="320" w:lineRule="exact"/>
              <w:ind w:firstLine="0" w:firstLineChars="0"/>
              <w:textAlignment w:val="center"/>
              <w:rPr>
                <w:rFonts w:hint="default"/>
                <w:color w:val="000000" w:themeColor="text1"/>
                <w:sz w:val="24"/>
              </w:rPr>
            </w:pPr>
          </w:p>
        </w:tc>
        <w:tc>
          <w:tcPr>
            <w:tcW w:w="456" w:type="pct"/>
            <w:vMerge w:val="continue"/>
            <w:vAlign w:val="center"/>
          </w:tcPr>
          <w:p>
            <w:pPr>
              <w:widowControl w:val="0"/>
              <w:spacing w:line="320" w:lineRule="exact"/>
              <w:ind w:firstLine="0" w:firstLineChars="0"/>
              <w:textAlignment w:val="center"/>
              <w:rPr>
                <w:rFonts w:hint="default"/>
                <w:color w:val="000000" w:themeColor="text1"/>
                <w:sz w:val="24"/>
              </w:rPr>
            </w:pPr>
          </w:p>
        </w:tc>
        <w:tc>
          <w:tcPr>
            <w:tcW w:w="339" w:type="pct"/>
            <w:vMerge w:val="continue"/>
            <w:vAlign w:val="center"/>
          </w:tcPr>
          <w:p>
            <w:pPr>
              <w:widowControl w:val="0"/>
              <w:spacing w:line="320" w:lineRule="exact"/>
              <w:ind w:firstLine="0" w:firstLineChars="0"/>
              <w:textAlignment w:val="center"/>
              <w:rPr>
                <w:rFonts w:hint="default"/>
                <w:color w:val="000000" w:themeColor="text1"/>
                <w:sz w:val="24"/>
              </w:rPr>
            </w:pPr>
          </w:p>
        </w:tc>
        <w:tc>
          <w:tcPr>
            <w:tcW w:w="544" w:type="pct"/>
            <w:vMerge w:val="continue"/>
            <w:vAlign w:val="center"/>
          </w:tcPr>
          <w:p>
            <w:pPr>
              <w:widowControl w:val="0"/>
              <w:spacing w:line="320" w:lineRule="exact"/>
              <w:ind w:firstLine="0" w:firstLineChars="0"/>
              <w:textAlignment w:val="center"/>
              <w:rPr>
                <w:rFonts w:hint="default"/>
                <w:color w:val="000000" w:themeColor="text1"/>
                <w:sz w:val="24"/>
              </w:rPr>
            </w:pPr>
          </w:p>
        </w:tc>
        <w:tc>
          <w:tcPr>
            <w:tcW w:w="389" w:type="pct"/>
            <w:vMerge w:val="continue"/>
            <w:vAlign w:val="center"/>
          </w:tcPr>
          <w:p>
            <w:pPr>
              <w:widowControl w:val="0"/>
              <w:spacing w:line="320" w:lineRule="exact"/>
              <w:ind w:firstLine="0" w:firstLineChars="0"/>
              <w:textAlignment w:val="center"/>
              <w:rPr>
                <w:rFonts w:hint="default"/>
                <w:color w:val="000000" w:themeColor="text1"/>
                <w:sz w:val="24"/>
              </w:rPr>
            </w:pPr>
          </w:p>
        </w:tc>
        <w:tc>
          <w:tcPr>
            <w:tcW w:w="744" w:type="pct"/>
            <w:vMerge w:val="continue"/>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6" w:type="pct"/>
            <w:vMerge w:val="continue"/>
            <w:vAlign w:val="center"/>
          </w:tcPr>
          <w:p>
            <w:pPr>
              <w:widowControl w:val="0"/>
              <w:spacing w:line="320" w:lineRule="exact"/>
              <w:ind w:firstLine="0" w:firstLineChars="0"/>
              <w:textAlignment w:val="center"/>
              <w:rPr>
                <w:rFonts w:hint="default"/>
                <w:color w:val="000000" w:themeColor="text1"/>
                <w:sz w:val="24"/>
              </w:rPr>
            </w:pPr>
          </w:p>
        </w:tc>
        <w:tc>
          <w:tcPr>
            <w:tcW w:w="1163" w:type="pct"/>
            <w:vMerge w:val="continue"/>
            <w:vAlign w:val="center"/>
          </w:tcPr>
          <w:p>
            <w:pPr>
              <w:widowControl w:val="0"/>
              <w:spacing w:line="320" w:lineRule="exact"/>
              <w:ind w:firstLine="0" w:firstLineChars="0"/>
              <w:textAlignment w:val="center"/>
              <w:rPr>
                <w:rFonts w:hint="default"/>
                <w:color w:val="000000" w:themeColor="text1"/>
                <w:sz w:val="24"/>
              </w:rPr>
            </w:pPr>
          </w:p>
        </w:tc>
        <w:tc>
          <w:tcPr>
            <w:tcW w:w="529" w:type="pct"/>
            <w:vMerge w:val="continue"/>
            <w:vAlign w:val="center"/>
          </w:tcPr>
          <w:p>
            <w:pPr>
              <w:widowControl w:val="0"/>
              <w:spacing w:line="320" w:lineRule="exact"/>
              <w:ind w:firstLine="0" w:firstLineChars="0"/>
              <w:textAlignment w:val="center"/>
              <w:rPr>
                <w:rFonts w:hint="default"/>
                <w:color w:val="000000" w:themeColor="text1"/>
                <w:sz w:val="24"/>
              </w:rPr>
            </w:pPr>
          </w:p>
        </w:tc>
        <w:tc>
          <w:tcPr>
            <w:tcW w:w="456" w:type="pct"/>
            <w:vMerge w:val="continue"/>
            <w:vAlign w:val="center"/>
          </w:tcPr>
          <w:p>
            <w:pPr>
              <w:widowControl w:val="0"/>
              <w:spacing w:line="320" w:lineRule="exact"/>
              <w:ind w:firstLine="0" w:firstLineChars="0"/>
              <w:textAlignment w:val="center"/>
              <w:rPr>
                <w:rFonts w:hint="default"/>
                <w:color w:val="000000" w:themeColor="text1"/>
                <w:sz w:val="24"/>
              </w:rPr>
            </w:pPr>
          </w:p>
        </w:tc>
        <w:tc>
          <w:tcPr>
            <w:tcW w:w="339" w:type="pct"/>
            <w:vMerge w:val="continue"/>
            <w:vAlign w:val="center"/>
          </w:tcPr>
          <w:p>
            <w:pPr>
              <w:widowControl w:val="0"/>
              <w:spacing w:line="320" w:lineRule="exact"/>
              <w:ind w:firstLine="0" w:firstLineChars="0"/>
              <w:textAlignment w:val="center"/>
              <w:rPr>
                <w:rFonts w:hint="default"/>
                <w:color w:val="000000" w:themeColor="text1"/>
                <w:sz w:val="24"/>
              </w:rPr>
            </w:pPr>
          </w:p>
        </w:tc>
        <w:tc>
          <w:tcPr>
            <w:tcW w:w="544" w:type="pct"/>
            <w:vMerge w:val="continue"/>
            <w:vAlign w:val="center"/>
          </w:tcPr>
          <w:p>
            <w:pPr>
              <w:widowControl w:val="0"/>
              <w:spacing w:line="320" w:lineRule="exact"/>
              <w:ind w:firstLine="0" w:firstLineChars="0"/>
              <w:textAlignment w:val="center"/>
              <w:rPr>
                <w:rFonts w:hint="default"/>
                <w:color w:val="000000" w:themeColor="text1"/>
                <w:sz w:val="24"/>
              </w:rPr>
            </w:pPr>
          </w:p>
        </w:tc>
        <w:tc>
          <w:tcPr>
            <w:tcW w:w="389" w:type="pct"/>
            <w:vMerge w:val="continue"/>
            <w:vAlign w:val="center"/>
          </w:tcPr>
          <w:p>
            <w:pPr>
              <w:widowControl w:val="0"/>
              <w:spacing w:line="320" w:lineRule="exact"/>
              <w:ind w:firstLine="0" w:firstLineChars="0"/>
              <w:textAlignment w:val="center"/>
              <w:rPr>
                <w:rFonts w:hint="default"/>
                <w:color w:val="000000" w:themeColor="text1"/>
                <w:sz w:val="24"/>
              </w:rPr>
            </w:pPr>
          </w:p>
        </w:tc>
        <w:tc>
          <w:tcPr>
            <w:tcW w:w="744" w:type="pct"/>
            <w:vMerge w:val="continue"/>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pct"/>
            <w:gridSpan w:val="2"/>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合计</w:t>
            </w:r>
          </w:p>
        </w:tc>
        <w:tc>
          <w:tcPr>
            <w:tcW w:w="529" w:type="pct"/>
            <w:noWrap/>
            <w:vAlign w:val="center"/>
          </w:tcPr>
          <w:p>
            <w:pPr>
              <w:widowControl w:val="0"/>
              <w:spacing w:line="320" w:lineRule="exact"/>
              <w:ind w:firstLine="0" w:firstLineChars="0"/>
              <w:textAlignment w:val="center"/>
              <w:rPr>
                <w:rFonts w:hint="default"/>
                <w:color w:val="000000" w:themeColor="text1"/>
                <w:sz w:val="24"/>
              </w:rPr>
            </w:pPr>
          </w:p>
        </w:tc>
        <w:tc>
          <w:tcPr>
            <w:tcW w:w="456" w:type="pct"/>
            <w:noWrap/>
            <w:vAlign w:val="center"/>
          </w:tcPr>
          <w:p>
            <w:pPr>
              <w:widowControl w:val="0"/>
              <w:spacing w:line="320" w:lineRule="exact"/>
              <w:ind w:firstLine="0" w:firstLineChars="0"/>
              <w:textAlignment w:val="center"/>
              <w:rPr>
                <w:rFonts w:hint="default"/>
                <w:color w:val="000000" w:themeColor="text1"/>
                <w:sz w:val="24"/>
              </w:rPr>
            </w:pPr>
          </w:p>
        </w:tc>
        <w:tc>
          <w:tcPr>
            <w:tcW w:w="339" w:type="pct"/>
            <w:noWrap/>
            <w:vAlign w:val="center"/>
          </w:tcPr>
          <w:p>
            <w:pPr>
              <w:widowControl w:val="0"/>
              <w:spacing w:line="320" w:lineRule="exact"/>
              <w:ind w:firstLine="0" w:firstLineChars="0"/>
              <w:textAlignment w:val="center"/>
              <w:rPr>
                <w:rFonts w:hint="default"/>
                <w:color w:val="000000" w:themeColor="text1"/>
                <w:sz w:val="24"/>
              </w:rPr>
            </w:pPr>
          </w:p>
        </w:tc>
        <w:tc>
          <w:tcPr>
            <w:tcW w:w="544" w:type="pct"/>
            <w:noWrap/>
            <w:vAlign w:val="center"/>
          </w:tcPr>
          <w:p>
            <w:pPr>
              <w:widowControl w:val="0"/>
              <w:spacing w:line="320" w:lineRule="exact"/>
              <w:ind w:firstLine="0" w:firstLineChars="0"/>
              <w:textAlignment w:val="center"/>
              <w:rPr>
                <w:rFonts w:hint="default"/>
                <w:color w:val="000000" w:themeColor="text1"/>
                <w:sz w:val="24"/>
              </w:rPr>
            </w:pPr>
          </w:p>
        </w:tc>
        <w:tc>
          <w:tcPr>
            <w:tcW w:w="389" w:type="pct"/>
            <w:noWrap/>
            <w:vAlign w:val="center"/>
          </w:tcPr>
          <w:p>
            <w:pPr>
              <w:widowControl w:val="0"/>
              <w:spacing w:line="320" w:lineRule="exact"/>
              <w:ind w:firstLine="0" w:firstLineChars="0"/>
              <w:textAlignment w:val="center"/>
              <w:rPr>
                <w:rFonts w:hint="default"/>
                <w:color w:val="000000" w:themeColor="text1"/>
                <w:sz w:val="24"/>
              </w:rPr>
            </w:pPr>
          </w:p>
        </w:tc>
        <w:tc>
          <w:tcPr>
            <w:tcW w:w="744" w:type="pct"/>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6" w:type="pct"/>
            <w:noWrap/>
            <w:vAlign w:val="center"/>
          </w:tcPr>
          <w:p>
            <w:pPr>
              <w:widowControl w:val="0"/>
              <w:spacing w:line="320" w:lineRule="exact"/>
              <w:ind w:firstLine="0" w:firstLineChars="0"/>
              <w:textAlignment w:val="center"/>
              <w:rPr>
                <w:rFonts w:hint="default"/>
                <w:color w:val="000000" w:themeColor="text1"/>
                <w:sz w:val="24"/>
              </w:rPr>
            </w:pPr>
          </w:p>
        </w:tc>
        <w:tc>
          <w:tcPr>
            <w:tcW w:w="1163" w:type="pct"/>
            <w:noWrap/>
            <w:vAlign w:val="center"/>
          </w:tcPr>
          <w:p>
            <w:pPr>
              <w:widowControl w:val="0"/>
              <w:spacing w:line="320" w:lineRule="exact"/>
              <w:ind w:firstLine="0" w:firstLineChars="0"/>
              <w:textAlignment w:val="center"/>
              <w:rPr>
                <w:rFonts w:hint="default"/>
                <w:color w:val="000000" w:themeColor="text1"/>
                <w:sz w:val="24"/>
              </w:rPr>
            </w:pPr>
          </w:p>
        </w:tc>
        <w:tc>
          <w:tcPr>
            <w:tcW w:w="529" w:type="pct"/>
            <w:noWrap/>
            <w:vAlign w:val="center"/>
          </w:tcPr>
          <w:p>
            <w:pPr>
              <w:widowControl w:val="0"/>
              <w:spacing w:line="320" w:lineRule="exact"/>
              <w:ind w:firstLine="0" w:firstLineChars="0"/>
              <w:textAlignment w:val="center"/>
              <w:rPr>
                <w:rFonts w:hint="default"/>
                <w:color w:val="000000" w:themeColor="text1"/>
                <w:sz w:val="24"/>
              </w:rPr>
            </w:pPr>
          </w:p>
        </w:tc>
        <w:tc>
          <w:tcPr>
            <w:tcW w:w="456" w:type="pct"/>
            <w:noWrap/>
            <w:vAlign w:val="center"/>
          </w:tcPr>
          <w:p>
            <w:pPr>
              <w:widowControl w:val="0"/>
              <w:spacing w:line="320" w:lineRule="exact"/>
              <w:ind w:firstLine="0" w:firstLineChars="0"/>
              <w:textAlignment w:val="center"/>
              <w:rPr>
                <w:rFonts w:hint="default"/>
                <w:color w:val="000000" w:themeColor="text1"/>
                <w:sz w:val="24"/>
              </w:rPr>
            </w:pPr>
          </w:p>
        </w:tc>
        <w:tc>
          <w:tcPr>
            <w:tcW w:w="339" w:type="pct"/>
            <w:noWrap/>
            <w:vAlign w:val="center"/>
          </w:tcPr>
          <w:p>
            <w:pPr>
              <w:widowControl w:val="0"/>
              <w:spacing w:line="320" w:lineRule="exact"/>
              <w:ind w:firstLine="0" w:firstLineChars="0"/>
              <w:textAlignment w:val="center"/>
              <w:rPr>
                <w:rFonts w:hint="default"/>
                <w:color w:val="000000" w:themeColor="text1"/>
                <w:sz w:val="24"/>
              </w:rPr>
            </w:pPr>
          </w:p>
        </w:tc>
        <w:tc>
          <w:tcPr>
            <w:tcW w:w="544" w:type="pct"/>
            <w:noWrap/>
            <w:vAlign w:val="center"/>
          </w:tcPr>
          <w:p>
            <w:pPr>
              <w:widowControl w:val="0"/>
              <w:spacing w:line="320" w:lineRule="exact"/>
              <w:ind w:firstLine="0" w:firstLineChars="0"/>
              <w:textAlignment w:val="center"/>
              <w:rPr>
                <w:rFonts w:hint="default"/>
                <w:color w:val="000000" w:themeColor="text1"/>
                <w:sz w:val="24"/>
              </w:rPr>
            </w:pPr>
          </w:p>
        </w:tc>
        <w:tc>
          <w:tcPr>
            <w:tcW w:w="389" w:type="pct"/>
            <w:noWrap/>
            <w:vAlign w:val="center"/>
          </w:tcPr>
          <w:p>
            <w:pPr>
              <w:widowControl w:val="0"/>
              <w:spacing w:line="320" w:lineRule="exact"/>
              <w:ind w:firstLine="0" w:firstLineChars="0"/>
              <w:textAlignment w:val="center"/>
              <w:rPr>
                <w:rFonts w:hint="default"/>
                <w:color w:val="000000" w:themeColor="text1"/>
                <w:sz w:val="24"/>
              </w:rPr>
            </w:pPr>
          </w:p>
        </w:tc>
        <w:tc>
          <w:tcPr>
            <w:tcW w:w="744" w:type="pct"/>
            <w:noWrap/>
            <w:vAlign w:val="center"/>
          </w:tcPr>
          <w:p>
            <w:pPr>
              <w:widowControl w:val="0"/>
              <w:spacing w:line="320" w:lineRule="exact"/>
              <w:ind w:firstLine="0" w:firstLineChars="0"/>
              <w:textAlignment w:val="center"/>
              <w:rPr>
                <w:rFonts w:hint="default"/>
                <w:color w:val="000000" w:themeColor="text1"/>
                <w:sz w:val="24"/>
              </w:rPr>
            </w:pPr>
          </w:p>
        </w:tc>
      </w:tr>
    </w:tbl>
    <w:p>
      <w:pPr>
        <w:widowControl w:val="0"/>
        <w:autoSpaceDE w:val="0"/>
        <w:ind w:firstLine="640"/>
        <w:rPr>
          <w:rFonts w:hint="default"/>
          <w:color w:val="000000" w:themeColor="text1"/>
          <w:szCs w:val="32"/>
        </w:rPr>
      </w:pPr>
      <w:r>
        <w:rPr>
          <w:color w:val="000000" w:themeColor="text1"/>
          <w:szCs w:val="32"/>
        </w:rPr>
        <w:t>备注：本表反映部门本年度政府性基金预算财政拨款收入支出及结转和结余情况。</w:t>
      </w:r>
    </w:p>
    <w:p>
      <w:pPr>
        <w:widowControl w:val="0"/>
        <w:autoSpaceDE w:val="0"/>
        <w:ind w:firstLine="640"/>
        <w:rPr>
          <w:rFonts w:hint="default"/>
          <w:color w:val="000000" w:themeColor="text1"/>
          <w:szCs w:val="32"/>
        </w:rPr>
      </w:pPr>
      <w:r>
        <w:rPr>
          <w:color w:val="000000" w:themeColor="text1"/>
          <w:szCs w:val="32"/>
        </w:rPr>
        <w:t>本表为空的部门应将空表公开，并注明：本单位无政府性基金收入，也没有使用政府性基金安排的支出，故本表无数据。</w:t>
      </w:r>
    </w:p>
    <w:p>
      <w:pPr>
        <w:widowControl w:val="0"/>
        <w:autoSpaceDE w:val="0"/>
        <w:ind w:firstLine="640"/>
        <w:rPr>
          <w:rFonts w:hint="default"/>
          <w:color w:val="000000" w:themeColor="text1"/>
          <w:szCs w:val="32"/>
        </w:rPr>
      </w:pPr>
      <w:r>
        <w:rPr>
          <w:color w:val="000000" w:themeColor="text1"/>
          <w:szCs w:val="32"/>
        </w:rPr>
        <w:t xml:space="preserve"> </w:t>
      </w:r>
    </w:p>
    <w:p>
      <w:pPr>
        <w:widowControl w:val="0"/>
        <w:autoSpaceDE w:val="0"/>
        <w:ind w:firstLine="640"/>
        <w:rPr>
          <w:rFonts w:hint="default"/>
          <w:color w:val="000000" w:themeColor="text1"/>
          <w:szCs w:val="32"/>
        </w:rPr>
      </w:pPr>
      <w:r>
        <w:rPr>
          <w:color w:val="000000" w:themeColor="text1"/>
          <w:szCs w:val="32"/>
        </w:rPr>
        <w:t xml:space="preserve"> </w:t>
      </w:r>
    </w:p>
    <w:p>
      <w:pPr>
        <w:widowControl w:val="0"/>
        <w:autoSpaceDE w:val="0"/>
        <w:ind w:firstLine="640"/>
        <w:rPr>
          <w:rFonts w:hint="default"/>
          <w:color w:val="000000" w:themeColor="text1"/>
          <w:szCs w:val="32"/>
        </w:rPr>
      </w:pPr>
      <w:r>
        <w:rPr>
          <w:color w:val="000000" w:themeColor="text1"/>
          <w:szCs w:val="32"/>
        </w:rPr>
        <w:t xml:space="preserve"> </w:t>
      </w:r>
    </w:p>
    <w:p>
      <w:pPr>
        <w:spacing w:line="240" w:lineRule="auto"/>
        <w:ind w:firstLine="0" w:firstLineChars="0"/>
        <w:jc w:val="left"/>
        <w:rPr>
          <w:rFonts w:hint="default"/>
          <w:color w:val="000000" w:themeColor="text1"/>
          <w:szCs w:val="32"/>
        </w:rPr>
      </w:pPr>
      <w:r>
        <w:rPr>
          <w:rFonts w:hint="default"/>
          <w:color w:val="000000" w:themeColor="text1"/>
          <w:szCs w:val="32"/>
        </w:rPr>
        <w:br w:type="page"/>
      </w:r>
    </w:p>
    <w:p>
      <w:pPr>
        <w:pStyle w:val="18"/>
        <w:widowControl w:val="0"/>
        <w:spacing w:beforeAutospacing="0" w:afterAutospacing="0"/>
        <w:ind w:firstLine="0" w:firstLineChars="0"/>
        <w:jc w:val="center"/>
        <w:rPr>
          <w:rFonts w:hint="default" w:ascii="方正小标宋_GBK" w:eastAsia="方正小标宋_GBK" w:cs="黑体"/>
          <w:color w:val="000000" w:themeColor="text1"/>
          <w:sz w:val="44"/>
          <w:szCs w:val="44"/>
        </w:rPr>
      </w:pPr>
      <w:r>
        <w:rPr>
          <w:rFonts w:ascii="方正小标宋_GBK" w:eastAsia="方正小标宋_GBK" w:cs="黑体"/>
          <w:color w:val="000000" w:themeColor="text1"/>
          <w:sz w:val="44"/>
          <w:szCs w:val="44"/>
        </w:rPr>
        <w:t>机构运行信息表</w:t>
      </w:r>
    </w:p>
    <w:p>
      <w:pPr>
        <w:pStyle w:val="50"/>
        <w:widowControl w:val="0"/>
        <w:autoSpaceDE w:val="0"/>
        <w:spacing w:before="0" w:beforeAutospacing="0" w:after="0" w:afterAutospacing="0"/>
        <w:ind w:firstLine="0" w:firstLineChars="0"/>
        <w:jc w:val="right"/>
        <w:rPr>
          <w:rFonts w:hint="default" w:ascii="方正楷体_GBK" w:eastAsia="方正楷体_GBK"/>
          <w:color w:val="000000" w:themeColor="text1"/>
          <w:sz w:val="32"/>
          <w:szCs w:val="32"/>
        </w:rPr>
      </w:pPr>
      <w:r>
        <w:rPr>
          <w:rFonts w:ascii="方正楷体_GBK" w:eastAsia="方正楷体_GBK"/>
          <w:color w:val="000000" w:themeColor="text1"/>
          <w:sz w:val="32"/>
          <w:szCs w:val="32"/>
        </w:rPr>
        <w:t>公开08表</w:t>
      </w:r>
    </w:p>
    <w:p>
      <w:pPr>
        <w:pStyle w:val="50"/>
        <w:widowControl w:val="0"/>
        <w:autoSpaceDE w:val="0"/>
        <w:spacing w:before="0" w:beforeAutospacing="0" w:afterLines="20" w:afterAutospacing="0"/>
        <w:ind w:firstLine="0" w:firstLineChars="0"/>
        <w:jc w:val="both"/>
        <w:rPr>
          <w:rFonts w:hint="default" w:ascii="方正楷体_GBK" w:eastAsia="方正楷体_GBK"/>
          <w:color w:val="000000" w:themeColor="text1"/>
          <w:sz w:val="32"/>
          <w:szCs w:val="32"/>
        </w:rPr>
      </w:pPr>
      <w:r>
        <w:rPr>
          <w:rFonts w:ascii="方正楷体_GBK" w:eastAsia="方正楷体_GBK"/>
          <w:color w:val="000000" w:themeColor="text1"/>
          <w:sz w:val="32"/>
          <w:szCs w:val="32"/>
        </w:rPr>
        <w:t xml:space="preserve">公开部门：重庆市渝中区人民政府外事办公室                                      2020年度                                                                                            单位：万元 </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09"/>
        <w:gridCol w:w="2030"/>
        <w:gridCol w:w="2361"/>
        <w:gridCol w:w="7664"/>
        <w:gridCol w:w="3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4" w:type="pct"/>
            <w:tcBorders>
              <w:top w:val="single" w:color="auto" w:sz="4" w:space="0"/>
              <w:left w:val="single" w:color="auto" w:sz="4" w:space="0"/>
              <w:bottom w:val="single" w:color="auto" w:sz="4" w:space="0"/>
              <w:right w:val="single" w:color="auto" w:sz="4" w:space="0"/>
            </w:tcBorders>
            <w:noWrap/>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    目</w:t>
            </w:r>
          </w:p>
        </w:tc>
        <w:tc>
          <w:tcPr>
            <w:tcW w:w="479" w:type="pct"/>
            <w:tcBorders>
              <w:top w:val="single" w:color="auto" w:sz="4" w:space="0"/>
              <w:left w:val="nil"/>
              <w:bottom w:val="single" w:color="auto" w:sz="4" w:space="0"/>
              <w:right w:val="single" w:color="auto" w:sz="4" w:space="0"/>
            </w:tcBorders>
            <w:noWrap/>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预算数</w:t>
            </w:r>
          </w:p>
        </w:tc>
        <w:tc>
          <w:tcPr>
            <w:tcW w:w="557" w:type="pct"/>
            <w:tcBorders>
              <w:top w:val="single" w:color="auto" w:sz="4" w:space="0"/>
              <w:left w:val="nil"/>
              <w:bottom w:val="single" w:color="auto" w:sz="4" w:space="0"/>
              <w:right w:val="single" w:color="auto" w:sz="4" w:space="0"/>
            </w:tcBorders>
            <w:noWrap/>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决算数</w:t>
            </w:r>
          </w:p>
        </w:tc>
        <w:tc>
          <w:tcPr>
            <w:tcW w:w="1808" w:type="pct"/>
            <w:tcBorders>
              <w:top w:val="single" w:color="auto" w:sz="4" w:space="0"/>
              <w:left w:val="nil"/>
              <w:bottom w:val="single" w:color="auto" w:sz="4" w:space="0"/>
              <w:right w:val="single" w:color="auto" w:sz="4" w:space="0"/>
            </w:tcBorders>
            <w:noWrap/>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    目</w:t>
            </w:r>
          </w:p>
        </w:tc>
        <w:tc>
          <w:tcPr>
            <w:tcW w:w="763" w:type="pct"/>
            <w:tcBorders>
              <w:top w:val="single" w:color="auto" w:sz="4" w:space="0"/>
              <w:left w:val="nil"/>
              <w:bottom w:val="single" w:color="auto" w:sz="4" w:space="0"/>
              <w:right w:val="single" w:color="auto" w:sz="4" w:space="0"/>
            </w:tcBorders>
            <w:noWrap/>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一、“三公”经费支出</w:t>
            </w:r>
          </w:p>
        </w:tc>
        <w:tc>
          <w:tcPr>
            <w:tcW w:w="47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55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180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四、机关运行经费</w:t>
            </w:r>
          </w:p>
        </w:tc>
        <w:tc>
          <w:tcPr>
            <w:tcW w:w="76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（一）支出合计</w:t>
            </w:r>
          </w:p>
        </w:tc>
        <w:tc>
          <w:tcPr>
            <w:tcW w:w="47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84.00</w:t>
            </w:r>
          </w:p>
        </w:tc>
        <w:tc>
          <w:tcPr>
            <w:tcW w:w="55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25.82</w:t>
            </w:r>
          </w:p>
        </w:tc>
        <w:tc>
          <w:tcPr>
            <w:tcW w:w="180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（一）行政单位</w:t>
            </w:r>
          </w:p>
        </w:tc>
        <w:tc>
          <w:tcPr>
            <w:tcW w:w="76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1．因公出国（境）费</w:t>
            </w:r>
          </w:p>
        </w:tc>
        <w:tc>
          <w:tcPr>
            <w:tcW w:w="47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29.00</w:t>
            </w:r>
          </w:p>
        </w:tc>
        <w:tc>
          <w:tcPr>
            <w:tcW w:w="55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80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（二）参照公务员法管理事业单位</w:t>
            </w:r>
          </w:p>
        </w:tc>
        <w:tc>
          <w:tcPr>
            <w:tcW w:w="76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2．公务用车购置及运行维护费</w:t>
            </w:r>
          </w:p>
        </w:tc>
        <w:tc>
          <w:tcPr>
            <w:tcW w:w="47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5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21.69</w:t>
            </w:r>
          </w:p>
        </w:tc>
        <w:tc>
          <w:tcPr>
            <w:tcW w:w="180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五、国有资产占用情况</w:t>
            </w:r>
          </w:p>
        </w:tc>
        <w:tc>
          <w:tcPr>
            <w:tcW w:w="76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（1）公务用车购置费</w:t>
            </w:r>
          </w:p>
        </w:tc>
        <w:tc>
          <w:tcPr>
            <w:tcW w:w="47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5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19.58</w:t>
            </w:r>
          </w:p>
        </w:tc>
        <w:tc>
          <w:tcPr>
            <w:tcW w:w="180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（一）车辆数合计（辆）</w:t>
            </w:r>
          </w:p>
        </w:tc>
        <w:tc>
          <w:tcPr>
            <w:tcW w:w="76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（2）公务用车运行维护费</w:t>
            </w:r>
          </w:p>
        </w:tc>
        <w:tc>
          <w:tcPr>
            <w:tcW w:w="47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55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2.11</w:t>
            </w:r>
          </w:p>
        </w:tc>
        <w:tc>
          <w:tcPr>
            <w:tcW w:w="180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1.副部（省）级及以上领导用车</w:t>
            </w:r>
          </w:p>
        </w:tc>
        <w:tc>
          <w:tcPr>
            <w:tcW w:w="76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3．公务接待费</w:t>
            </w:r>
          </w:p>
        </w:tc>
        <w:tc>
          <w:tcPr>
            <w:tcW w:w="47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55.00</w:t>
            </w:r>
          </w:p>
        </w:tc>
        <w:tc>
          <w:tcPr>
            <w:tcW w:w="55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4.13</w:t>
            </w:r>
          </w:p>
        </w:tc>
        <w:tc>
          <w:tcPr>
            <w:tcW w:w="180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2.主要领导干部用车</w:t>
            </w:r>
          </w:p>
        </w:tc>
        <w:tc>
          <w:tcPr>
            <w:tcW w:w="76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（1）国内接待费</w:t>
            </w:r>
          </w:p>
        </w:tc>
        <w:tc>
          <w:tcPr>
            <w:tcW w:w="47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55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4.13</w:t>
            </w:r>
          </w:p>
        </w:tc>
        <w:tc>
          <w:tcPr>
            <w:tcW w:w="180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3.机要通信用车</w:t>
            </w:r>
          </w:p>
        </w:tc>
        <w:tc>
          <w:tcPr>
            <w:tcW w:w="76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其中：外事接待费</w:t>
            </w:r>
          </w:p>
        </w:tc>
        <w:tc>
          <w:tcPr>
            <w:tcW w:w="47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55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2.80</w:t>
            </w:r>
          </w:p>
        </w:tc>
        <w:tc>
          <w:tcPr>
            <w:tcW w:w="180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4.应急保障用车</w:t>
            </w:r>
          </w:p>
        </w:tc>
        <w:tc>
          <w:tcPr>
            <w:tcW w:w="76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（2）国（境）外接待费</w:t>
            </w:r>
          </w:p>
        </w:tc>
        <w:tc>
          <w:tcPr>
            <w:tcW w:w="47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55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80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5.执法执勤用车</w:t>
            </w:r>
          </w:p>
        </w:tc>
        <w:tc>
          <w:tcPr>
            <w:tcW w:w="76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（二）相关统计数</w:t>
            </w:r>
          </w:p>
        </w:tc>
        <w:tc>
          <w:tcPr>
            <w:tcW w:w="47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55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180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6.特种专业技术用车</w:t>
            </w:r>
          </w:p>
        </w:tc>
        <w:tc>
          <w:tcPr>
            <w:tcW w:w="76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1．因公出国（境）团组数（个）</w:t>
            </w:r>
          </w:p>
        </w:tc>
        <w:tc>
          <w:tcPr>
            <w:tcW w:w="47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55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80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7.离退休干部用车</w:t>
            </w:r>
          </w:p>
        </w:tc>
        <w:tc>
          <w:tcPr>
            <w:tcW w:w="76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2．因公出国（境）人次数（人）</w:t>
            </w:r>
          </w:p>
        </w:tc>
        <w:tc>
          <w:tcPr>
            <w:tcW w:w="47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55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80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8.其他用车</w:t>
            </w:r>
          </w:p>
        </w:tc>
        <w:tc>
          <w:tcPr>
            <w:tcW w:w="76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3．公务用车购置数（辆）</w:t>
            </w:r>
          </w:p>
        </w:tc>
        <w:tc>
          <w:tcPr>
            <w:tcW w:w="47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55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w:t>
            </w:r>
          </w:p>
        </w:tc>
        <w:tc>
          <w:tcPr>
            <w:tcW w:w="180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（二）单价50万元（含）以上通用设备（台，套）</w:t>
            </w:r>
          </w:p>
        </w:tc>
        <w:tc>
          <w:tcPr>
            <w:tcW w:w="76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4．公务用车保有量（辆）</w:t>
            </w:r>
          </w:p>
        </w:tc>
        <w:tc>
          <w:tcPr>
            <w:tcW w:w="47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55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w:t>
            </w:r>
          </w:p>
        </w:tc>
        <w:tc>
          <w:tcPr>
            <w:tcW w:w="180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（三）单价100万（含）元以上专用设备（台，套）</w:t>
            </w:r>
          </w:p>
        </w:tc>
        <w:tc>
          <w:tcPr>
            <w:tcW w:w="76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5．国内公务接待批次（个）</w:t>
            </w:r>
          </w:p>
        </w:tc>
        <w:tc>
          <w:tcPr>
            <w:tcW w:w="47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55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20</w:t>
            </w:r>
          </w:p>
        </w:tc>
        <w:tc>
          <w:tcPr>
            <w:tcW w:w="180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六、政府采购支出信息</w:t>
            </w:r>
          </w:p>
        </w:tc>
        <w:tc>
          <w:tcPr>
            <w:tcW w:w="76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其中：外事接待批次（个）</w:t>
            </w:r>
          </w:p>
        </w:tc>
        <w:tc>
          <w:tcPr>
            <w:tcW w:w="47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55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10</w:t>
            </w:r>
          </w:p>
        </w:tc>
        <w:tc>
          <w:tcPr>
            <w:tcW w:w="180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（一）政府采购支出合计</w:t>
            </w:r>
          </w:p>
        </w:tc>
        <w:tc>
          <w:tcPr>
            <w:tcW w:w="76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6．国内公务接待人次（人）</w:t>
            </w:r>
          </w:p>
        </w:tc>
        <w:tc>
          <w:tcPr>
            <w:tcW w:w="47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55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289</w:t>
            </w:r>
          </w:p>
        </w:tc>
        <w:tc>
          <w:tcPr>
            <w:tcW w:w="180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1．政府采购货物支出</w:t>
            </w:r>
          </w:p>
        </w:tc>
        <w:tc>
          <w:tcPr>
            <w:tcW w:w="76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其中：外事接待人次（人）</w:t>
            </w:r>
          </w:p>
        </w:tc>
        <w:tc>
          <w:tcPr>
            <w:tcW w:w="47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55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140</w:t>
            </w:r>
          </w:p>
        </w:tc>
        <w:tc>
          <w:tcPr>
            <w:tcW w:w="180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2．政府采购工程支出</w:t>
            </w:r>
          </w:p>
        </w:tc>
        <w:tc>
          <w:tcPr>
            <w:tcW w:w="76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7．国（境）外公务接待批次（个）</w:t>
            </w:r>
          </w:p>
        </w:tc>
        <w:tc>
          <w:tcPr>
            <w:tcW w:w="47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55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80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3．政府采购服务支出</w:t>
            </w:r>
          </w:p>
        </w:tc>
        <w:tc>
          <w:tcPr>
            <w:tcW w:w="76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8．国（境）外公务接待人次（人）</w:t>
            </w:r>
          </w:p>
        </w:tc>
        <w:tc>
          <w:tcPr>
            <w:tcW w:w="47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55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80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（二）政府采购授予中小企业合同金额</w:t>
            </w:r>
          </w:p>
        </w:tc>
        <w:tc>
          <w:tcPr>
            <w:tcW w:w="76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二、会议费</w:t>
            </w:r>
          </w:p>
        </w:tc>
        <w:tc>
          <w:tcPr>
            <w:tcW w:w="47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55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74.92</w:t>
            </w:r>
          </w:p>
        </w:tc>
        <w:tc>
          <w:tcPr>
            <w:tcW w:w="180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 xml:space="preserve">        其中：授予小微企业合同金额</w:t>
            </w:r>
          </w:p>
        </w:tc>
        <w:tc>
          <w:tcPr>
            <w:tcW w:w="76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4"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三、培训费</w:t>
            </w:r>
          </w:p>
        </w:tc>
        <w:tc>
          <w:tcPr>
            <w:tcW w:w="479"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w:t>
            </w:r>
          </w:p>
        </w:tc>
        <w:tc>
          <w:tcPr>
            <w:tcW w:w="557"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1.00</w:t>
            </w:r>
          </w:p>
        </w:tc>
        <w:tc>
          <w:tcPr>
            <w:tcW w:w="180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763"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bl>
    <w:p>
      <w:pPr>
        <w:widowControl w:val="0"/>
        <w:autoSpaceDE w:val="0"/>
        <w:ind w:firstLine="640"/>
        <w:rPr>
          <w:rFonts w:hint="default"/>
          <w:color w:val="000000" w:themeColor="text1"/>
          <w:szCs w:val="32"/>
        </w:rPr>
      </w:pPr>
      <w:r>
        <w:rPr>
          <w:color w:val="000000" w:themeColor="text1"/>
          <w:szCs w:val="32"/>
        </w:rPr>
        <w:t>备注：预算数年初部门预算批复数，决算数包括当年财政拨款预算和以前年度结转结余资金安排的实际支出。</w:t>
      </w:r>
    </w:p>
    <w:p>
      <w:pPr>
        <w:widowControl w:val="0"/>
        <w:autoSpaceDE w:val="0"/>
        <w:ind w:firstLine="640"/>
        <w:rPr>
          <w:rFonts w:hint="default"/>
          <w:color w:val="000000" w:themeColor="text1"/>
          <w:szCs w:val="32"/>
        </w:rPr>
      </w:pPr>
      <w:r>
        <w:rPr>
          <w:color w:val="000000" w:themeColor="text1"/>
          <w:szCs w:val="32"/>
        </w:rPr>
        <w:t xml:space="preserve">本表为空的单位应将空表公开，并注明：本单位无相关数据，故本表为空。 </w:t>
      </w:r>
    </w:p>
    <w:p>
      <w:pPr>
        <w:pStyle w:val="18"/>
        <w:widowControl w:val="0"/>
        <w:spacing w:beforeAutospacing="0" w:afterAutospacing="0"/>
        <w:ind w:firstLine="0" w:firstLineChars="0"/>
        <w:jc w:val="center"/>
        <w:rPr>
          <w:rFonts w:hint="default" w:ascii="方正小标宋_GBK" w:eastAsia="方正小标宋_GBK" w:cs="黑体"/>
          <w:color w:val="000000" w:themeColor="text1"/>
          <w:sz w:val="44"/>
          <w:szCs w:val="44"/>
        </w:rPr>
      </w:pPr>
      <w:r>
        <w:rPr>
          <w:rFonts w:ascii="方正小标宋_GBK" w:eastAsia="方正小标宋_GBK" w:cs="黑体"/>
          <w:color w:val="000000" w:themeColor="text1"/>
          <w:sz w:val="44"/>
          <w:szCs w:val="44"/>
        </w:rPr>
        <w:t>国有资本经营预算财政拨款支出决算表</w:t>
      </w:r>
    </w:p>
    <w:p>
      <w:pPr>
        <w:pStyle w:val="50"/>
        <w:widowControl w:val="0"/>
        <w:autoSpaceDE w:val="0"/>
        <w:spacing w:before="0" w:beforeAutospacing="0" w:after="0" w:afterAutospacing="0"/>
        <w:ind w:firstLine="0" w:firstLineChars="0"/>
        <w:jc w:val="right"/>
        <w:rPr>
          <w:rFonts w:hint="default" w:ascii="方正楷体_GBK" w:eastAsia="方正楷体_GBK"/>
          <w:color w:val="000000" w:themeColor="text1"/>
          <w:sz w:val="32"/>
          <w:szCs w:val="32"/>
        </w:rPr>
      </w:pPr>
      <w:r>
        <w:rPr>
          <w:rFonts w:ascii="方正楷体_GBK" w:eastAsia="方正楷体_GBK"/>
          <w:color w:val="000000" w:themeColor="text1"/>
          <w:sz w:val="32"/>
          <w:szCs w:val="32"/>
        </w:rPr>
        <w:t>公开09表</w:t>
      </w:r>
    </w:p>
    <w:p>
      <w:pPr>
        <w:pStyle w:val="50"/>
        <w:widowControl w:val="0"/>
        <w:autoSpaceDE w:val="0"/>
        <w:spacing w:before="0" w:beforeAutospacing="0" w:afterLines="20" w:afterAutospacing="0"/>
        <w:ind w:firstLine="0" w:firstLineChars="0"/>
        <w:jc w:val="both"/>
        <w:rPr>
          <w:rFonts w:hint="default" w:ascii="方正楷体_GBK" w:eastAsia="方正楷体_GBK"/>
          <w:color w:val="000000" w:themeColor="text1"/>
          <w:sz w:val="32"/>
          <w:szCs w:val="32"/>
        </w:rPr>
      </w:pPr>
      <w:r>
        <w:rPr>
          <w:rFonts w:ascii="方正楷体_GBK" w:eastAsia="方正楷体_GBK"/>
          <w:color w:val="000000" w:themeColor="text1"/>
          <w:sz w:val="32"/>
          <w:szCs w:val="32"/>
        </w:rPr>
        <w:t xml:space="preserve">公开部门：重庆市渝中区人民政府外事办公室                                    2020年度                                                                                              单位：万元 </w:t>
      </w:r>
    </w:p>
    <w:tbl>
      <w:tblPr>
        <w:tblStyle w:val="20"/>
        <w:tblW w:w="5000" w:type="pct"/>
        <w:jc w:val="center"/>
        <w:tblLayout w:type="autofit"/>
        <w:tblCellMar>
          <w:top w:w="0" w:type="dxa"/>
          <w:left w:w="108" w:type="dxa"/>
          <w:bottom w:w="0" w:type="dxa"/>
          <w:right w:w="108" w:type="dxa"/>
        </w:tblCellMar>
      </w:tblPr>
      <w:tblGrid>
        <w:gridCol w:w="2377"/>
        <w:gridCol w:w="7257"/>
        <w:gridCol w:w="3849"/>
        <w:gridCol w:w="3849"/>
        <w:gridCol w:w="3862"/>
      </w:tblGrid>
      <w:tr>
        <w:tblPrEx>
          <w:tblCellMar>
            <w:top w:w="0" w:type="dxa"/>
            <w:left w:w="108" w:type="dxa"/>
            <w:bottom w:w="0" w:type="dxa"/>
            <w:right w:w="108" w:type="dxa"/>
          </w:tblCellMar>
        </w:tblPrEx>
        <w:trPr>
          <w:trHeight w:val="567" w:hRule="atLeast"/>
          <w:jc w:val="center"/>
        </w:trPr>
        <w:tc>
          <w:tcPr>
            <w:tcW w:w="2273" w:type="pct"/>
            <w:gridSpan w:val="2"/>
            <w:tcBorders>
              <w:top w:val="single" w:color="auto" w:sz="4" w:space="0"/>
              <w:left w:val="single" w:color="auto" w:sz="4" w:space="0"/>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   目</w:t>
            </w:r>
          </w:p>
        </w:tc>
        <w:tc>
          <w:tcPr>
            <w:tcW w:w="2727" w:type="pct"/>
            <w:gridSpan w:val="3"/>
            <w:tcBorders>
              <w:top w:val="single" w:color="auto" w:sz="4" w:space="0"/>
              <w:left w:val="nil"/>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本年支出</w:t>
            </w:r>
          </w:p>
        </w:tc>
      </w:tr>
      <w:tr>
        <w:tblPrEx>
          <w:tblCellMar>
            <w:top w:w="0" w:type="dxa"/>
            <w:left w:w="108" w:type="dxa"/>
            <w:bottom w:w="0" w:type="dxa"/>
            <w:right w:w="108" w:type="dxa"/>
          </w:tblCellMar>
        </w:tblPrEx>
        <w:trPr>
          <w:trHeight w:val="567" w:hRule="atLeast"/>
          <w:jc w:val="center"/>
        </w:trPr>
        <w:tc>
          <w:tcPr>
            <w:tcW w:w="561" w:type="pct"/>
            <w:vMerge w:val="restart"/>
            <w:tcBorders>
              <w:top w:val="nil"/>
              <w:left w:val="single" w:color="auto" w:sz="4" w:space="0"/>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功能分类科目编码</w:t>
            </w:r>
          </w:p>
        </w:tc>
        <w:tc>
          <w:tcPr>
            <w:tcW w:w="1712" w:type="pct"/>
            <w:vMerge w:val="restart"/>
            <w:tcBorders>
              <w:top w:val="nil"/>
              <w:left w:val="nil"/>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科目名称</w:t>
            </w:r>
          </w:p>
        </w:tc>
        <w:tc>
          <w:tcPr>
            <w:tcW w:w="908" w:type="pct"/>
            <w:vMerge w:val="restart"/>
            <w:tcBorders>
              <w:top w:val="single" w:color="auto" w:sz="4" w:space="0"/>
              <w:left w:val="nil"/>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合   计</w:t>
            </w:r>
          </w:p>
        </w:tc>
        <w:tc>
          <w:tcPr>
            <w:tcW w:w="908" w:type="pct"/>
            <w:vMerge w:val="restart"/>
            <w:tcBorders>
              <w:top w:val="single" w:color="auto" w:sz="4" w:space="0"/>
              <w:left w:val="nil"/>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基本支出</w:t>
            </w:r>
          </w:p>
        </w:tc>
        <w:tc>
          <w:tcPr>
            <w:tcW w:w="911" w:type="pct"/>
            <w:vMerge w:val="restart"/>
            <w:tcBorders>
              <w:top w:val="single" w:color="auto" w:sz="4" w:space="0"/>
              <w:left w:val="nil"/>
              <w:bottom w:val="single" w:color="auto" w:sz="4" w:space="0"/>
              <w:right w:val="single" w:color="auto" w:sz="4" w:space="0"/>
            </w:tcBorders>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rPr>
            </w:pPr>
            <w:r>
              <w:rPr>
                <w:rFonts w:ascii="方正黑体_GBK" w:eastAsia="方正黑体_GBK"/>
                <w:color w:val="000000" w:themeColor="text1"/>
                <w:sz w:val="24"/>
              </w:rPr>
              <w:t>项目支出</w:t>
            </w:r>
          </w:p>
        </w:tc>
      </w:tr>
      <w:tr>
        <w:tblPrEx>
          <w:tblCellMar>
            <w:top w:w="0" w:type="dxa"/>
            <w:left w:w="108" w:type="dxa"/>
            <w:bottom w:w="0" w:type="dxa"/>
            <w:right w:w="108" w:type="dxa"/>
          </w:tblCellMar>
        </w:tblPrEx>
        <w:trPr>
          <w:trHeight w:val="567" w:hRule="atLeast"/>
          <w:jc w:val="center"/>
        </w:trPr>
        <w:tc>
          <w:tcPr>
            <w:tcW w:w="561" w:type="pct"/>
            <w:vMerge w:val="continue"/>
            <w:tcBorders>
              <w:top w:val="nil"/>
              <w:left w:val="single" w:color="auto" w:sz="4" w:space="0"/>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1712" w:type="pct"/>
            <w:vMerge w:val="continue"/>
            <w:tcBorders>
              <w:top w:val="nil"/>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908"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908"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911"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567" w:hRule="atLeast"/>
          <w:jc w:val="center"/>
        </w:trPr>
        <w:tc>
          <w:tcPr>
            <w:tcW w:w="561" w:type="pct"/>
            <w:vMerge w:val="continue"/>
            <w:tcBorders>
              <w:top w:val="nil"/>
              <w:left w:val="single" w:color="auto" w:sz="4" w:space="0"/>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1712" w:type="pct"/>
            <w:vMerge w:val="continue"/>
            <w:tcBorders>
              <w:top w:val="nil"/>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908"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908"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c>
          <w:tcPr>
            <w:tcW w:w="911" w:type="pct"/>
            <w:vMerge w:val="continue"/>
            <w:tcBorders>
              <w:top w:val="single" w:color="auto" w:sz="4" w:space="0"/>
              <w:left w:val="nil"/>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567" w:hRule="atLeast"/>
          <w:jc w:val="center"/>
        </w:trPr>
        <w:tc>
          <w:tcPr>
            <w:tcW w:w="2273" w:type="pct"/>
            <w:gridSpan w:val="2"/>
            <w:tcBorders>
              <w:top w:val="single" w:color="auto" w:sz="4" w:space="0"/>
              <w:left w:val="single" w:color="auto" w:sz="4" w:space="0"/>
              <w:bottom w:val="single" w:color="auto" w:sz="4" w:space="0"/>
              <w:right w:val="single" w:color="auto" w:sz="4" w:space="0"/>
            </w:tcBorders>
            <w:vAlign w:val="center"/>
          </w:tcPr>
          <w:p>
            <w:pPr>
              <w:widowControl w:val="0"/>
              <w:spacing w:line="320" w:lineRule="exact"/>
              <w:ind w:firstLine="0" w:firstLineChars="0"/>
              <w:textAlignment w:val="center"/>
              <w:rPr>
                <w:rFonts w:hint="default"/>
                <w:color w:val="000000" w:themeColor="text1"/>
                <w:sz w:val="24"/>
              </w:rPr>
            </w:pPr>
            <w:r>
              <w:rPr>
                <w:color w:val="000000" w:themeColor="text1"/>
                <w:sz w:val="24"/>
              </w:rPr>
              <w:t>合计</w:t>
            </w:r>
          </w:p>
        </w:tc>
        <w:tc>
          <w:tcPr>
            <w:tcW w:w="90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0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11"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r>
        <w:tblPrEx>
          <w:tblCellMar>
            <w:top w:w="0" w:type="dxa"/>
            <w:left w:w="108" w:type="dxa"/>
            <w:bottom w:w="0" w:type="dxa"/>
            <w:right w:w="108" w:type="dxa"/>
          </w:tblCellMar>
        </w:tblPrEx>
        <w:trPr>
          <w:trHeight w:val="567" w:hRule="atLeast"/>
          <w:jc w:val="center"/>
        </w:trPr>
        <w:tc>
          <w:tcPr>
            <w:tcW w:w="561" w:type="pct"/>
            <w:tcBorders>
              <w:top w:val="single" w:color="auto" w:sz="4" w:space="0"/>
              <w:left w:val="single" w:color="auto" w:sz="4" w:space="0"/>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1712"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0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08"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c>
          <w:tcPr>
            <w:tcW w:w="911" w:type="pct"/>
            <w:tcBorders>
              <w:top w:val="single" w:color="auto" w:sz="4" w:space="0"/>
              <w:left w:val="nil"/>
              <w:bottom w:val="single" w:color="auto" w:sz="4" w:space="0"/>
              <w:right w:val="single" w:color="auto" w:sz="4" w:space="0"/>
            </w:tcBorders>
            <w:noWrap/>
            <w:vAlign w:val="center"/>
          </w:tcPr>
          <w:p>
            <w:pPr>
              <w:widowControl w:val="0"/>
              <w:spacing w:line="320" w:lineRule="exact"/>
              <w:ind w:firstLine="0" w:firstLineChars="0"/>
              <w:textAlignment w:val="center"/>
              <w:rPr>
                <w:rFonts w:hint="default"/>
                <w:color w:val="000000" w:themeColor="text1"/>
                <w:sz w:val="24"/>
              </w:rPr>
            </w:pPr>
          </w:p>
        </w:tc>
      </w:tr>
    </w:tbl>
    <w:p>
      <w:pPr>
        <w:widowControl w:val="0"/>
        <w:autoSpaceDE w:val="0"/>
        <w:ind w:firstLine="640"/>
        <w:rPr>
          <w:rFonts w:hint="default"/>
          <w:color w:val="000000" w:themeColor="text1"/>
          <w:szCs w:val="32"/>
        </w:rPr>
      </w:pPr>
      <w:r>
        <w:rPr>
          <w:color w:val="000000" w:themeColor="text1"/>
          <w:szCs w:val="32"/>
        </w:rPr>
        <w:t>备注：本表反映部门本年度国有资本经营预算财政拨款支出情况。</w:t>
      </w:r>
    </w:p>
    <w:p>
      <w:pPr>
        <w:widowControl w:val="0"/>
        <w:autoSpaceDE w:val="0"/>
        <w:ind w:firstLine="640"/>
        <w:rPr>
          <w:rFonts w:hint="default"/>
          <w:color w:val="000000" w:themeColor="text1"/>
          <w:szCs w:val="32"/>
        </w:rPr>
      </w:pPr>
      <w:r>
        <w:rPr>
          <w:color w:val="000000" w:themeColor="text1"/>
          <w:szCs w:val="32"/>
        </w:rPr>
        <w:t>本表为空的部门应将空表公开，并注明：本单无国有资本经营预算安排的支出，故本表无数据。</w:t>
      </w:r>
    </w:p>
    <w:sectPr>
      <w:headerReference r:id="rId7" w:type="first"/>
      <w:footerReference r:id="rId10" w:type="first"/>
      <w:headerReference r:id="rId5" w:type="default"/>
      <w:footerReference r:id="rId8" w:type="default"/>
      <w:headerReference r:id="rId6" w:type="even"/>
      <w:footerReference r:id="rId9" w:type="even"/>
      <w:pgSz w:w="23814" w:h="16840" w:orient="landscape"/>
      <w:pgMar w:top="1588" w:right="1418" w:bottom="1588" w:left="1418" w:header="851" w:footer="907" w:gutter="0"/>
      <w:cols w:space="720" w:num="1"/>
      <w:docGrid w:linePitch="435" w:charSpace="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s>
  <wne:acds>
    <wne:acd wne:argValue="AQAAAAA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right"/>
      <w:rPr>
        <w:rFonts w:hint="default"/>
      </w:rPr>
    </w:pPr>
    <w:r>
      <w:rPr>
        <w:rFonts w:hint="default" w:ascii="Times New Roman" w:hAnsi="Times New Roman" w:cs="Times New Roman"/>
        <w:sz w:val="30"/>
        <w:szCs w:val="30"/>
      </w:rPr>
      <w:t xml:space="preserve">— </w:t>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lang w:val="zh-CN"/>
      </w:rPr>
      <w:t>533</w:t>
    </w:r>
    <w:r>
      <w:rPr>
        <w:rFonts w:hint="default" w:ascii="Times New Roman" w:hAnsi="Times New Roman" w:cs="Times New Roman"/>
        <w:sz w:val="30"/>
        <w:szCs w:val="30"/>
      </w:rPr>
      <w:fldChar w:fldCharType="end"/>
    </w:r>
    <w:r>
      <w:rPr>
        <w:rFonts w:hint="default" w:ascii="Times New Roman" w:hAnsi="Times New Roman" w:cs="Times New Roman"/>
        <w:sz w:val="30"/>
        <w:szCs w:val="3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rPr>
        <w:rFonts w:hint="default"/>
      </w:rPr>
    </w:pPr>
    <w:r>
      <w:rPr>
        <w:rFonts w:hint="default" w:ascii="Times New Roman" w:hAnsi="Times New Roman" w:cs="Times New Roman"/>
        <w:sz w:val="30"/>
        <w:szCs w:val="30"/>
      </w:rPr>
      <w:t xml:space="preserve">— </w:t>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lang w:val="zh-CN"/>
      </w:rPr>
      <w:t>532</w:t>
    </w:r>
    <w:r>
      <w:rPr>
        <w:rFonts w:hint="default" w:ascii="Times New Roman" w:hAnsi="Times New Roman" w:cs="Times New Roman"/>
        <w:sz w:val="30"/>
        <w:szCs w:val="30"/>
      </w:rPr>
      <w:fldChar w:fldCharType="end"/>
    </w:r>
    <w:r>
      <w:rPr>
        <w:rFonts w:hint="default" w:ascii="Times New Roman" w:hAnsi="Times New Roman" w:cs="Times New Roman"/>
        <w:sz w:val="30"/>
        <w:szCs w:val="3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evenAndOddHeaders w:val="1"/>
  <w:drawingGridHorizontalSpacing w:val="160"/>
  <w:drawingGridVerticalSpacing w:val="157"/>
  <w:displayHorizontalDrawingGridEvery w:val="2"/>
  <w:noPunctuationKerning w:val="1"/>
  <w:characterSpacingControl w:val="doNotCompress"/>
  <w:footnotePr>
    <w:footnote w:id="0"/>
    <w:footnote w:id="1"/>
  </w:footnotePr>
  <w:endnotePr>
    <w:endnote w:id="0"/>
    <w:endnote w:id="1"/>
  </w:endnotePr>
  <w:compat>
    <w:spaceForUL/>
    <w:doNotLeaveBackslashAlone/>
    <w:ulTrailSpace/>
    <w:useFELayout/>
    <w:compatSetting w:name="compatibilityMode" w:uri="http://schemas.microsoft.com/office/word" w:val="12"/>
  </w:compat>
  <w:rsids>
    <w:rsidRoot w:val="00490BD0"/>
    <w:rsid w:val="00023340"/>
    <w:rsid w:val="000500EE"/>
    <w:rsid w:val="0005523A"/>
    <w:rsid w:val="000D577A"/>
    <w:rsid w:val="00106AE5"/>
    <w:rsid w:val="00125778"/>
    <w:rsid w:val="001273B7"/>
    <w:rsid w:val="0017545D"/>
    <w:rsid w:val="001C01AF"/>
    <w:rsid w:val="002400FD"/>
    <w:rsid w:val="0024193E"/>
    <w:rsid w:val="00293435"/>
    <w:rsid w:val="002C31B8"/>
    <w:rsid w:val="002E0B04"/>
    <w:rsid w:val="003638F6"/>
    <w:rsid w:val="00392EDE"/>
    <w:rsid w:val="003B541D"/>
    <w:rsid w:val="00405168"/>
    <w:rsid w:val="004240FB"/>
    <w:rsid w:val="00437AAA"/>
    <w:rsid w:val="00467DA4"/>
    <w:rsid w:val="00476790"/>
    <w:rsid w:val="00490BD0"/>
    <w:rsid w:val="004D02BA"/>
    <w:rsid w:val="00640170"/>
    <w:rsid w:val="00693E22"/>
    <w:rsid w:val="006D5C42"/>
    <w:rsid w:val="006F1413"/>
    <w:rsid w:val="007567B1"/>
    <w:rsid w:val="00775D66"/>
    <w:rsid w:val="00810D1A"/>
    <w:rsid w:val="00835167"/>
    <w:rsid w:val="00876006"/>
    <w:rsid w:val="008B1F65"/>
    <w:rsid w:val="008C5A6F"/>
    <w:rsid w:val="00952680"/>
    <w:rsid w:val="00966B46"/>
    <w:rsid w:val="00A0533E"/>
    <w:rsid w:val="00A75C33"/>
    <w:rsid w:val="00AB13BC"/>
    <w:rsid w:val="00AB4399"/>
    <w:rsid w:val="00AB4BC3"/>
    <w:rsid w:val="00AE1ACB"/>
    <w:rsid w:val="00BA2C46"/>
    <w:rsid w:val="00BB7408"/>
    <w:rsid w:val="00C12B86"/>
    <w:rsid w:val="00C141D4"/>
    <w:rsid w:val="00C51FEB"/>
    <w:rsid w:val="00C63A26"/>
    <w:rsid w:val="00C82BA2"/>
    <w:rsid w:val="00C97B59"/>
    <w:rsid w:val="00CC4E26"/>
    <w:rsid w:val="00D26F63"/>
    <w:rsid w:val="00D70791"/>
    <w:rsid w:val="00DA289B"/>
    <w:rsid w:val="00DE695D"/>
    <w:rsid w:val="00E00F80"/>
    <w:rsid w:val="00F6423B"/>
    <w:rsid w:val="00F760FB"/>
    <w:rsid w:val="00F92C40"/>
    <w:rsid w:val="0D84216B"/>
    <w:rsid w:val="124877B8"/>
    <w:rsid w:val="16E40A55"/>
    <w:rsid w:val="223A2097"/>
    <w:rsid w:val="27C126E4"/>
    <w:rsid w:val="2E917F1F"/>
    <w:rsid w:val="316C56B7"/>
    <w:rsid w:val="326D7CF5"/>
    <w:rsid w:val="32C74141"/>
    <w:rsid w:val="32E00E2B"/>
    <w:rsid w:val="37FE5704"/>
    <w:rsid w:val="3B024935"/>
    <w:rsid w:val="46D33498"/>
    <w:rsid w:val="48C6462F"/>
    <w:rsid w:val="5AE35293"/>
    <w:rsid w:val="5B4417DC"/>
    <w:rsid w:val="609538C3"/>
    <w:rsid w:val="66F771D7"/>
    <w:rsid w:val="69E540C7"/>
    <w:rsid w:val="7ABD3AA3"/>
    <w:rsid w:val="7EAE13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 w:name="heading 7"/>
    <w:lsdException w:qFormat="1" w:unhideWhenUsed="0" w:uiPriority="9" w:name="heading 8"/>
    <w:lsdException w:qFormat="1" w:unhideWhenUsed="0" w:uiPriority="9" w:name="heading 9"/>
    <w:lsdException w:uiPriority="99" w:semiHidden="0" w:name="index 1"/>
    <w:lsdException w:uiPriority="99" w:semiHidden="0" w:name="index 2"/>
    <w:lsdException w:uiPriority="99" w:semiHidden="0" w:name="index 3"/>
    <w:lsdException w:uiPriority="99" w:semiHidden="0" w:name="index 4"/>
    <w:lsdException w:uiPriority="99" w:semiHidden="0" w:name="index 5"/>
    <w:lsdException w:uiPriority="99" w:semiHidden="0" w:name="index 6"/>
    <w:lsdException w:uiPriority="99" w:semiHidden="0" w:name="index 7"/>
    <w:lsdException w:uiPriority="99" w:semiHidden="0" w:name="index 8"/>
    <w:lsdException w:uiPriority="99" w:semiHidden="0" w:name="index 9"/>
    <w:lsdException w:qFormat="1" w:unhideWhenUsed="0" w:uiPriority="0" w:semiHidden="0" w:name="toc 1"/>
    <w:lsdException w:qFormat="1" w:unhideWhenUsed="0" w:uiPriority="0"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uiPriority="99" w:semiHidden="0" w:name="footnote text"/>
    <w:lsdException w:qFormat="1" w:uiPriority="99" w:semiHidden="0" w:name="annotation text"/>
    <w:lsdException w:qFormat="1" w:uiPriority="0" w:semiHidden="0" w:name="header"/>
    <w:lsdException w:qFormat="1" w:uiPriority="99" w:semiHidden="0" w:name="footer"/>
    <w:lsdException w:uiPriority="99" w:semiHidden="0" w:name="index heading"/>
    <w:lsdException w:qFormat="1" w:unhideWhenUsed="0" w:uiPriority="35" w:name="caption"/>
    <w:lsdException w:uiPriority="99" w:semiHidden="0" w:name="table of figures"/>
    <w:lsdException w:uiPriority="99" w:semiHidden="0" w:name="envelope address"/>
    <w:lsdException w:uiPriority="99" w:semiHidden="0" w:name="envelope return"/>
    <w:lsdException w:uiPriority="99" w:semiHidden="0" w:name="footnote reference"/>
    <w:lsdException w:uiPriority="99" w:semiHidden="0" w:name="annotation reference"/>
    <w:lsdException w:uiPriority="99" w:semiHidden="0" w:name="line number"/>
    <w:lsdException w:qFormat="1" w:unhideWhenUsed="0" w:uiPriority="0" w:semiHidden="0" w:name="page number"/>
    <w:lsdException w:uiPriority="99" w:semiHidden="0" w:name="endnote reference"/>
    <w:lsdException w:uiPriority="99" w:semiHidden="0" w:name="endnote text"/>
    <w:lsdException w:uiPriority="99" w:semiHidden="0" w:name="table of authorities"/>
    <w:lsdException w:uiPriority="99" w:semiHidden="0" w:name="macro"/>
    <w:lsdException w:uiPriority="99" w:semiHidden="0" w:name="toa heading"/>
    <w:lsdException w:uiPriority="99" w:semiHidden="0" w:name="List"/>
    <w:lsdException w:uiPriority="99" w:semiHidden="0" w:name="List Bullet"/>
    <w:lsdException w:uiPriority="99" w:semiHidden="0" w:name="List Number"/>
    <w:lsdException w:uiPriority="99" w:semiHidden="0" w:name="List 2"/>
    <w:lsdException w:uiPriority="99" w:semiHidden="0" w:name="List 3"/>
    <w:lsdException w:uiPriority="99" w:semiHidden="0" w:name="List 4"/>
    <w:lsdException w:uiPriority="99" w:semiHidden="0" w:name="List 5"/>
    <w:lsdException w:uiPriority="99" w:semiHidden="0" w:name="List Bullet 2"/>
    <w:lsdException w:uiPriority="99" w:semiHidden="0" w:name="List Bullet 3"/>
    <w:lsdException w:uiPriority="99" w:semiHidden="0" w:name="List Bullet 4"/>
    <w:lsdException w:uiPriority="99" w:semiHidden="0" w:name="List Bullet 5"/>
    <w:lsdException w:uiPriority="99" w:semiHidden="0" w:name="List Number 2"/>
    <w:lsdException w:uiPriority="99" w:semiHidden="0" w:name="List Number 3"/>
    <w:lsdException w:uiPriority="99" w:semiHidden="0" w:name="List Number 4"/>
    <w:lsdException w:uiPriority="99" w:semiHidden="0" w:name="List Number 5"/>
    <w:lsdException w:qFormat="1" w:unhideWhenUsed="0" w:uiPriority="0" w:semiHidden="0" w:name="Title"/>
    <w:lsdException w:uiPriority="99" w:semiHidden="0" w:name="Closing"/>
    <w:lsdException w:uiPriority="99" w:semiHidden="0" w:name="Signature"/>
    <w:lsdException w:qFormat="1" w:uiPriority="1" w:semiHidden="0" w:name="Default Paragraph Font"/>
    <w:lsdException w:qFormat="1" w:unhideWhenUsed="0" w:uiPriority="0" w:semiHidden="0" w:name="Body Text"/>
    <w:lsdException w:uiPriority="99" w:semiHidden="0" w:name="Body Text Indent"/>
    <w:lsdException w:uiPriority="99" w:semiHidden="0" w:name="List Continue"/>
    <w:lsdException w:uiPriority="99" w:semiHidden="0" w:name="List Continue 2"/>
    <w:lsdException w:uiPriority="99" w:semiHidden="0" w:name="List Continue 3"/>
    <w:lsdException w:uiPriority="99" w:semiHidden="0" w:name="List Continue 4"/>
    <w:lsdException w:uiPriority="99" w:semiHidden="0" w:name="List Continue 5"/>
    <w:lsdException w:uiPriority="99" w:semiHidden="0" w:name="Message Header"/>
    <w:lsdException w:qFormat="1" w:unhideWhenUsed="0" w:uiPriority="11" w:semiHidden="0" w:name="Subtitle"/>
    <w:lsdException w:uiPriority="99" w:semiHidden="0" w:name="Salutation"/>
    <w:lsdException w:uiPriority="99" w:semiHidden="0" w:name="Date"/>
    <w:lsdException w:uiPriority="99" w:semiHidden="0" w:name="Body Text First Indent"/>
    <w:lsdException w:uiPriority="99" w:semiHidden="0" w:name="Body Text First Indent 2"/>
    <w:lsdException w:uiPriority="99" w:semiHidden="0" w:name="Note Heading"/>
    <w:lsdException w:uiPriority="99" w:semiHidden="0" w:name="Body Text 2"/>
    <w:lsdException w:uiPriority="99" w:semiHidden="0" w:name="Body Text 3"/>
    <w:lsdException w:uiPriority="99" w:semiHidden="0" w:name="Body Text Indent 2"/>
    <w:lsdException w:uiPriority="99" w:semiHidden="0" w:name="Body Text Indent 3"/>
    <w:lsdException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uiPriority="99" w:semiHidden="0" w:name="Document Map"/>
    <w:lsdException w:qFormat="1" w:unhideWhenUsed="0" w:uiPriority="99" w:semiHidden="0" w:name="Plain Text"/>
    <w:lsdException w:uiPriority="99" w:semiHidden="0" w:name="E-mail Signature"/>
    <w:lsdException w:qFormat="1" w:uiPriority="99" w:semiHidden="0" w:name="Normal (Web)"/>
    <w:lsdException w:uiPriority="99" w:semiHidden="0" w:name="HTML Acronym"/>
    <w:lsdException w:uiPriority="99"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semiHidden="0" w:name="HTML Keyboard"/>
    <w:lsdException w:qFormat="1" w:uiPriority="0" w:semiHidden="0" w:name="HTML Preformatted"/>
    <w:lsdException w:uiPriority="99" w:semiHidden="0" w:name="HTML Sample"/>
    <w:lsdException w:uiPriority="99" w:semiHidden="0" w:name="HTML Typewriter"/>
    <w:lsdException w:qFormat="1" w:unhideWhenUsed="0" w:uiPriority="0" w:semiHidden="0" w:name="HTML Variable"/>
    <w:lsdException w:qFormat="1"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spacing w:line="594" w:lineRule="exact"/>
      <w:ind w:firstLine="1080" w:firstLineChars="200"/>
      <w:jc w:val="both"/>
    </w:pPr>
    <w:rPr>
      <w:rFonts w:hint="eastAsia" w:ascii="Times New Roman" w:hAnsi="Times New Roman" w:eastAsia="方正仿宋_GBK" w:cs="宋体"/>
      <w:sz w:val="32"/>
      <w:szCs w:val="24"/>
      <w:lang w:val="en-US" w:eastAsia="zh-CN" w:bidi="ar-SA"/>
    </w:rPr>
  </w:style>
  <w:style w:type="paragraph" w:styleId="2">
    <w:name w:val="heading 1"/>
    <w:basedOn w:val="1"/>
    <w:next w:val="1"/>
    <w:link w:val="31"/>
    <w:qFormat/>
    <w:uiPriority w:val="0"/>
    <w:pPr>
      <w:spacing w:beforeAutospacing="1" w:afterAutospacing="1"/>
      <w:jc w:val="left"/>
      <w:outlineLvl w:val="0"/>
    </w:pPr>
    <w:rPr>
      <w:rFonts w:ascii="宋体" w:hAnsi="宋体" w:eastAsia="宋体"/>
      <w:b/>
      <w:kern w:val="44"/>
      <w:sz w:val="48"/>
      <w:szCs w:val="48"/>
    </w:rPr>
  </w:style>
  <w:style w:type="paragraph" w:styleId="3">
    <w:name w:val="heading 2"/>
    <w:basedOn w:val="1"/>
    <w:next w:val="1"/>
    <w:link w:val="32"/>
    <w:qFormat/>
    <w:uiPriority w:val="0"/>
    <w:pPr>
      <w:spacing w:beforeAutospacing="1" w:afterAutospacing="1"/>
      <w:jc w:val="left"/>
      <w:outlineLvl w:val="1"/>
    </w:pPr>
    <w:rPr>
      <w:rFonts w:ascii="宋体" w:hAnsi="宋体" w:eastAsia="宋体"/>
      <w:b/>
      <w:sz w:val="36"/>
      <w:szCs w:val="36"/>
    </w:rPr>
  </w:style>
  <w:style w:type="paragraph" w:styleId="4">
    <w:name w:val="heading 3"/>
    <w:basedOn w:val="1"/>
    <w:next w:val="1"/>
    <w:link w:val="33"/>
    <w:qFormat/>
    <w:uiPriority w:val="0"/>
    <w:pPr>
      <w:spacing w:beforeAutospacing="1" w:afterAutospacing="1"/>
      <w:jc w:val="left"/>
      <w:outlineLvl w:val="2"/>
    </w:pPr>
    <w:rPr>
      <w:rFonts w:ascii="宋体" w:hAnsi="宋体" w:eastAsia="宋体"/>
      <w:b/>
      <w:sz w:val="27"/>
      <w:szCs w:val="27"/>
    </w:rPr>
  </w:style>
  <w:style w:type="paragraph" w:styleId="5">
    <w:name w:val="heading 4"/>
    <w:basedOn w:val="1"/>
    <w:next w:val="1"/>
    <w:link w:val="34"/>
    <w:qFormat/>
    <w:uiPriority w:val="0"/>
    <w:pPr>
      <w:spacing w:beforeAutospacing="1" w:afterAutospacing="1"/>
      <w:jc w:val="left"/>
      <w:outlineLvl w:val="3"/>
    </w:pPr>
    <w:rPr>
      <w:rFonts w:ascii="宋体" w:hAnsi="宋体" w:eastAsia="宋体"/>
      <w:b/>
      <w:sz w:val="24"/>
    </w:rPr>
  </w:style>
  <w:style w:type="paragraph" w:styleId="6">
    <w:name w:val="heading 5"/>
    <w:basedOn w:val="1"/>
    <w:next w:val="1"/>
    <w:link w:val="35"/>
    <w:qFormat/>
    <w:uiPriority w:val="0"/>
    <w:pPr>
      <w:spacing w:beforeAutospacing="1" w:afterAutospacing="1"/>
      <w:jc w:val="left"/>
      <w:outlineLvl w:val="4"/>
    </w:pPr>
    <w:rPr>
      <w:rFonts w:ascii="宋体" w:hAnsi="宋体" w:eastAsia="宋体"/>
      <w:b/>
      <w:sz w:val="20"/>
      <w:szCs w:val="20"/>
    </w:rPr>
  </w:style>
  <w:style w:type="paragraph" w:styleId="7">
    <w:name w:val="heading 6"/>
    <w:basedOn w:val="1"/>
    <w:next w:val="1"/>
    <w:link w:val="36"/>
    <w:qFormat/>
    <w:uiPriority w:val="0"/>
    <w:pPr>
      <w:spacing w:beforeAutospacing="1" w:afterAutospacing="1"/>
      <w:jc w:val="left"/>
      <w:outlineLvl w:val="5"/>
    </w:pPr>
    <w:rPr>
      <w:rFonts w:ascii="宋体" w:hAnsi="宋体" w:eastAsia="宋体"/>
      <w:b/>
      <w:sz w:val="15"/>
      <w:szCs w:val="15"/>
    </w:rPr>
  </w:style>
  <w:style w:type="character" w:default="1" w:styleId="22">
    <w:name w:val="Default Paragraph Font"/>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0"/>
    <w:pPr>
      <w:widowControl w:val="0"/>
      <w:spacing w:line="240" w:lineRule="auto"/>
      <w:ind w:firstLine="420"/>
    </w:pPr>
    <w:rPr>
      <w:rFonts w:hint="default" w:ascii="Calibri" w:hAnsi="Calibri" w:eastAsia="宋体" w:cs="Times New Roman"/>
      <w:kern w:val="2"/>
      <w:sz w:val="21"/>
    </w:rPr>
  </w:style>
  <w:style w:type="paragraph" w:styleId="9">
    <w:name w:val="annotation text"/>
    <w:basedOn w:val="1"/>
    <w:link w:val="49"/>
    <w:unhideWhenUsed/>
    <w:qFormat/>
    <w:uiPriority w:val="99"/>
    <w:pPr>
      <w:widowControl w:val="0"/>
      <w:ind w:firstLine="640"/>
      <w:jc w:val="left"/>
    </w:pPr>
    <w:rPr>
      <w:rFonts w:hint="default" w:cs="Times New Roman"/>
      <w:kern w:val="2"/>
      <w:szCs w:val="22"/>
    </w:rPr>
  </w:style>
  <w:style w:type="paragraph" w:styleId="10">
    <w:name w:val="Body Text"/>
    <w:basedOn w:val="1"/>
    <w:link w:val="138"/>
    <w:qFormat/>
    <w:uiPriority w:val="0"/>
    <w:pPr>
      <w:jc w:val="left"/>
    </w:pPr>
    <w:rPr>
      <w:rFonts w:ascii="方正仿宋_GBK" w:hAnsi="方正仿宋_GBK" w:cs="Times New Roman"/>
      <w:szCs w:val="32"/>
    </w:rPr>
  </w:style>
  <w:style w:type="paragraph" w:styleId="11">
    <w:name w:val="Plain Text"/>
    <w:basedOn w:val="1"/>
    <w:link w:val="144"/>
    <w:qFormat/>
    <w:uiPriority w:val="99"/>
    <w:pPr>
      <w:ind w:firstLine="880"/>
    </w:pPr>
    <w:rPr>
      <w:rFonts w:ascii="宋体" w:hAnsi="Courier New" w:cs="Times New Roman"/>
      <w:sz w:val="30"/>
    </w:rPr>
  </w:style>
  <w:style w:type="paragraph" w:styleId="12">
    <w:name w:val="Balloon Text"/>
    <w:basedOn w:val="1"/>
    <w:link w:val="214"/>
    <w:unhideWhenUsed/>
    <w:qFormat/>
    <w:uiPriority w:val="99"/>
    <w:pPr>
      <w:spacing w:line="240" w:lineRule="auto"/>
    </w:pPr>
    <w:rPr>
      <w:sz w:val="18"/>
      <w:szCs w:val="18"/>
    </w:rPr>
  </w:style>
  <w:style w:type="paragraph" w:styleId="13">
    <w:name w:val="footer"/>
    <w:basedOn w:val="1"/>
    <w:link w:val="37"/>
    <w:unhideWhenUsed/>
    <w:qFormat/>
    <w:uiPriority w:val="99"/>
    <w:pPr>
      <w:snapToGrid w:val="0"/>
      <w:jc w:val="left"/>
    </w:pPr>
    <w:rPr>
      <w:rFonts w:ascii="宋体" w:hAnsi="宋体" w:eastAsia="宋体"/>
      <w:sz w:val="18"/>
      <w:szCs w:val="18"/>
    </w:rPr>
  </w:style>
  <w:style w:type="paragraph" w:styleId="14">
    <w:name w:val="header"/>
    <w:basedOn w:val="1"/>
    <w:link w:val="38"/>
    <w:unhideWhenUsed/>
    <w:qFormat/>
    <w:uiPriority w:val="0"/>
    <w:pPr>
      <w:pBdr>
        <w:bottom w:val="single" w:color="auto" w:sz="6" w:space="1"/>
      </w:pBdr>
      <w:snapToGrid w:val="0"/>
      <w:jc w:val="center"/>
    </w:pPr>
    <w:rPr>
      <w:rFonts w:ascii="宋体" w:hAnsi="宋体" w:eastAsia="宋体"/>
      <w:sz w:val="18"/>
      <w:szCs w:val="18"/>
    </w:rPr>
  </w:style>
  <w:style w:type="paragraph" w:styleId="15">
    <w:name w:val="toc 1"/>
    <w:basedOn w:val="1"/>
    <w:next w:val="1"/>
    <w:qFormat/>
    <w:uiPriority w:val="0"/>
    <w:rPr>
      <w:rFonts w:cs="Times New Roman"/>
    </w:rPr>
  </w:style>
  <w:style w:type="paragraph" w:styleId="16">
    <w:name w:val="toc 2"/>
    <w:basedOn w:val="1"/>
    <w:next w:val="1"/>
    <w:qFormat/>
    <w:uiPriority w:val="0"/>
    <w:pPr>
      <w:ind w:left="420" w:leftChars="200"/>
    </w:pPr>
    <w:rPr>
      <w:rFonts w:cs="Times New Roman"/>
    </w:rPr>
  </w:style>
  <w:style w:type="paragraph" w:styleId="17">
    <w:name w:val="HTML Preformatted"/>
    <w:basedOn w:val="1"/>
    <w:link w:val="39"/>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default" w:ascii="Courier New" w:hAnsi="Courier New" w:eastAsia="宋体" w:cs="Courier New"/>
      <w:sz w:val="20"/>
      <w:szCs w:val="20"/>
    </w:rPr>
  </w:style>
  <w:style w:type="paragraph" w:styleId="18">
    <w:name w:val="Normal (Web)"/>
    <w:basedOn w:val="1"/>
    <w:link w:val="40"/>
    <w:unhideWhenUsed/>
    <w:qFormat/>
    <w:uiPriority w:val="99"/>
    <w:pPr>
      <w:spacing w:beforeAutospacing="1" w:afterAutospacing="1"/>
      <w:jc w:val="left"/>
    </w:pPr>
    <w:rPr>
      <w:rFonts w:ascii="宋体" w:hAnsi="宋体" w:eastAsia="宋体"/>
      <w:sz w:val="24"/>
    </w:rPr>
  </w:style>
  <w:style w:type="paragraph" w:styleId="19">
    <w:name w:val="Title"/>
    <w:basedOn w:val="1"/>
    <w:next w:val="1"/>
    <w:link w:val="172"/>
    <w:qFormat/>
    <w:uiPriority w:val="0"/>
    <w:pPr>
      <w:spacing w:before="240" w:after="60" w:line="240" w:lineRule="auto"/>
      <w:ind w:firstLine="0" w:firstLineChars="0"/>
      <w:jc w:val="center"/>
      <w:outlineLvl w:val="0"/>
    </w:pPr>
    <w:rPr>
      <w:rFonts w:hint="default" w:ascii="Cambria" w:hAnsi="Cambria" w:eastAsia="宋体" w:cs="Times New Roman"/>
      <w:b/>
      <w:szCs w:val="32"/>
    </w:r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bCs/>
    </w:rPr>
  </w:style>
  <w:style w:type="character" w:styleId="24">
    <w:name w:val="page number"/>
    <w:basedOn w:val="22"/>
    <w:qFormat/>
    <w:uiPriority w:val="0"/>
  </w:style>
  <w:style w:type="character" w:styleId="25">
    <w:name w:val="FollowedHyperlink"/>
    <w:qFormat/>
    <w:uiPriority w:val="99"/>
    <w:rPr>
      <w:color w:val="800080"/>
      <w:u w:val="none"/>
    </w:rPr>
  </w:style>
  <w:style w:type="character" w:styleId="26">
    <w:name w:val="HTML Definition"/>
    <w:qFormat/>
    <w:uiPriority w:val="0"/>
  </w:style>
  <w:style w:type="character" w:styleId="27">
    <w:name w:val="HTML Variable"/>
    <w:qFormat/>
    <w:uiPriority w:val="0"/>
  </w:style>
  <w:style w:type="character" w:styleId="28">
    <w:name w:val="Hyperlink"/>
    <w:qFormat/>
    <w:uiPriority w:val="99"/>
    <w:rPr>
      <w:color w:val="0000FF"/>
      <w:u w:val="none"/>
    </w:rPr>
  </w:style>
  <w:style w:type="character" w:styleId="29">
    <w:name w:val="HTML Code"/>
    <w:qFormat/>
    <w:uiPriority w:val="0"/>
    <w:rPr>
      <w:rFonts w:ascii="Courier New" w:hAnsi="Courier New"/>
      <w:sz w:val="20"/>
    </w:rPr>
  </w:style>
  <w:style w:type="character" w:styleId="30">
    <w:name w:val="HTML Cite"/>
    <w:qFormat/>
    <w:uiPriority w:val="0"/>
  </w:style>
  <w:style w:type="character" w:customStyle="1" w:styleId="31">
    <w:name w:val="标题 1 Char"/>
    <w:basedOn w:val="22"/>
    <w:link w:val="2"/>
    <w:qFormat/>
    <w:locked/>
    <w:uiPriority w:val="0"/>
    <w:rPr>
      <w:rFonts w:hint="eastAsia" w:ascii="宋体" w:hAnsi="宋体" w:eastAsia="宋体" w:cs="宋体"/>
      <w:b/>
      <w:kern w:val="44"/>
      <w:sz w:val="44"/>
      <w:szCs w:val="44"/>
    </w:rPr>
  </w:style>
  <w:style w:type="character" w:customStyle="1" w:styleId="32">
    <w:name w:val="标题 2 Char"/>
    <w:basedOn w:val="22"/>
    <w:link w:val="3"/>
    <w:qFormat/>
    <w:locked/>
    <w:uiPriority w:val="0"/>
    <w:rPr>
      <w:rFonts w:ascii="Cambria" w:hAnsi="Cambria" w:eastAsia="宋体" w:cs="Times New Roman"/>
      <w:b/>
      <w:sz w:val="32"/>
      <w:szCs w:val="32"/>
    </w:rPr>
  </w:style>
  <w:style w:type="character" w:customStyle="1" w:styleId="33">
    <w:name w:val="标题 3 Char"/>
    <w:basedOn w:val="22"/>
    <w:link w:val="4"/>
    <w:qFormat/>
    <w:locked/>
    <w:uiPriority w:val="0"/>
    <w:rPr>
      <w:rFonts w:hint="eastAsia" w:ascii="宋体" w:hAnsi="宋体" w:eastAsia="宋体" w:cs="宋体"/>
      <w:b/>
      <w:sz w:val="32"/>
      <w:szCs w:val="32"/>
    </w:rPr>
  </w:style>
  <w:style w:type="character" w:customStyle="1" w:styleId="34">
    <w:name w:val="标题 4 Char"/>
    <w:basedOn w:val="22"/>
    <w:link w:val="5"/>
    <w:qFormat/>
    <w:locked/>
    <w:uiPriority w:val="0"/>
    <w:rPr>
      <w:rFonts w:hint="default" w:ascii="Cambria" w:hAnsi="Cambria" w:eastAsia="宋体" w:cs="Times New Roman"/>
      <w:b/>
      <w:sz w:val="28"/>
      <w:szCs w:val="28"/>
    </w:rPr>
  </w:style>
  <w:style w:type="character" w:customStyle="1" w:styleId="35">
    <w:name w:val="标题 5 Char"/>
    <w:basedOn w:val="22"/>
    <w:link w:val="6"/>
    <w:qFormat/>
    <w:locked/>
    <w:uiPriority w:val="0"/>
    <w:rPr>
      <w:rFonts w:hint="eastAsia" w:ascii="宋体" w:hAnsi="宋体" w:eastAsia="宋体" w:cs="宋体"/>
      <w:b/>
      <w:sz w:val="28"/>
      <w:szCs w:val="28"/>
    </w:rPr>
  </w:style>
  <w:style w:type="character" w:customStyle="1" w:styleId="36">
    <w:name w:val="标题 6 Char"/>
    <w:basedOn w:val="22"/>
    <w:link w:val="7"/>
    <w:qFormat/>
    <w:locked/>
    <w:uiPriority w:val="0"/>
    <w:rPr>
      <w:rFonts w:hint="default" w:ascii="Cambria" w:hAnsi="Cambria" w:eastAsia="宋体" w:cs="Times New Roman"/>
      <w:b/>
      <w:sz w:val="24"/>
      <w:szCs w:val="24"/>
    </w:rPr>
  </w:style>
  <w:style w:type="character" w:customStyle="1" w:styleId="37">
    <w:name w:val="页脚 Char"/>
    <w:basedOn w:val="22"/>
    <w:link w:val="13"/>
    <w:qFormat/>
    <w:locked/>
    <w:uiPriority w:val="99"/>
    <w:rPr>
      <w:rFonts w:hint="eastAsia" w:ascii="宋体" w:hAnsi="宋体" w:eastAsia="宋体" w:cs="宋体"/>
      <w:sz w:val="18"/>
      <w:szCs w:val="18"/>
    </w:rPr>
  </w:style>
  <w:style w:type="character" w:customStyle="1" w:styleId="38">
    <w:name w:val="页眉 Char"/>
    <w:basedOn w:val="22"/>
    <w:link w:val="14"/>
    <w:qFormat/>
    <w:locked/>
    <w:uiPriority w:val="0"/>
    <w:rPr>
      <w:rFonts w:hint="eastAsia" w:ascii="宋体" w:hAnsi="宋体" w:eastAsia="宋体" w:cs="宋体"/>
      <w:sz w:val="18"/>
      <w:szCs w:val="18"/>
    </w:rPr>
  </w:style>
  <w:style w:type="character" w:customStyle="1" w:styleId="39">
    <w:name w:val="HTML 预设格式 Char"/>
    <w:basedOn w:val="22"/>
    <w:link w:val="17"/>
    <w:qFormat/>
    <w:locked/>
    <w:uiPriority w:val="0"/>
    <w:rPr>
      <w:rFonts w:hint="default" w:ascii="Courier New" w:hAnsi="Courier New" w:eastAsia="宋体" w:cs="Courier New"/>
    </w:rPr>
  </w:style>
  <w:style w:type="character" w:customStyle="1" w:styleId="40">
    <w:name w:val="普通(网站) Char1"/>
    <w:link w:val="18"/>
    <w:qFormat/>
    <w:uiPriority w:val="0"/>
    <w:rPr>
      <w:rFonts w:ascii="宋体" w:hAnsi="宋体" w:cs="宋体"/>
      <w:sz w:val="24"/>
      <w:szCs w:val="24"/>
    </w:rPr>
  </w:style>
  <w:style w:type="character" w:customStyle="1" w:styleId="41">
    <w:name w:val="15"/>
    <w:basedOn w:val="22"/>
    <w:qFormat/>
    <w:uiPriority w:val="0"/>
    <w:rPr>
      <w:rFonts w:hint="default" w:ascii="Times New Roman" w:hAnsi="Times New Roman" w:cs="Times New Roman"/>
      <w:b/>
    </w:rPr>
  </w:style>
  <w:style w:type="character" w:customStyle="1" w:styleId="42">
    <w:name w:val="10"/>
    <w:basedOn w:val="22"/>
    <w:qFormat/>
    <w:uiPriority w:val="0"/>
    <w:rPr>
      <w:rFonts w:hint="default" w:ascii="Times New Roman" w:hAnsi="Times New Roman" w:cs="Times New Roman"/>
    </w:rPr>
  </w:style>
  <w:style w:type="character" w:customStyle="1" w:styleId="43">
    <w:name w:val="16"/>
    <w:basedOn w:val="22"/>
    <w:qFormat/>
    <w:uiPriority w:val="0"/>
    <w:rPr>
      <w:rFonts w:hint="eastAsia" w:ascii="宋体" w:hAnsi="宋体" w:eastAsia="宋体" w:cs="宋体"/>
      <w:sz w:val="18"/>
      <w:szCs w:val="18"/>
    </w:rPr>
  </w:style>
  <w:style w:type="character" w:customStyle="1" w:styleId="44">
    <w:name w:val="17"/>
    <w:basedOn w:val="22"/>
    <w:qFormat/>
    <w:uiPriority w:val="0"/>
    <w:rPr>
      <w:rFonts w:hint="eastAsia" w:ascii="宋体" w:hAnsi="宋体" w:eastAsia="宋体" w:cs="宋体"/>
      <w:sz w:val="18"/>
      <w:szCs w:val="18"/>
    </w:rPr>
  </w:style>
  <w:style w:type="paragraph" w:customStyle="1" w:styleId="45">
    <w:name w:val="p36"/>
    <w:basedOn w:val="1"/>
    <w:qFormat/>
    <w:uiPriority w:val="0"/>
    <w:pPr>
      <w:spacing w:before="100" w:after="100"/>
      <w:jc w:val="left"/>
    </w:pPr>
    <w:rPr>
      <w:rFonts w:ascii="宋体" w:hAnsi="宋体" w:eastAsia="宋体"/>
      <w:sz w:val="24"/>
    </w:rPr>
  </w:style>
  <w:style w:type="paragraph" w:customStyle="1" w:styleId="46">
    <w:name w:val="p33"/>
    <w:basedOn w:val="1"/>
    <w:qFormat/>
    <w:uiPriority w:val="0"/>
    <w:pPr>
      <w:spacing w:before="100" w:after="100"/>
      <w:jc w:val="left"/>
    </w:pPr>
    <w:rPr>
      <w:rFonts w:ascii="宋体" w:hAnsi="宋体" w:eastAsia="宋体"/>
      <w:sz w:val="24"/>
    </w:rPr>
  </w:style>
  <w:style w:type="paragraph" w:customStyle="1" w:styleId="47">
    <w:name w:val="p39"/>
    <w:basedOn w:val="1"/>
    <w:qFormat/>
    <w:uiPriority w:val="0"/>
    <w:pPr>
      <w:jc w:val="left"/>
    </w:pPr>
    <w:rPr>
      <w:rFonts w:ascii="宋体" w:hAnsi="宋体" w:eastAsia="宋体"/>
      <w:sz w:val="24"/>
    </w:rPr>
  </w:style>
  <w:style w:type="character" w:customStyle="1" w:styleId="48">
    <w:name w:val="19"/>
    <w:basedOn w:val="22"/>
    <w:qFormat/>
    <w:uiPriority w:val="0"/>
    <w:rPr>
      <w:rFonts w:hint="default" w:ascii="Times New Roman" w:hAnsi="Times New Roman" w:cs="Times New Roman"/>
      <w:b/>
    </w:rPr>
  </w:style>
  <w:style w:type="character" w:customStyle="1" w:styleId="49">
    <w:name w:val="批注文字 Char"/>
    <w:basedOn w:val="22"/>
    <w:link w:val="9"/>
    <w:qFormat/>
    <w:uiPriority w:val="99"/>
    <w:rPr>
      <w:rFonts w:eastAsia="方正仿宋_GBK"/>
      <w:kern w:val="2"/>
      <w:sz w:val="32"/>
      <w:szCs w:val="22"/>
    </w:rPr>
  </w:style>
  <w:style w:type="paragraph" w:customStyle="1" w:styleId="50">
    <w:name w:val="普通(网站) Char"/>
    <w:basedOn w:val="1"/>
    <w:qFormat/>
    <w:uiPriority w:val="0"/>
    <w:pPr>
      <w:spacing w:before="100" w:beforeAutospacing="1" w:after="100" w:afterAutospacing="1"/>
      <w:ind w:firstLine="640"/>
      <w:jc w:val="left"/>
    </w:pPr>
    <w:rPr>
      <w:rFonts w:ascii="宋体" w:hAnsi="宋体" w:eastAsia="宋体" w:cs="Times New Roman"/>
      <w:sz w:val="24"/>
    </w:rPr>
  </w:style>
  <w:style w:type="character" w:customStyle="1" w:styleId="51">
    <w:name w:val="24"/>
    <w:basedOn w:val="22"/>
    <w:qFormat/>
    <w:uiPriority w:val="0"/>
    <w:rPr>
      <w:rFonts w:hint="default" w:ascii="Times New Roman" w:hAnsi="Times New Roman" w:cs="Times New Roman"/>
      <w:b/>
      <w:bCs/>
    </w:rPr>
  </w:style>
  <w:style w:type="character" w:customStyle="1" w:styleId="52">
    <w:name w:val="20"/>
    <w:basedOn w:val="22"/>
    <w:qFormat/>
    <w:uiPriority w:val="0"/>
    <w:rPr>
      <w:rFonts w:hint="default" w:ascii="Times New Roman" w:hAnsi="Times New Roman" w:cs="Times New Roman"/>
      <w:b/>
    </w:rPr>
  </w:style>
  <w:style w:type="character" w:customStyle="1" w:styleId="53">
    <w:name w:val="23"/>
    <w:basedOn w:val="22"/>
    <w:qFormat/>
    <w:uiPriority w:val="0"/>
    <w:rPr>
      <w:rFonts w:hint="default" w:ascii="Times New Roman" w:hAnsi="Times New Roman" w:cs="Times New Roman"/>
      <w:b/>
    </w:rPr>
  </w:style>
  <w:style w:type="paragraph" w:customStyle="1" w:styleId="54">
    <w:name w:val="p47"/>
    <w:basedOn w:val="1"/>
    <w:qFormat/>
    <w:uiPriority w:val="0"/>
    <w:pPr>
      <w:spacing w:line="240" w:lineRule="auto"/>
      <w:ind w:firstLine="0" w:firstLineChars="0"/>
      <w:jc w:val="left"/>
    </w:pPr>
    <w:rPr>
      <w:rFonts w:hint="default" w:ascii="宋体" w:hAnsi="宋体" w:eastAsia="宋体"/>
      <w:sz w:val="24"/>
    </w:rPr>
  </w:style>
  <w:style w:type="paragraph" w:customStyle="1" w:styleId="55">
    <w:name w:val="p34"/>
    <w:basedOn w:val="1"/>
    <w:qFormat/>
    <w:uiPriority w:val="0"/>
    <w:pPr>
      <w:spacing w:before="100" w:after="100" w:line="240" w:lineRule="auto"/>
      <w:ind w:firstLine="0" w:firstLineChars="0"/>
      <w:jc w:val="left"/>
    </w:pPr>
    <w:rPr>
      <w:rFonts w:hint="default" w:ascii="宋体" w:hAnsi="宋体" w:eastAsia="宋体"/>
      <w:sz w:val="24"/>
    </w:rPr>
  </w:style>
  <w:style w:type="paragraph" w:customStyle="1" w:styleId="56">
    <w:name w:val="p40"/>
    <w:basedOn w:val="1"/>
    <w:qFormat/>
    <w:uiPriority w:val="0"/>
    <w:pPr>
      <w:spacing w:line="240" w:lineRule="auto"/>
      <w:ind w:firstLine="0" w:firstLineChars="0"/>
      <w:jc w:val="left"/>
    </w:pPr>
    <w:rPr>
      <w:rFonts w:hint="default" w:ascii="宋体" w:hAnsi="宋体" w:eastAsia="宋体"/>
      <w:sz w:val="24"/>
    </w:rPr>
  </w:style>
  <w:style w:type="paragraph" w:customStyle="1" w:styleId="57">
    <w:name w:val="p37"/>
    <w:basedOn w:val="1"/>
    <w:qFormat/>
    <w:uiPriority w:val="0"/>
    <w:pPr>
      <w:spacing w:before="100" w:after="100" w:line="240" w:lineRule="auto"/>
      <w:ind w:firstLine="0" w:firstLineChars="0"/>
      <w:jc w:val="left"/>
    </w:pPr>
    <w:rPr>
      <w:rFonts w:hint="default" w:ascii="宋体" w:hAnsi="宋体" w:eastAsia="宋体"/>
      <w:sz w:val="24"/>
    </w:rPr>
  </w:style>
  <w:style w:type="paragraph" w:customStyle="1" w:styleId="58">
    <w:name w:val="p46"/>
    <w:basedOn w:val="1"/>
    <w:qFormat/>
    <w:uiPriority w:val="0"/>
    <w:pPr>
      <w:spacing w:line="240" w:lineRule="auto"/>
      <w:ind w:firstLine="420" w:firstLineChars="0"/>
      <w:jc w:val="left"/>
    </w:pPr>
    <w:rPr>
      <w:rFonts w:hint="default" w:ascii="宋体" w:hAnsi="宋体" w:eastAsia="宋体"/>
      <w:sz w:val="24"/>
    </w:rPr>
  </w:style>
  <w:style w:type="paragraph" w:customStyle="1" w:styleId="59">
    <w:name w:val="p35"/>
    <w:basedOn w:val="1"/>
    <w:qFormat/>
    <w:uiPriority w:val="0"/>
    <w:pPr>
      <w:spacing w:line="240" w:lineRule="auto"/>
      <w:ind w:firstLine="0" w:firstLineChars="0"/>
      <w:jc w:val="left"/>
    </w:pPr>
    <w:rPr>
      <w:rFonts w:hint="default" w:ascii="宋体" w:hAnsi="宋体" w:eastAsia="宋体"/>
      <w:sz w:val="24"/>
    </w:rPr>
  </w:style>
  <w:style w:type="paragraph" w:customStyle="1" w:styleId="60">
    <w:name w:val="p44"/>
    <w:basedOn w:val="1"/>
    <w:qFormat/>
    <w:uiPriority w:val="0"/>
    <w:pPr>
      <w:spacing w:line="240" w:lineRule="auto"/>
      <w:ind w:firstLine="0" w:firstLineChars="0"/>
      <w:jc w:val="left"/>
    </w:pPr>
    <w:rPr>
      <w:rFonts w:hint="default" w:ascii="宋体" w:hAnsi="宋体" w:eastAsia="宋体"/>
      <w:sz w:val="24"/>
    </w:rPr>
  </w:style>
  <w:style w:type="paragraph" w:customStyle="1" w:styleId="61">
    <w:name w:val="HTML 预设格式 Char1"/>
    <w:basedOn w:val="1"/>
    <w:qFormat/>
    <w:uiPriority w:val="0"/>
    <w:pPr>
      <w:spacing w:line="240" w:lineRule="auto"/>
      <w:ind w:firstLine="0" w:firstLineChars="0"/>
      <w:jc w:val="left"/>
    </w:pPr>
    <w:rPr>
      <w:rFonts w:hint="default" w:ascii="宋体" w:hAnsi="宋体" w:eastAsia="宋体"/>
      <w:sz w:val="24"/>
    </w:rPr>
  </w:style>
  <w:style w:type="paragraph" w:customStyle="1" w:styleId="62">
    <w:name w:val="p42"/>
    <w:basedOn w:val="1"/>
    <w:qFormat/>
    <w:uiPriority w:val="0"/>
    <w:pPr>
      <w:spacing w:before="100" w:after="100" w:line="240" w:lineRule="auto"/>
      <w:ind w:firstLine="0" w:firstLineChars="0"/>
      <w:jc w:val="left"/>
    </w:pPr>
    <w:rPr>
      <w:rFonts w:hint="default" w:ascii="宋体" w:hAnsi="宋体" w:eastAsia="宋体"/>
      <w:sz w:val="24"/>
    </w:rPr>
  </w:style>
  <w:style w:type="paragraph" w:customStyle="1" w:styleId="63">
    <w:name w:val="p0"/>
    <w:basedOn w:val="1"/>
    <w:qFormat/>
    <w:uiPriority w:val="0"/>
    <w:pPr>
      <w:spacing w:line="240" w:lineRule="auto"/>
      <w:ind w:firstLine="0" w:firstLineChars="0"/>
      <w:jc w:val="left"/>
    </w:pPr>
    <w:rPr>
      <w:rFonts w:hint="default" w:ascii="宋体" w:hAnsi="宋体" w:eastAsia="宋体"/>
      <w:sz w:val="24"/>
    </w:rPr>
  </w:style>
  <w:style w:type="paragraph" w:customStyle="1" w:styleId="64">
    <w:name w:val="p38"/>
    <w:basedOn w:val="1"/>
    <w:qFormat/>
    <w:uiPriority w:val="0"/>
    <w:pPr>
      <w:spacing w:line="240" w:lineRule="auto"/>
      <w:ind w:firstLine="0" w:firstLineChars="0"/>
      <w:jc w:val="left"/>
    </w:pPr>
    <w:rPr>
      <w:rFonts w:hint="default" w:ascii="宋体" w:hAnsi="宋体" w:eastAsia="宋体"/>
      <w:sz w:val="24"/>
    </w:rPr>
  </w:style>
  <w:style w:type="character" w:customStyle="1" w:styleId="65">
    <w:name w:val="18"/>
    <w:basedOn w:val="22"/>
    <w:qFormat/>
    <w:uiPriority w:val="0"/>
    <w:rPr>
      <w:rFonts w:hint="default" w:ascii="Times New Roman" w:hAnsi="Times New Roman" w:cs="Times New Roman"/>
    </w:rPr>
  </w:style>
  <w:style w:type="character" w:customStyle="1" w:styleId="66">
    <w:name w:val="21"/>
    <w:basedOn w:val="22"/>
    <w:qFormat/>
    <w:uiPriority w:val="0"/>
    <w:rPr>
      <w:rFonts w:hint="default" w:ascii="Times New Roman" w:hAnsi="Times New Roman" w:cs="Times New Roman"/>
      <w:b/>
      <w:bCs/>
    </w:rPr>
  </w:style>
  <w:style w:type="character" w:customStyle="1" w:styleId="67">
    <w:name w:val="22"/>
    <w:basedOn w:val="22"/>
    <w:qFormat/>
    <w:uiPriority w:val="0"/>
    <w:rPr>
      <w:rFonts w:hint="default" w:ascii="Times New Roman" w:hAnsi="Times New Roman" w:cs="Times New Roman"/>
    </w:rPr>
  </w:style>
  <w:style w:type="character" w:customStyle="1" w:styleId="68">
    <w:name w:val="25"/>
    <w:basedOn w:val="22"/>
    <w:qFormat/>
    <w:uiPriority w:val="0"/>
    <w:rPr>
      <w:rFonts w:hint="default" w:ascii="Times New Roman" w:hAnsi="Times New Roman" w:cs="Times New Roman"/>
    </w:rPr>
  </w:style>
  <w:style w:type="character" w:customStyle="1" w:styleId="69">
    <w:name w:val="26"/>
    <w:basedOn w:val="22"/>
    <w:qFormat/>
    <w:uiPriority w:val="0"/>
    <w:rPr>
      <w:rFonts w:hint="default" w:ascii="Times New Roman" w:hAnsi="Times New Roman" w:cs="Times New Roman"/>
    </w:rPr>
  </w:style>
  <w:style w:type="character" w:customStyle="1" w:styleId="70">
    <w:name w:val="27"/>
    <w:basedOn w:val="22"/>
    <w:qFormat/>
    <w:uiPriority w:val="0"/>
    <w:rPr>
      <w:rFonts w:hint="default" w:ascii="Times New Roman" w:hAnsi="Times New Roman" w:cs="Times New Roman"/>
    </w:rPr>
  </w:style>
  <w:style w:type="character" w:customStyle="1" w:styleId="71">
    <w:name w:val="28"/>
    <w:basedOn w:val="22"/>
    <w:qFormat/>
    <w:uiPriority w:val="0"/>
    <w:rPr>
      <w:rFonts w:hint="default" w:ascii="Times New Roman" w:hAnsi="Times New Roman" w:cs="Times New Roman"/>
    </w:rPr>
  </w:style>
  <w:style w:type="character" w:customStyle="1" w:styleId="72">
    <w:name w:val="29"/>
    <w:basedOn w:val="22"/>
    <w:qFormat/>
    <w:uiPriority w:val="0"/>
    <w:rPr>
      <w:rFonts w:hint="default" w:ascii="Times New Roman" w:hAnsi="Times New Roman" w:cs="Times New Roman"/>
    </w:rPr>
  </w:style>
  <w:style w:type="character" w:customStyle="1" w:styleId="73">
    <w:name w:val="30"/>
    <w:basedOn w:val="22"/>
    <w:qFormat/>
    <w:uiPriority w:val="0"/>
    <w:rPr>
      <w:rFonts w:hint="default" w:ascii="Times New Roman" w:hAnsi="Times New Roman" w:cs="Times New Roman"/>
    </w:rPr>
  </w:style>
  <w:style w:type="character" w:customStyle="1" w:styleId="74">
    <w:name w:val="31"/>
    <w:basedOn w:val="22"/>
    <w:qFormat/>
    <w:uiPriority w:val="0"/>
    <w:rPr>
      <w:rFonts w:hint="default" w:ascii="Times New Roman" w:hAnsi="Times New Roman" w:cs="Times New Roman"/>
    </w:rPr>
  </w:style>
  <w:style w:type="character" w:customStyle="1" w:styleId="75">
    <w:name w:val="32"/>
    <w:basedOn w:val="22"/>
    <w:qFormat/>
    <w:uiPriority w:val="0"/>
    <w:rPr>
      <w:rFonts w:hint="default" w:ascii="Times New Roman" w:hAnsi="Times New Roman" w:cs="Times New Roman"/>
    </w:rPr>
  </w:style>
  <w:style w:type="character" w:customStyle="1" w:styleId="76">
    <w:name w:val="33"/>
    <w:basedOn w:val="22"/>
    <w:qFormat/>
    <w:uiPriority w:val="0"/>
    <w:rPr>
      <w:rFonts w:hint="default" w:ascii="Times New Roman" w:hAnsi="Times New Roman" w:cs="Times New Roman"/>
    </w:rPr>
  </w:style>
  <w:style w:type="character" w:customStyle="1" w:styleId="77">
    <w:name w:val="34"/>
    <w:basedOn w:val="22"/>
    <w:qFormat/>
    <w:uiPriority w:val="0"/>
    <w:rPr>
      <w:rFonts w:hint="default" w:ascii="Times New Roman" w:hAnsi="Times New Roman" w:cs="Times New Roman"/>
    </w:rPr>
  </w:style>
  <w:style w:type="character" w:customStyle="1" w:styleId="78">
    <w:name w:val="font21"/>
    <w:basedOn w:val="22"/>
    <w:qFormat/>
    <w:uiPriority w:val="0"/>
    <w:rPr>
      <w:rFonts w:hint="eastAsia" w:ascii="仿宋" w:hAnsi="仿宋" w:eastAsia="仿宋" w:cs="仿宋"/>
      <w:color w:val="000000"/>
      <w:sz w:val="22"/>
      <w:szCs w:val="22"/>
      <w:u w:val="none"/>
    </w:rPr>
  </w:style>
  <w:style w:type="character" w:customStyle="1" w:styleId="79">
    <w:name w:val="font01"/>
    <w:basedOn w:val="22"/>
    <w:qFormat/>
    <w:uiPriority w:val="0"/>
    <w:rPr>
      <w:rFonts w:hint="eastAsia" w:ascii="仿宋" w:hAnsi="仿宋" w:eastAsia="仿宋" w:cs="仿宋"/>
      <w:b/>
      <w:color w:val="000000"/>
      <w:sz w:val="22"/>
      <w:szCs w:val="22"/>
      <w:u w:val="none"/>
    </w:rPr>
  </w:style>
  <w:style w:type="paragraph" w:customStyle="1" w:styleId="80">
    <w:name w:val="p32"/>
    <w:basedOn w:val="1"/>
    <w:qFormat/>
    <w:uiPriority w:val="0"/>
    <w:pPr>
      <w:ind w:firstLine="880"/>
      <w:jc w:val="left"/>
    </w:pPr>
    <w:rPr>
      <w:rFonts w:ascii="宋体" w:hAnsi="宋体" w:eastAsia="宋体"/>
      <w:sz w:val="24"/>
    </w:rPr>
  </w:style>
  <w:style w:type="paragraph" w:customStyle="1" w:styleId="81">
    <w:name w:val="p30"/>
    <w:basedOn w:val="1"/>
    <w:qFormat/>
    <w:uiPriority w:val="0"/>
    <w:pPr>
      <w:ind w:firstLine="880"/>
      <w:jc w:val="left"/>
    </w:pPr>
    <w:rPr>
      <w:rFonts w:ascii="宋体" w:hAnsi="宋体" w:eastAsia="宋体"/>
      <w:sz w:val="24"/>
    </w:rPr>
  </w:style>
  <w:style w:type="paragraph" w:customStyle="1" w:styleId="82">
    <w:name w:val="p27"/>
    <w:basedOn w:val="1"/>
    <w:qFormat/>
    <w:uiPriority w:val="0"/>
    <w:pPr>
      <w:ind w:firstLine="880"/>
      <w:jc w:val="left"/>
    </w:pPr>
    <w:rPr>
      <w:rFonts w:ascii="宋体" w:hAnsi="宋体" w:eastAsia="宋体"/>
      <w:sz w:val="24"/>
    </w:rPr>
  </w:style>
  <w:style w:type="paragraph" w:customStyle="1" w:styleId="83">
    <w:name w:val="p29"/>
    <w:basedOn w:val="1"/>
    <w:qFormat/>
    <w:uiPriority w:val="0"/>
    <w:pPr>
      <w:spacing w:before="100" w:after="100"/>
      <w:ind w:firstLine="880"/>
      <w:jc w:val="left"/>
    </w:pPr>
    <w:rPr>
      <w:rFonts w:ascii="宋体" w:hAnsi="宋体" w:eastAsia="宋体"/>
      <w:sz w:val="24"/>
    </w:rPr>
  </w:style>
  <w:style w:type="paragraph" w:customStyle="1" w:styleId="84">
    <w:name w:val="p31"/>
    <w:basedOn w:val="1"/>
    <w:qFormat/>
    <w:uiPriority w:val="0"/>
    <w:pPr>
      <w:ind w:firstLine="880"/>
      <w:jc w:val="left"/>
    </w:pPr>
    <w:rPr>
      <w:rFonts w:ascii="宋体" w:hAnsi="宋体" w:eastAsia="宋体"/>
      <w:sz w:val="18"/>
      <w:szCs w:val="18"/>
    </w:rPr>
  </w:style>
  <w:style w:type="paragraph" w:customStyle="1" w:styleId="85">
    <w:name w:val="p28"/>
    <w:basedOn w:val="1"/>
    <w:qFormat/>
    <w:uiPriority w:val="0"/>
    <w:pPr>
      <w:spacing w:before="100" w:after="100"/>
      <w:ind w:firstLine="880"/>
      <w:jc w:val="left"/>
    </w:pPr>
    <w:rPr>
      <w:rFonts w:ascii="宋体" w:hAnsi="宋体" w:eastAsia="宋体"/>
      <w:sz w:val="24"/>
    </w:rPr>
  </w:style>
  <w:style w:type="paragraph" w:customStyle="1" w:styleId="86">
    <w:name w:val="p26"/>
    <w:basedOn w:val="1"/>
    <w:qFormat/>
    <w:uiPriority w:val="0"/>
    <w:pPr>
      <w:jc w:val="left"/>
    </w:pPr>
    <w:rPr>
      <w:rFonts w:hint="default" w:ascii="宋体" w:hAnsi="宋体" w:eastAsia="宋体"/>
      <w:sz w:val="24"/>
    </w:rPr>
  </w:style>
  <w:style w:type="paragraph" w:customStyle="1" w:styleId="87">
    <w:name w:val="HTML 预设格式 Char Char"/>
    <w:basedOn w:val="1"/>
    <w:qFormat/>
    <w:uiPriority w:val="0"/>
    <w:pPr>
      <w:spacing w:line="240" w:lineRule="auto"/>
      <w:ind w:firstLine="0" w:firstLineChars="0"/>
      <w:jc w:val="left"/>
    </w:pPr>
    <w:rPr>
      <w:rFonts w:hint="default" w:ascii="宋体" w:hAnsi="宋体" w:eastAsia="宋体"/>
      <w:sz w:val="24"/>
    </w:rPr>
  </w:style>
  <w:style w:type="paragraph" w:customStyle="1" w:styleId="88">
    <w:name w:val="p25"/>
    <w:basedOn w:val="1"/>
    <w:qFormat/>
    <w:uiPriority w:val="0"/>
    <w:pPr>
      <w:jc w:val="left"/>
    </w:pPr>
    <w:rPr>
      <w:rFonts w:hint="default" w:ascii="宋体" w:hAnsi="宋体" w:eastAsia="宋体"/>
      <w:sz w:val="24"/>
    </w:rPr>
  </w:style>
  <w:style w:type="paragraph" w:customStyle="1" w:styleId="89">
    <w:name w:val="普通(网站) Char Char Char"/>
    <w:basedOn w:val="1"/>
    <w:qFormat/>
    <w:uiPriority w:val="0"/>
    <w:pPr>
      <w:spacing w:before="100" w:beforeAutospacing="1" w:after="100" w:afterAutospacing="1"/>
      <w:ind w:firstLine="880"/>
      <w:jc w:val="left"/>
    </w:pPr>
    <w:rPr>
      <w:rFonts w:hint="default" w:ascii="宋体" w:hAnsi="宋体" w:eastAsia="宋体"/>
      <w:sz w:val="24"/>
    </w:rPr>
  </w:style>
  <w:style w:type="paragraph" w:customStyle="1" w:styleId="90">
    <w:name w:val="msonormal1"/>
    <w:basedOn w:val="1"/>
    <w:qFormat/>
    <w:uiPriority w:val="0"/>
    <w:pPr>
      <w:spacing w:before="100" w:beforeAutospacing="1" w:after="100" w:afterAutospacing="1"/>
      <w:ind w:firstLine="880"/>
      <w:jc w:val="left"/>
    </w:pPr>
    <w:rPr>
      <w:rFonts w:hint="default" w:ascii="宋体" w:hAnsi="宋体" w:eastAsia="宋体"/>
      <w:sz w:val="24"/>
    </w:rPr>
  </w:style>
  <w:style w:type="paragraph" w:customStyle="1" w:styleId="91">
    <w:name w:val="普通(网站) Char Char"/>
    <w:basedOn w:val="1"/>
    <w:qFormat/>
    <w:uiPriority w:val="0"/>
    <w:pPr>
      <w:spacing w:before="100" w:beforeAutospacing="1" w:after="100" w:afterAutospacing="1"/>
      <w:ind w:firstLine="880"/>
      <w:jc w:val="left"/>
    </w:pPr>
    <w:rPr>
      <w:rFonts w:hint="default" w:ascii="宋体" w:hAnsi="宋体" w:eastAsia="宋体"/>
      <w:sz w:val="24"/>
    </w:rPr>
  </w:style>
  <w:style w:type="paragraph" w:customStyle="1" w:styleId="92">
    <w:name w:val="p Char"/>
    <w:basedOn w:val="1"/>
    <w:qFormat/>
    <w:uiPriority w:val="0"/>
    <w:pPr>
      <w:spacing w:before="100" w:beforeAutospacing="1" w:after="100" w:afterAutospacing="1"/>
      <w:ind w:firstLine="880"/>
      <w:jc w:val="left"/>
    </w:pPr>
    <w:rPr>
      <w:rFonts w:hint="default" w:ascii="宋体" w:hAnsi="宋体" w:eastAsia="宋体"/>
      <w:sz w:val="24"/>
    </w:rPr>
  </w:style>
  <w:style w:type="character" w:customStyle="1" w:styleId="93">
    <w:name w:val="35"/>
    <w:basedOn w:val="22"/>
    <w:qFormat/>
    <w:uiPriority w:val="0"/>
    <w:rPr>
      <w:rFonts w:hint="default" w:ascii="Times New Roman" w:hAnsi="Times New Roman" w:cs="Times New Roman"/>
    </w:rPr>
  </w:style>
  <w:style w:type="character" w:customStyle="1" w:styleId="94">
    <w:name w:val="36"/>
    <w:basedOn w:val="22"/>
    <w:qFormat/>
    <w:uiPriority w:val="0"/>
    <w:rPr>
      <w:rFonts w:hint="default" w:ascii="Times New Roman" w:hAnsi="Times New Roman" w:cs="Times New Roman"/>
    </w:rPr>
  </w:style>
  <w:style w:type="character" w:customStyle="1" w:styleId="95">
    <w:name w:val="37"/>
    <w:basedOn w:val="22"/>
    <w:qFormat/>
    <w:uiPriority w:val="0"/>
    <w:rPr>
      <w:rFonts w:hint="eastAsia" w:ascii="仿宋" w:hAnsi="仿宋" w:eastAsia="仿宋"/>
      <w:color w:val="000000"/>
      <w:sz w:val="22"/>
      <w:szCs w:val="22"/>
    </w:rPr>
  </w:style>
  <w:style w:type="character" w:customStyle="1" w:styleId="96">
    <w:name w:val="38"/>
    <w:basedOn w:val="22"/>
    <w:qFormat/>
    <w:uiPriority w:val="0"/>
    <w:rPr>
      <w:rFonts w:hint="default" w:ascii="Times New Roman" w:hAnsi="Times New Roman" w:cs="Times New Roman"/>
      <w:b/>
      <w:bCs/>
    </w:rPr>
  </w:style>
  <w:style w:type="paragraph" w:customStyle="1" w:styleId="97">
    <w:name w:val="p18"/>
    <w:basedOn w:val="1"/>
    <w:qFormat/>
    <w:uiPriority w:val="0"/>
    <w:pPr>
      <w:spacing w:before="100" w:after="100" w:line="240" w:lineRule="auto"/>
      <w:ind w:firstLine="0" w:firstLineChars="0"/>
      <w:jc w:val="left"/>
    </w:pPr>
    <w:rPr>
      <w:rFonts w:ascii="宋体" w:hAnsi="宋体" w:eastAsia="宋体"/>
      <w:sz w:val="24"/>
    </w:rPr>
  </w:style>
  <w:style w:type="paragraph" w:customStyle="1" w:styleId="98">
    <w:name w:val="p17"/>
    <w:basedOn w:val="1"/>
    <w:link w:val="174"/>
    <w:qFormat/>
    <w:uiPriority w:val="0"/>
    <w:pPr>
      <w:spacing w:before="100" w:after="100" w:line="240" w:lineRule="auto"/>
      <w:ind w:firstLine="0" w:firstLineChars="0"/>
      <w:jc w:val="left"/>
    </w:pPr>
    <w:rPr>
      <w:rFonts w:ascii="宋体" w:hAnsi="宋体" w:eastAsia="宋体"/>
      <w:sz w:val="24"/>
    </w:rPr>
  </w:style>
  <w:style w:type="paragraph" w:customStyle="1" w:styleId="99">
    <w:name w:val="p23"/>
    <w:basedOn w:val="1"/>
    <w:qFormat/>
    <w:uiPriority w:val="0"/>
    <w:pPr>
      <w:spacing w:line="240" w:lineRule="auto"/>
      <w:ind w:firstLine="0" w:firstLineChars="0"/>
      <w:jc w:val="left"/>
    </w:pPr>
    <w:rPr>
      <w:rFonts w:ascii="宋体" w:hAnsi="宋体" w:eastAsia="宋体"/>
      <w:sz w:val="24"/>
    </w:rPr>
  </w:style>
  <w:style w:type="paragraph" w:customStyle="1" w:styleId="100">
    <w:name w:val="p24"/>
    <w:basedOn w:val="1"/>
    <w:qFormat/>
    <w:uiPriority w:val="0"/>
    <w:pPr>
      <w:spacing w:line="240" w:lineRule="auto"/>
      <w:ind w:firstLine="0" w:firstLineChars="0"/>
      <w:jc w:val="left"/>
    </w:pPr>
    <w:rPr>
      <w:rFonts w:ascii="宋体" w:hAnsi="宋体" w:eastAsia="宋体"/>
      <w:sz w:val="24"/>
    </w:rPr>
  </w:style>
  <w:style w:type="paragraph" w:customStyle="1" w:styleId="101">
    <w:name w:val="p19"/>
    <w:basedOn w:val="1"/>
    <w:qFormat/>
    <w:uiPriority w:val="0"/>
    <w:pPr>
      <w:spacing w:line="240" w:lineRule="auto"/>
      <w:ind w:firstLine="0" w:firstLineChars="0"/>
      <w:jc w:val="left"/>
    </w:pPr>
    <w:rPr>
      <w:rFonts w:ascii="宋体" w:hAnsi="宋体" w:eastAsia="宋体"/>
      <w:sz w:val="24"/>
    </w:rPr>
  </w:style>
  <w:style w:type="paragraph" w:customStyle="1" w:styleId="102">
    <w:name w:val="pre Char"/>
    <w:basedOn w:val="1"/>
    <w:uiPriority w:val="0"/>
    <w:pPr>
      <w:spacing w:line="240" w:lineRule="auto"/>
      <w:ind w:firstLine="0" w:firstLineChars="0"/>
      <w:jc w:val="left"/>
    </w:pPr>
    <w:rPr>
      <w:rFonts w:ascii="宋体" w:hAnsi="宋体" w:eastAsia="宋体"/>
      <w:sz w:val="24"/>
    </w:rPr>
  </w:style>
  <w:style w:type="paragraph" w:customStyle="1" w:styleId="103">
    <w:name w:val="列出段落1"/>
    <w:basedOn w:val="1"/>
    <w:qFormat/>
    <w:uiPriority w:val="0"/>
    <w:pPr>
      <w:spacing w:line="240" w:lineRule="auto"/>
      <w:ind w:firstLine="420"/>
      <w:jc w:val="left"/>
    </w:pPr>
    <w:rPr>
      <w:rFonts w:ascii="宋体" w:hAnsi="宋体" w:eastAsia="宋体" w:cs="Times New Roman"/>
      <w:sz w:val="24"/>
    </w:rPr>
  </w:style>
  <w:style w:type="paragraph" w:styleId="104">
    <w:name w:val="List Paragraph"/>
    <w:basedOn w:val="1"/>
    <w:link w:val="212"/>
    <w:qFormat/>
    <w:uiPriority w:val="34"/>
    <w:pPr>
      <w:widowControl w:val="0"/>
      <w:spacing w:line="240" w:lineRule="auto"/>
      <w:ind w:firstLine="420"/>
    </w:pPr>
    <w:rPr>
      <w:rFonts w:hint="default" w:eastAsia="宋体" w:cs="Times New Roman"/>
      <w:kern w:val="2"/>
      <w:sz w:val="21"/>
      <w:szCs w:val="22"/>
    </w:rPr>
  </w:style>
  <w:style w:type="paragraph" w:customStyle="1" w:styleId="105">
    <w:name w:val="_Style 3"/>
    <w:basedOn w:val="1"/>
    <w:qFormat/>
    <w:uiPriority w:val="0"/>
    <w:pPr>
      <w:spacing w:line="240" w:lineRule="auto"/>
      <w:ind w:firstLine="200"/>
      <w:jc w:val="left"/>
    </w:pPr>
    <w:rPr>
      <w:rFonts w:ascii="宋体" w:hAnsi="宋体" w:eastAsia="宋体" w:cs="Times New Roman"/>
      <w:sz w:val="24"/>
    </w:rPr>
  </w:style>
  <w:style w:type="paragraph" w:customStyle="1" w:styleId="106">
    <w:name w:val="_Style 4"/>
    <w:basedOn w:val="1"/>
    <w:qFormat/>
    <w:uiPriority w:val="34"/>
    <w:pPr>
      <w:spacing w:line="240" w:lineRule="auto"/>
      <w:ind w:firstLine="420"/>
      <w:jc w:val="left"/>
    </w:pPr>
    <w:rPr>
      <w:rFonts w:hint="default" w:cs="Times New Roman" w:asciiTheme="minorEastAsia" w:hAnsiTheme="minorEastAsia" w:eastAsiaTheme="minorEastAsia"/>
      <w:sz w:val="24"/>
    </w:rPr>
  </w:style>
  <w:style w:type="paragraph" w:customStyle="1" w:styleId="107">
    <w:name w:val="无间隔1"/>
    <w:basedOn w:val="1"/>
    <w:qFormat/>
    <w:uiPriority w:val="99"/>
    <w:pPr>
      <w:widowControl w:val="0"/>
      <w:spacing w:line="240" w:lineRule="auto"/>
      <w:ind w:firstLine="0" w:firstLineChars="0"/>
    </w:pPr>
    <w:rPr>
      <w:rFonts w:hint="default" w:eastAsia="宋体" w:cs="Times New Roman"/>
      <w:kern w:val="2"/>
      <w:sz w:val="21"/>
      <w:szCs w:val="21"/>
    </w:rPr>
  </w:style>
  <w:style w:type="paragraph" w:customStyle="1" w:styleId="108">
    <w:name w:val="HTML 预设格式 Char Char Char"/>
    <w:basedOn w:val="1"/>
    <w:qFormat/>
    <w:uiPriority w:val="0"/>
    <w:pPr>
      <w:ind w:firstLine="881"/>
      <w:jc w:val="left"/>
    </w:pPr>
    <w:rPr>
      <w:rFonts w:hint="default" w:ascii="宋体" w:hAnsi="宋体" w:eastAsia="宋体"/>
      <w:sz w:val="24"/>
    </w:rPr>
  </w:style>
  <w:style w:type="character" w:customStyle="1" w:styleId="109">
    <w:name w:val="font91"/>
    <w:qFormat/>
    <w:uiPriority w:val="0"/>
    <w:rPr>
      <w:rFonts w:ascii="仿宋" w:eastAsia="仿宋" w:cs="仿宋"/>
      <w:color w:val="000000"/>
      <w:sz w:val="22"/>
      <w:szCs w:val="22"/>
      <w:u w:val="none"/>
      <w:lang w:bidi="ar-SA"/>
    </w:rPr>
  </w:style>
  <w:style w:type="character" w:customStyle="1" w:styleId="110">
    <w:name w:val="font31"/>
    <w:qFormat/>
    <w:uiPriority w:val="0"/>
    <w:rPr>
      <w:rFonts w:hint="eastAsia" w:ascii="宋体" w:hAnsi="宋体" w:eastAsia="宋体" w:cs="宋体"/>
      <w:color w:val="000000"/>
      <w:sz w:val="20"/>
      <w:szCs w:val="20"/>
      <w:u w:val="none"/>
    </w:rPr>
  </w:style>
  <w:style w:type="character" w:customStyle="1" w:styleId="111">
    <w:name w:val="font51"/>
    <w:qFormat/>
    <w:uiPriority w:val="0"/>
    <w:rPr>
      <w:rFonts w:hint="eastAsia" w:ascii="仿宋" w:hAnsi="仿宋" w:eastAsia="仿宋" w:cs="仿宋"/>
      <w:color w:val="000000"/>
      <w:sz w:val="22"/>
      <w:szCs w:val="22"/>
      <w:u w:val="none"/>
    </w:rPr>
  </w:style>
  <w:style w:type="character" w:customStyle="1" w:styleId="112">
    <w:name w:val="font121"/>
    <w:qFormat/>
    <w:uiPriority w:val="0"/>
    <w:rPr>
      <w:rFonts w:hint="eastAsia" w:ascii="仿宋" w:hAnsi="仿宋" w:eastAsia="仿宋" w:cs="仿宋"/>
      <w:color w:val="000000"/>
      <w:sz w:val="22"/>
      <w:szCs w:val="22"/>
      <w:u w:val="none"/>
    </w:rPr>
  </w:style>
  <w:style w:type="character" w:customStyle="1" w:styleId="113">
    <w:name w:val="clicked2"/>
    <w:qFormat/>
    <w:uiPriority w:val="0"/>
    <w:rPr>
      <w:color w:val="000000"/>
    </w:rPr>
  </w:style>
  <w:style w:type="character" w:customStyle="1" w:styleId="114">
    <w:name w:val="clicked1"/>
    <w:basedOn w:val="22"/>
    <w:uiPriority w:val="0"/>
  </w:style>
  <w:style w:type="character" w:customStyle="1" w:styleId="115">
    <w:name w:val="font61"/>
    <w:qFormat/>
    <w:uiPriority w:val="0"/>
    <w:rPr>
      <w:rFonts w:ascii="宋体" w:hAnsi="宋体" w:eastAsia="宋体" w:cs="宋体"/>
      <w:color w:val="000000"/>
      <w:sz w:val="20"/>
      <w:szCs w:val="20"/>
      <w:u w:val="none"/>
    </w:rPr>
  </w:style>
  <w:style w:type="character" w:customStyle="1" w:styleId="116">
    <w:name w:val="newstitle"/>
    <w:qFormat/>
    <w:uiPriority w:val="0"/>
    <w:rPr>
      <w:b/>
      <w:color w:val="000000"/>
      <w:sz w:val="24"/>
      <w:szCs w:val="24"/>
    </w:rPr>
  </w:style>
  <w:style w:type="character" w:customStyle="1" w:styleId="117">
    <w:name w:val="font41"/>
    <w:qFormat/>
    <w:uiPriority w:val="0"/>
    <w:rPr>
      <w:rFonts w:hint="eastAsia" w:ascii="仿宋" w:hAnsi="仿宋" w:eastAsia="仿宋" w:cs="仿宋"/>
      <w:b/>
      <w:color w:val="000000"/>
      <w:sz w:val="22"/>
      <w:szCs w:val="22"/>
      <w:u w:val="none"/>
    </w:rPr>
  </w:style>
  <w:style w:type="character" w:customStyle="1" w:styleId="118">
    <w:name w:val="image"/>
    <w:basedOn w:val="22"/>
    <w:qFormat/>
    <w:uiPriority w:val="0"/>
  </w:style>
  <w:style w:type="character" w:customStyle="1" w:styleId="119">
    <w:name w:val="font161"/>
    <w:qFormat/>
    <w:uiPriority w:val="0"/>
    <w:rPr>
      <w:rFonts w:hint="default" w:ascii="仿宋" w:hAnsi="仿宋" w:eastAsia="仿宋" w:cs="仿宋"/>
      <w:b/>
      <w:color w:val="000000"/>
      <w:sz w:val="22"/>
      <w:szCs w:val="22"/>
      <w:u w:val="none"/>
    </w:rPr>
  </w:style>
  <w:style w:type="character" w:customStyle="1" w:styleId="120">
    <w:name w:val="font151"/>
    <w:qFormat/>
    <w:uiPriority w:val="0"/>
    <w:rPr>
      <w:rFonts w:hint="default" w:ascii="仿宋" w:hAnsi="仿宋" w:eastAsia="仿宋" w:cs="仿宋"/>
      <w:b/>
      <w:color w:val="000000"/>
      <w:sz w:val="22"/>
      <w:szCs w:val="22"/>
      <w:u w:val="none"/>
    </w:rPr>
  </w:style>
  <w:style w:type="character" w:customStyle="1" w:styleId="121">
    <w:name w:val="group"/>
    <w:basedOn w:val="22"/>
    <w:qFormat/>
    <w:uiPriority w:val="0"/>
  </w:style>
  <w:style w:type="character" w:customStyle="1" w:styleId="122">
    <w:name w:val="image2"/>
    <w:basedOn w:val="22"/>
    <w:qFormat/>
    <w:uiPriority w:val="0"/>
  </w:style>
  <w:style w:type="character" w:customStyle="1" w:styleId="123">
    <w:name w:val="clicked"/>
    <w:basedOn w:val="22"/>
    <w:uiPriority w:val="0"/>
  </w:style>
  <w:style w:type="character" w:customStyle="1" w:styleId="124">
    <w:name w:val="font71"/>
    <w:qFormat/>
    <w:uiPriority w:val="0"/>
    <w:rPr>
      <w:rFonts w:hint="eastAsia" w:ascii="仿宋" w:hAnsi="仿宋" w:eastAsia="仿宋" w:cs="仿宋"/>
      <w:b/>
      <w:color w:val="000000"/>
      <w:sz w:val="22"/>
      <w:szCs w:val="22"/>
      <w:u w:val="none"/>
    </w:rPr>
  </w:style>
  <w:style w:type="character" w:customStyle="1" w:styleId="125">
    <w:name w:val="ui-state-default13"/>
    <w:basedOn w:val="22"/>
    <w:qFormat/>
    <w:uiPriority w:val="0"/>
  </w:style>
  <w:style w:type="character" w:customStyle="1" w:styleId="126">
    <w:name w:val="directchildrenspan"/>
    <w:basedOn w:val="22"/>
    <w:uiPriority w:val="0"/>
  </w:style>
  <w:style w:type="character" w:customStyle="1" w:styleId="127">
    <w:name w:val="button-hover"/>
    <w:basedOn w:val="22"/>
    <w:qFormat/>
    <w:uiPriority w:val="0"/>
  </w:style>
  <w:style w:type="character" w:customStyle="1" w:styleId="128">
    <w:name w:val="font12"/>
    <w:qFormat/>
    <w:uiPriority w:val="0"/>
    <w:rPr>
      <w:rFonts w:hint="eastAsia" w:ascii="仿宋" w:hAnsi="仿宋" w:eastAsia="仿宋" w:cs="仿宋"/>
      <w:b/>
      <w:color w:val="000000"/>
      <w:sz w:val="22"/>
      <w:szCs w:val="22"/>
      <w:u w:val="none"/>
    </w:rPr>
  </w:style>
  <w:style w:type="character" w:customStyle="1" w:styleId="129">
    <w:name w:val="ui-state-hover21"/>
    <w:basedOn w:val="22"/>
    <w:uiPriority w:val="0"/>
  </w:style>
  <w:style w:type="character" w:customStyle="1" w:styleId="130">
    <w:name w:val="button-hover1"/>
    <w:basedOn w:val="22"/>
    <w:qFormat/>
    <w:uiPriority w:val="0"/>
  </w:style>
  <w:style w:type="character" w:customStyle="1" w:styleId="131">
    <w:name w:val="image3"/>
    <w:basedOn w:val="22"/>
    <w:qFormat/>
    <w:uiPriority w:val="0"/>
  </w:style>
  <w:style w:type="character" w:customStyle="1" w:styleId="132">
    <w:name w:val="ui-state-default12"/>
    <w:basedOn w:val="22"/>
    <w:qFormat/>
    <w:uiPriority w:val="0"/>
  </w:style>
  <w:style w:type="character" w:customStyle="1" w:styleId="133">
    <w:name w:val="item-middle"/>
    <w:basedOn w:val="22"/>
    <w:qFormat/>
    <w:uiPriority w:val="0"/>
  </w:style>
  <w:style w:type="character" w:customStyle="1" w:styleId="134">
    <w:name w:val="ui-state-active6"/>
    <w:basedOn w:val="22"/>
    <w:qFormat/>
    <w:uiPriority w:val="0"/>
  </w:style>
  <w:style w:type="character" w:customStyle="1" w:styleId="135">
    <w:name w:val="ui-icon33"/>
    <w:basedOn w:val="22"/>
    <w:qFormat/>
    <w:uiPriority w:val="0"/>
  </w:style>
  <w:style w:type="character" w:customStyle="1" w:styleId="136">
    <w:name w:val="imgspan"/>
    <w:basedOn w:val="22"/>
    <w:qFormat/>
    <w:uiPriority w:val="0"/>
  </w:style>
  <w:style w:type="paragraph" w:customStyle="1" w:styleId="137">
    <w:name w:val="msolistparagraph"/>
    <w:basedOn w:val="1"/>
    <w:qFormat/>
    <w:uiPriority w:val="0"/>
    <w:pPr>
      <w:widowControl w:val="0"/>
      <w:ind w:firstLine="420"/>
    </w:pPr>
    <w:rPr>
      <w:rFonts w:hint="default" w:ascii="Calibri" w:hAnsi="Calibri" w:eastAsia="宋体" w:cs="Times New Roman"/>
      <w:kern w:val="2"/>
      <w:sz w:val="21"/>
      <w:szCs w:val="21"/>
    </w:rPr>
  </w:style>
  <w:style w:type="character" w:customStyle="1" w:styleId="138">
    <w:name w:val="正文文本 Char"/>
    <w:basedOn w:val="22"/>
    <w:link w:val="10"/>
    <w:uiPriority w:val="1"/>
    <w:rPr>
      <w:rFonts w:ascii="方正仿宋_GBK" w:hAnsi="方正仿宋_GBK" w:eastAsia="方正仿宋_GBK"/>
      <w:sz w:val="32"/>
      <w:szCs w:val="32"/>
    </w:rPr>
  </w:style>
  <w:style w:type="paragraph" w:customStyle="1" w:styleId="139">
    <w:name w:val="p21"/>
    <w:basedOn w:val="1"/>
    <w:qFormat/>
    <w:uiPriority w:val="0"/>
    <w:pPr>
      <w:spacing w:before="100" w:after="100"/>
      <w:jc w:val="left"/>
    </w:pPr>
    <w:rPr>
      <w:rFonts w:ascii="宋体" w:hAnsi="宋体" w:eastAsia="宋体"/>
      <w:sz w:val="24"/>
    </w:rPr>
  </w:style>
  <w:style w:type="paragraph" w:customStyle="1" w:styleId="140">
    <w:name w:val="_Style 5"/>
    <w:basedOn w:val="1"/>
    <w:qFormat/>
    <w:uiPriority w:val="34"/>
    <w:pPr>
      <w:ind w:firstLine="420"/>
    </w:pPr>
    <w:rPr>
      <w:rFonts w:cs="Times New Roman"/>
    </w:rPr>
  </w:style>
  <w:style w:type="paragraph" w:customStyle="1" w:styleId="141">
    <w:name w:val="msonormal"/>
    <w:basedOn w:val="1"/>
    <w:qFormat/>
    <w:uiPriority w:val="0"/>
    <w:pPr>
      <w:spacing w:before="100" w:beforeAutospacing="1" w:after="100" w:afterAutospacing="1"/>
      <w:jc w:val="left"/>
    </w:pPr>
    <w:rPr>
      <w:rFonts w:ascii="宋体" w:hAnsi="宋体" w:eastAsia="宋体" w:cs="Times New Roman"/>
      <w:sz w:val="24"/>
    </w:rPr>
  </w:style>
  <w:style w:type="paragraph" w:customStyle="1" w:styleId="142">
    <w:name w:val="_Style 2"/>
    <w:basedOn w:val="1"/>
    <w:qFormat/>
    <w:uiPriority w:val="34"/>
    <w:pPr>
      <w:ind w:firstLine="420"/>
    </w:pPr>
    <w:rPr>
      <w:rFonts w:cs="Times New Roman"/>
    </w:rPr>
  </w:style>
  <w:style w:type="paragraph" w:customStyle="1" w:styleId="143">
    <w:name w:val="p16"/>
    <w:basedOn w:val="1"/>
    <w:qFormat/>
    <w:uiPriority w:val="0"/>
    <w:pPr>
      <w:spacing w:before="100" w:after="100"/>
      <w:jc w:val="left"/>
    </w:pPr>
    <w:rPr>
      <w:rFonts w:ascii="宋体" w:hAnsi="宋体" w:eastAsia="宋体"/>
      <w:sz w:val="24"/>
    </w:rPr>
  </w:style>
  <w:style w:type="character" w:customStyle="1" w:styleId="144">
    <w:name w:val="纯文本 Char"/>
    <w:basedOn w:val="22"/>
    <w:link w:val="11"/>
    <w:qFormat/>
    <w:uiPriority w:val="0"/>
    <w:rPr>
      <w:rFonts w:ascii="宋体" w:hAnsi="Courier New" w:eastAsia="方正仿宋_GBK"/>
      <w:sz w:val="30"/>
      <w:szCs w:val="24"/>
    </w:rPr>
  </w:style>
  <w:style w:type="paragraph" w:customStyle="1" w:styleId="145">
    <w:name w:val="普通(网站) Char Char Char Char Char Char"/>
    <w:basedOn w:val="1"/>
    <w:qFormat/>
    <w:uiPriority w:val="0"/>
    <w:pPr>
      <w:spacing w:before="100" w:beforeAutospacing="1" w:after="100" w:afterAutospacing="1"/>
      <w:ind w:firstLine="880"/>
      <w:jc w:val="left"/>
    </w:pPr>
    <w:rPr>
      <w:rFonts w:hint="default" w:ascii="宋体" w:hAnsi="宋体" w:eastAsia="宋体"/>
      <w:sz w:val="24"/>
    </w:rPr>
  </w:style>
  <w:style w:type="paragraph" w:customStyle="1" w:styleId="146">
    <w:name w:val="普通(网站) Char Char Char Char"/>
    <w:basedOn w:val="1"/>
    <w:qFormat/>
    <w:uiPriority w:val="0"/>
    <w:pPr>
      <w:spacing w:before="100" w:beforeAutospacing="1" w:after="100" w:afterAutospacing="1"/>
      <w:ind w:firstLine="880"/>
      <w:jc w:val="left"/>
    </w:pPr>
    <w:rPr>
      <w:rFonts w:hint="default" w:ascii="宋体" w:hAnsi="宋体" w:eastAsia="宋体"/>
      <w:sz w:val="24"/>
    </w:rPr>
  </w:style>
  <w:style w:type="paragraph" w:customStyle="1" w:styleId="147">
    <w:name w:val="p Char Char"/>
    <w:basedOn w:val="1"/>
    <w:qFormat/>
    <w:uiPriority w:val="0"/>
    <w:pPr>
      <w:spacing w:before="100" w:beforeAutospacing="1" w:after="100" w:afterAutospacing="1"/>
      <w:ind w:firstLine="880"/>
      <w:jc w:val="left"/>
    </w:pPr>
    <w:rPr>
      <w:rFonts w:hint="default" w:ascii="宋体" w:hAnsi="宋体" w:eastAsia="宋体"/>
      <w:sz w:val="24"/>
    </w:rPr>
  </w:style>
  <w:style w:type="paragraph" w:customStyle="1" w:styleId="148">
    <w:name w:val="普通(网站) Char Char Char Char Char"/>
    <w:basedOn w:val="1"/>
    <w:qFormat/>
    <w:uiPriority w:val="0"/>
    <w:pPr>
      <w:spacing w:before="100" w:beforeAutospacing="1" w:after="100" w:afterAutospacing="1"/>
      <w:ind w:firstLine="880"/>
      <w:jc w:val="left"/>
    </w:pPr>
    <w:rPr>
      <w:rFonts w:hint="default" w:ascii="宋体" w:hAnsi="宋体" w:eastAsia="宋体"/>
      <w:sz w:val="24"/>
    </w:rPr>
  </w:style>
  <w:style w:type="paragraph" w:customStyle="1" w:styleId="149">
    <w:name w:val="HTML 预设格式 Char Char Char Char"/>
    <w:basedOn w:val="1"/>
    <w:qFormat/>
    <w:uiPriority w:val="0"/>
    <w:pPr>
      <w:ind w:firstLine="880"/>
      <w:jc w:val="left"/>
    </w:pPr>
    <w:rPr>
      <w:rFonts w:hint="default" w:ascii="宋体" w:hAnsi="宋体" w:eastAsia="宋体"/>
      <w:sz w:val="24"/>
    </w:rPr>
  </w:style>
  <w:style w:type="character" w:customStyle="1" w:styleId="150">
    <w:name w:val="39"/>
    <w:basedOn w:val="22"/>
    <w:qFormat/>
    <w:uiPriority w:val="0"/>
    <w:rPr>
      <w:rFonts w:hint="default" w:ascii="Times New Roman" w:hAnsi="Times New Roman" w:cs="Times New Roman"/>
    </w:rPr>
  </w:style>
  <w:style w:type="character" w:customStyle="1" w:styleId="151">
    <w:name w:val="40"/>
    <w:basedOn w:val="22"/>
    <w:qFormat/>
    <w:uiPriority w:val="0"/>
    <w:rPr>
      <w:rFonts w:hint="default" w:ascii="Times New Roman" w:hAnsi="Times New Roman" w:cs="Times New Roman"/>
    </w:rPr>
  </w:style>
  <w:style w:type="character" w:customStyle="1" w:styleId="152">
    <w:name w:val="41"/>
    <w:basedOn w:val="22"/>
    <w:qFormat/>
    <w:uiPriority w:val="0"/>
    <w:rPr>
      <w:rFonts w:hint="default" w:ascii="Times New Roman" w:hAnsi="Times New Roman" w:cs="Times New Roman"/>
      <w:b/>
      <w:bCs/>
    </w:rPr>
  </w:style>
  <w:style w:type="character" w:customStyle="1" w:styleId="153">
    <w:name w:val="42"/>
    <w:basedOn w:val="22"/>
    <w:qFormat/>
    <w:uiPriority w:val="0"/>
    <w:rPr>
      <w:rFonts w:hint="default" w:ascii="Times New Roman" w:hAnsi="Times New Roman" w:cs="Times New Roman"/>
    </w:rPr>
  </w:style>
  <w:style w:type="character" w:customStyle="1" w:styleId="154">
    <w:name w:val="43"/>
    <w:basedOn w:val="22"/>
    <w:qFormat/>
    <w:uiPriority w:val="0"/>
    <w:rPr>
      <w:rFonts w:hint="default" w:ascii="Times New Roman" w:hAnsi="Times New Roman" w:cs="Times New Roman"/>
    </w:rPr>
  </w:style>
  <w:style w:type="character" w:customStyle="1" w:styleId="155">
    <w:name w:val="44"/>
    <w:basedOn w:val="22"/>
    <w:uiPriority w:val="0"/>
    <w:rPr>
      <w:rFonts w:hint="eastAsia" w:ascii="宋体" w:hAnsi="宋体" w:eastAsia="宋体"/>
      <w:b/>
      <w:bCs/>
      <w:sz w:val="28"/>
      <w:szCs w:val="28"/>
    </w:rPr>
  </w:style>
  <w:style w:type="character" w:customStyle="1" w:styleId="156">
    <w:name w:val="45"/>
    <w:basedOn w:val="22"/>
    <w:qFormat/>
    <w:uiPriority w:val="0"/>
    <w:rPr>
      <w:rFonts w:hint="default" w:ascii="Times New Roman" w:hAnsi="Times New Roman" w:cs="Times New Roman"/>
    </w:rPr>
  </w:style>
  <w:style w:type="character" w:customStyle="1" w:styleId="157">
    <w:name w:val="46"/>
    <w:basedOn w:val="22"/>
    <w:qFormat/>
    <w:uiPriority w:val="0"/>
    <w:rPr>
      <w:rFonts w:hint="default" w:ascii="Times New Roman" w:hAnsi="Times New Roman" w:cs="Times New Roman"/>
    </w:rPr>
  </w:style>
  <w:style w:type="character" w:customStyle="1" w:styleId="158">
    <w:name w:val="47"/>
    <w:basedOn w:val="22"/>
    <w:uiPriority w:val="0"/>
    <w:rPr>
      <w:rFonts w:hint="default" w:ascii="Times New Roman" w:hAnsi="Times New Roman" w:cs="Times New Roman"/>
    </w:rPr>
  </w:style>
  <w:style w:type="character" w:customStyle="1" w:styleId="159">
    <w:name w:val="48"/>
    <w:basedOn w:val="22"/>
    <w:qFormat/>
    <w:uiPriority w:val="0"/>
    <w:rPr>
      <w:rFonts w:hint="default" w:ascii="Times New Roman" w:hAnsi="Times New Roman" w:cs="Times New Roman"/>
    </w:rPr>
  </w:style>
  <w:style w:type="character" w:customStyle="1" w:styleId="160">
    <w:name w:val="49"/>
    <w:basedOn w:val="22"/>
    <w:qFormat/>
    <w:uiPriority w:val="0"/>
    <w:rPr>
      <w:rFonts w:hint="default" w:ascii="Cambria" w:hAnsi="Cambria" w:eastAsia="宋体" w:cs="Times New Roman"/>
      <w:b/>
      <w:bCs/>
      <w:sz w:val="32"/>
      <w:szCs w:val="32"/>
    </w:rPr>
  </w:style>
  <w:style w:type="character" w:customStyle="1" w:styleId="161">
    <w:name w:val="50"/>
    <w:basedOn w:val="22"/>
    <w:uiPriority w:val="0"/>
    <w:rPr>
      <w:rFonts w:hint="default" w:ascii="Times New Roman" w:hAnsi="Times New Roman" w:cs="Times New Roman"/>
    </w:rPr>
  </w:style>
  <w:style w:type="character" w:customStyle="1" w:styleId="162">
    <w:name w:val="51"/>
    <w:basedOn w:val="22"/>
    <w:qFormat/>
    <w:uiPriority w:val="0"/>
    <w:rPr>
      <w:rFonts w:hint="eastAsia" w:ascii="宋体" w:hAnsi="宋体" w:eastAsia="宋体"/>
      <w:b/>
      <w:bCs/>
      <w:kern w:val="44"/>
      <w:sz w:val="44"/>
      <w:szCs w:val="44"/>
    </w:rPr>
  </w:style>
  <w:style w:type="character" w:customStyle="1" w:styleId="163">
    <w:name w:val="52"/>
    <w:basedOn w:val="22"/>
    <w:qFormat/>
    <w:uiPriority w:val="0"/>
    <w:rPr>
      <w:rFonts w:hint="default" w:ascii="Cambria" w:hAnsi="Cambria" w:eastAsia="宋体" w:cs="Times New Roman"/>
      <w:b/>
      <w:bCs/>
      <w:sz w:val="24"/>
      <w:szCs w:val="24"/>
    </w:rPr>
  </w:style>
  <w:style w:type="character" w:customStyle="1" w:styleId="164">
    <w:name w:val="53"/>
    <w:basedOn w:val="22"/>
    <w:uiPriority w:val="0"/>
    <w:rPr>
      <w:rFonts w:hint="default" w:ascii="Times New Roman" w:hAnsi="Times New Roman" w:cs="Times New Roman"/>
    </w:rPr>
  </w:style>
  <w:style w:type="character" w:customStyle="1" w:styleId="165">
    <w:name w:val="54"/>
    <w:basedOn w:val="22"/>
    <w:qFormat/>
    <w:uiPriority w:val="0"/>
    <w:rPr>
      <w:rFonts w:hint="eastAsia" w:ascii="宋体" w:hAnsi="宋体" w:eastAsia="宋体"/>
      <w:sz w:val="18"/>
      <w:szCs w:val="18"/>
    </w:rPr>
  </w:style>
  <w:style w:type="character" w:customStyle="1" w:styleId="166">
    <w:name w:val="55"/>
    <w:basedOn w:val="22"/>
    <w:qFormat/>
    <w:uiPriority w:val="0"/>
    <w:rPr>
      <w:rFonts w:hint="default" w:ascii="Times New Roman" w:hAnsi="Times New Roman" w:cs="Times New Roman"/>
      <w:b/>
      <w:bCs/>
    </w:rPr>
  </w:style>
  <w:style w:type="character" w:customStyle="1" w:styleId="167">
    <w:name w:val="56"/>
    <w:basedOn w:val="22"/>
    <w:uiPriority w:val="0"/>
    <w:rPr>
      <w:rFonts w:hint="default" w:ascii="Cambria" w:hAnsi="Cambria" w:eastAsia="宋体" w:cs="Times New Roman"/>
      <w:b/>
      <w:bCs/>
      <w:sz w:val="28"/>
      <w:szCs w:val="28"/>
    </w:rPr>
  </w:style>
  <w:style w:type="paragraph" w:customStyle="1" w:styleId="168">
    <w:name w:val="BodyText1I"/>
    <w:basedOn w:val="169"/>
    <w:qFormat/>
    <w:uiPriority w:val="0"/>
    <w:pPr>
      <w:ind w:firstLine="100" w:firstLineChars="100"/>
    </w:pPr>
  </w:style>
  <w:style w:type="paragraph" w:customStyle="1" w:styleId="169">
    <w:name w:val="BodyText"/>
    <w:basedOn w:val="1"/>
    <w:uiPriority w:val="0"/>
    <w:pPr>
      <w:spacing w:line="600" w:lineRule="exact"/>
      <w:ind w:firstLine="0" w:firstLineChars="0"/>
      <w:jc w:val="center"/>
      <w:textAlignment w:val="baseline"/>
    </w:pPr>
    <w:rPr>
      <w:rFonts w:ascii="黑体" w:hAnsi="Calibri" w:eastAsia="黑体" w:cs="Times New Roman"/>
      <w:color w:val="000000"/>
      <w:sz w:val="36"/>
      <w:szCs w:val="36"/>
    </w:rPr>
  </w:style>
  <w:style w:type="character" w:customStyle="1" w:styleId="170">
    <w:name w:val="font81"/>
    <w:qFormat/>
    <w:uiPriority w:val="0"/>
    <w:rPr>
      <w:rFonts w:hint="eastAsia" w:ascii="宋体" w:hAnsi="宋体" w:eastAsia="宋体" w:cs="宋体"/>
      <w:color w:val="000000"/>
      <w:sz w:val="20"/>
      <w:szCs w:val="20"/>
      <w:u w:val="none"/>
    </w:rPr>
  </w:style>
  <w:style w:type="paragraph" w:customStyle="1" w:styleId="171">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172">
    <w:name w:val="标题 Char"/>
    <w:basedOn w:val="22"/>
    <w:link w:val="19"/>
    <w:qFormat/>
    <w:uiPriority w:val="10"/>
    <w:rPr>
      <w:rFonts w:ascii="Cambria" w:hAnsi="Cambria"/>
      <w:b/>
      <w:sz w:val="32"/>
      <w:szCs w:val="32"/>
    </w:rPr>
  </w:style>
  <w:style w:type="character" w:customStyle="1" w:styleId="173">
    <w:name w:val="页码1"/>
    <w:qFormat/>
    <w:uiPriority w:val="0"/>
    <w:rPr>
      <w:rFonts w:hint="default" w:ascii="Times New Roman" w:hAnsi="Times New Roman" w:cs="Times New Roman"/>
    </w:rPr>
  </w:style>
  <w:style w:type="character" w:customStyle="1" w:styleId="174">
    <w:name w:val="p17 Char"/>
    <w:link w:val="98"/>
    <w:qFormat/>
    <w:uiPriority w:val="0"/>
    <w:rPr>
      <w:rFonts w:ascii="宋体" w:hAnsi="宋体" w:cs="宋体"/>
      <w:sz w:val="24"/>
      <w:szCs w:val="24"/>
    </w:rPr>
  </w:style>
  <w:style w:type="paragraph" w:customStyle="1" w:styleId="175">
    <w:name w:val="p43"/>
    <w:basedOn w:val="1"/>
    <w:qFormat/>
    <w:uiPriority w:val="0"/>
    <w:pPr>
      <w:spacing w:line="240" w:lineRule="auto"/>
      <w:ind w:firstLine="0" w:firstLineChars="0"/>
      <w:jc w:val="left"/>
    </w:pPr>
    <w:rPr>
      <w:rFonts w:ascii="宋体" w:hAnsi="宋体" w:eastAsia="宋体" w:cs="Times New Roman"/>
      <w:sz w:val="24"/>
    </w:rPr>
  </w:style>
  <w:style w:type="paragraph" w:customStyle="1" w:styleId="176">
    <w:name w:val="列出段落11"/>
    <w:basedOn w:val="1"/>
    <w:qFormat/>
    <w:uiPriority w:val="99"/>
    <w:pPr>
      <w:spacing w:line="240" w:lineRule="auto"/>
      <w:ind w:firstLine="420"/>
      <w:jc w:val="left"/>
    </w:pPr>
    <w:rPr>
      <w:rFonts w:ascii="宋体" w:hAnsi="宋体" w:eastAsia="宋体" w:cs="Times New Roman"/>
      <w:sz w:val="24"/>
    </w:rPr>
  </w:style>
  <w:style w:type="paragraph" w:customStyle="1" w:styleId="177">
    <w:name w:val="p22"/>
    <w:basedOn w:val="1"/>
    <w:qFormat/>
    <w:uiPriority w:val="0"/>
    <w:pPr>
      <w:spacing w:line="240" w:lineRule="auto"/>
      <w:ind w:firstLine="0" w:firstLineChars="0"/>
      <w:jc w:val="left"/>
    </w:pPr>
    <w:rPr>
      <w:rFonts w:ascii="宋体" w:hAnsi="宋体" w:eastAsia="宋体" w:cs="Times New Roman"/>
      <w:sz w:val="24"/>
    </w:rPr>
  </w:style>
  <w:style w:type="paragraph" w:customStyle="1" w:styleId="178">
    <w:name w:val="样式1"/>
    <w:basedOn w:val="1"/>
    <w:qFormat/>
    <w:uiPriority w:val="0"/>
    <w:pPr>
      <w:spacing w:line="600" w:lineRule="exact"/>
      <w:ind w:firstLine="640"/>
      <w:jc w:val="left"/>
    </w:pPr>
    <w:rPr>
      <w:rFonts w:hint="default" w:cs="Times New Roman"/>
      <w:spacing w:val="-3"/>
      <w:szCs w:val="32"/>
    </w:rPr>
  </w:style>
  <w:style w:type="paragraph" w:customStyle="1" w:styleId="179">
    <w:name w:val="_Style 1"/>
    <w:basedOn w:val="1"/>
    <w:qFormat/>
    <w:uiPriority w:val="99"/>
    <w:pPr>
      <w:spacing w:line="240" w:lineRule="auto"/>
      <w:ind w:firstLine="420"/>
      <w:jc w:val="left"/>
    </w:pPr>
    <w:rPr>
      <w:rFonts w:ascii="宋体" w:hAnsi="宋体" w:eastAsia="宋体" w:cs="Times New Roman"/>
      <w:sz w:val="24"/>
    </w:rPr>
  </w:style>
  <w:style w:type="paragraph" w:customStyle="1" w:styleId="180">
    <w:name w:val="无间隔11"/>
    <w:basedOn w:val="1"/>
    <w:qFormat/>
    <w:uiPriority w:val="1"/>
    <w:pPr>
      <w:widowControl w:val="0"/>
      <w:spacing w:line="240" w:lineRule="auto"/>
      <w:ind w:firstLine="0" w:firstLineChars="0"/>
    </w:pPr>
    <w:rPr>
      <w:rFonts w:hint="default" w:ascii="Calibri" w:hAnsi="Calibri" w:eastAsia="宋体" w:cs="Times New Roman"/>
      <w:kern w:val="2"/>
      <w:sz w:val="21"/>
      <w:szCs w:val="22"/>
    </w:rPr>
  </w:style>
  <w:style w:type="paragraph" w:customStyle="1" w:styleId="181">
    <w:name w:val="WPSOffice手动目录 1"/>
    <w:qFormat/>
    <w:uiPriority w:val="0"/>
    <w:rPr>
      <w:rFonts w:ascii="Calibri" w:hAnsi="Calibri" w:eastAsia="宋体" w:cs="Times New Roman"/>
      <w:lang w:val="en-US" w:eastAsia="zh-CN" w:bidi="ar-SA"/>
    </w:rPr>
  </w:style>
  <w:style w:type="paragraph" w:customStyle="1" w:styleId="182">
    <w:name w:val="xl65"/>
    <w:basedOn w:val="1"/>
    <w:qFormat/>
    <w:uiPriority w:val="0"/>
    <w:pPr>
      <w:pBdr>
        <w:bottom w:val="single" w:color="000000" w:sz="4" w:space="0"/>
        <w:right w:val="single" w:color="000000" w:sz="4" w:space="0"/>
      </w:pBdr>
      <w:shd w:val="clear" w:color="000000" w:fill="FFFFFF"/>
      <w:spacing w:before="100" w:beforeAutospacing="1" w:after="100" w:afterAutospacing="1" w:line="240" w:lineRule="auto"/>
      <w:ind w:firstLine="0" w:firstLineChars="0"/>
      <w:jc w:val="right"/>
      <w:textAlignment w:val="center"/>
    </w:pPr>
    <w:rPr>
      <w:rFonts w:hint="default" w:ascii="宋体" w:hAnsi="宋体" w:eastAsia="宋体"/>
      <w:sz w:val="24"/>
    </w:rPr>
  </w:style>
  <w:style w:type="paragraph" w:customStyle="1" w:styleId="183">
    <w:name w:val="xl66"/>
    <w:basedOn w:val="1"/>
    <w:qFormat/>
    <w:uiPriority w:val="0"/>
    <w:pPr>
      <w:pBdr>
        <w:bottom w:val="single" w:color="000000" w:sz="4" w:space="0"/>
        <w:right w:val="single" w:color="000000" w:sz="4" w:space="0"/>
      </w:pBdr>
      <w:shd w:val="clear" w:color="000000" w:fill="00FF00"/>
      <w:spacing w:before="100" w:beforeAutospacing="1" w:after="100" w:afterAutospacing="1" w:line="240" w:lineRule="auto"/>
      <w:ind w:firstLine="0" w:firstLineChars="0"/>
      <w:jc w:val="right"/>
      <w:textAlignment w:val="center"/>
    </w:pPr>
    <w:rPr>
      <w:rFonts w:hint="default" w:ascii="宋体" w:hAnsi="宋体" w:eastAsia="宋体"/>
      <w:sz w:val="24"/>
    </w:rPr>
  </w:style>
  <w:style w:type="paragraph" w:customStyle="1" w:styleId="184">
    <w:name w:val="xl67"/>
    <w:basedOn w:val="1"/>
    <w:qFormat/>
    <w:uiPriority w:val="0"/>
    <w:pPr>
      <w:pBdr>
        <w:bottom w:val="single" w:color="000000" w:sz="4" w:space="0"/>
        <w:right w:val="single" w:color="000000" w:sz="12" w:space="0"/>
      </w:pBdr>
      <w:shd w:val="clear" w:color="000000" w:fill="00FF00"/>
      <w:spacing w:before="100" w:beforeAutospacing="1" w:after="100" w:afterAutospacing="1" w:line="240" w:lineRule="auto"/>
      <w:ind w:firstLine="0" w:firstLineChars="0"/>
      <w:jc w:val="right"/>
      <w:textAlignment w:val="center"/>
    </w:pPr>
    <w:rPr>
      <w:rFonts w:hint="default" w:ascii="宋体" w:hAnsi="宋体" w:eastAsia="宋体"/>
      <w:sz w:val="24"/>
    </w:rPr>
  </w:style>
  <w:style w:type="paragraph" w:customStyle="1" w:styleId="185">
    <w:name w:val="xl68"/>
    <w:basedOn w:val="1"/>
    <w:qFormat/>
    <w:uiPriority w:val="0"/>
    <w:pPr>
      <w:pBdr>
        <w:left w:val="single" w:color="000000" w:sz="12" w:space="0"/>
        <w:bottom w:val="single" w:color="000000" w:sz="4" w:space="0"/>
        <w:right w:val="single" w:color="000000" w:sz="4" w:space="0"/>
      </w:pBdr>
      <w:shd w:val="clear" w:color="000000" w:fill="C0C0C0"/>
      <w:spacing w:before="100" w:beforeAutospacing="1" w:after="100" w:afterAutospacing="1" w:line="240" w:lineRule="auto"/>
      <w:ind w:firstLine="0" w:firstLineChars="0"/>
      <w:jc w:val="left"/>
      <w:textAlignment w:val="center"/>
    </w:pPr>
    <w:rPr>
      <w:rFonts w:hint="default" w:ascii="宋体" w:hAnsi="宋体" w:eastAsia="宋体"/>
      <w:sz w:val="24"/>
    </w:rPr>
  </w:style>
  <w:style w:type="paragraph" w:customStyle="1" w:styleId="186">
    <w:name w:val="xl69"/>
    <w:basedOn w:val="1"/>
    <w:qFormat/>
    <w:uiPriority w:val="0"/>
    <w:pPr>
      <w:pBdr>
        <w:bottom w:val="single" w:color="000000" w:sz="4" w:space="0"/>
        <w:right w:val="single" w:color="000000" w:sz="4" w:space="0"/>
      </w:pBdr>
      <w:shd w:val="clear" w:color="000000" w:fill="FFFFFF"/>
      <w:spacing w:before="100" w:beforeAutospacing="1" w:after="100" w:afterAutospacing="1" w:line="240" w:lineRule="auto"/>
      <w:ind w:firstLine="0" w:firstLineChars="0"/>
      <w:jc w:val="right"/>
      <w:textAlignment w:val="center"/>
    </w:pPr>
    <w:rPr>
      <w:rFonts w:hint="default" w:ascii="宋体" w:hAnsi="宋体" w:eastAsia="宋体"/>
      <w:sz w:val="24"/>
    </w:rPr>
  </w:style>
  <w:style w:type="paragraph" w:customStyle="1" w:styleId="187">
    <w:name w:val="xl70"/>
    <w:basedOn w:val="1"/>
    <w:qFormat/>
    <w:uiPriority w:val="0"/>
    <w:pPr>
      <w:pBdr>
        <w:bottom w:val="single" w:color="000000" w:sz="4" w:space="0"/>
        <w:right w:val="single" w:color="000000" w:sz="12" w:space="0"/>
      </w:pBdr>
      <w:shd w:val="clear" w:color="000000" w:fill="FFFFFF"/>
      <w:spacing w:before="100" w:beforeAutospacing="1" w:after="100" w:afterAutospacing="1" w:line="240" w:lineRule="auto"/>
      <w:ind w:firstLine="0" w:firstLineChars="0"/>
      <w:jc w:val="right"/>
      <w:textAlignment w:val="center"/>
    </w:pPr>
    <w:rPr>
      <w:rFonts w:hint="default" w:ascii="宋体" w:hAnsi="宋体" w:eastAsia="宋体"/>
      <w:sz w:val="24"/>
    </w:rPr>
  </w:style>
  <w:style w:type="paragraph" w:customStyle="1" w:styleId="188">
    <w:name w:val="xl71"/>
    <w:basedOn w:val="1"/>
    <w:qFormat/>
    <w:uiPriority w:val="0"/>
    <w:pPr>
      <w:pBdr>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189">
    <w:name w:val="xl72"/>
    <w:basedOn w:val="1"/>
    <w:qFormat/>
    <w:uiPriority w:val="0"/>
    <w:pPr>
      <w:pBdr>
        <w:bottom w:val="single" w:color="000000" w:sz="4" w:space="0"/>
        <w:right w:val="single" w:color="000000" w:sz="12" w:space="0"/>
      </w:pBdr>
      <w:shd w:val="clear" w:color="000000" w:fill="FFFFFF"/>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190">
    <w:name w:val="xl73"/>
    <w:basedOn w:val="1"/>
    <w:qFormat/>
    <w:uiPriority w:val="0"/>
    <w:pPr>
      <w:pBdr>
        <w:bottom w:val="single" w:color="000000" w:sz="12" w:space="0"/>
        <w:right w:val="single" w:color="000000" w:sz="4" w:space="0"/>
      </w:pBdr>
      <w:shd w:val="clear" w:color="000000" w:fill="00FF00"/>
      <w:spacing w:before="100" w:beforeAutospacing="1" w:after="100" w:afterAutospacing="1" w:line="240" w:lineRule="auto"/>
      <w:ind w:firstLine="0" w:firstLineChars="0"/>
      <w:jc w:val="right"/>
      <w:textAlignment w:val="center"/>
    </w:pPr>
    <w:rPr>
      <w:rFonts w:hint="default" w:ascii="宋体" w:hAnsi="宋体" w:eastAsia="宋体"/>
      <w:sz w:val="24"/>
    </w:rPr>
  </w:style>
  <w:style w:type="paragraph" w:customStyle="1" w:styleId="191">
    <w:name w:val="xl74"/>
    <w:basedOn w:val="1"/>
    <w:qFormat/>
    <w:uiPriority w:val="0"/>
    <w:pPr>
      <w:pBdr>
        <w:bottom w:val="single" w:color="000000" w:sz="12" w:space="0"/>
        <w:right w:val="single" w:color="000000" w:sz="12" w:space="0"/>
      </w:pBdr>
      <w:shd w:val="clear" w:color="000000" w:fill="00FF00"/>
      <w:spacing w:before="100" w:beforeAutospacing="1" w:after="100" w:afterAutospacing="1" w:line="240" w:lineRule="auto"/>
      <w:ind w:firstLine="0" w:firstLineChars="0"/>
      <w:jc w:val="right"/>
      <w:textAlignment w:val="center"/>
    </w:pPr>
    <w:rPr>
      <w:rFonts w:hint="default" w:ascii="宋体" w:hAnsi="宋体" w:eastAsia="宋体"/>
      <w:sz w:val="24"/>
    </w:rPr>
  </w:style>
  <w:style w:type="paragraph" w:customStyle="1" w:styleId="192">
    <w:name w:val="xl75"/>
    <w:basedOn w:val="1"/>
    <w:qFormat/>
    <w:uiPriority w:val="0"/>
    <w:pPr>
      <w:pBdr>
        <w:left w:val="single" w:color="000000" w:sz="12" w:space="0"/>
        <w:bottom w:val="single" w:color="000000" w:sz="4" w:space="0"/>
        <w:right w:val="single" w:color="000000" w:sz="4"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193">
    <w:name w:val="xl76"/>
    <w:basedOn w:val="1"/>
    <w:qFormat/>
    <w:uiPriority w:val="0"/>
    <w:pPr>
      <w:pBdr>
        <w:bottom w:val="single" w:color="000000" w:sz="4" w:space="0"/>
        <w:right w:val="single" w:color="000000" w:sz="12"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194">
    <w:name w:val="xl77"/>
    <w:basedOn w:val="1"/>
    <w:qFormat/>
    <w:uiPriority w:val="0"/>
    <w:pPr>
      <w:pBdr>
        <w:bottom w:val="single" w:color="000000" w:sz="4" w:space="0"/>
        <w:right w:val="single" w:color="000000" w:sz="4"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195">
    <w:name w:val="xl78"/>
    <w:basedOn w:val="1"/>
    <w:qFormat/>
    <w:uiPriority w:val="0"/>
    <w:pPr>
      <w:pBdr>
        <w:bottom w:val="single" w:color="000000" w:sz="4" w:space="0"/>
        <w:right w:val="single" w:color="000000" w:sz="4"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196">
    <w:name w:val="xl79"/>
    <w:basedOn w:val="1"/>
    <w:qFormat/>
    <w:uiPriority w:val="0"/>
    <w:pPr>
      <w:pBdr>
        <w:bottom w:val="single" w:color="000000" w:sz="4" w:space="0"/>
        <w:right w:val="single" w:color="000000" w:sz="12"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197">
    <w:name w:val="xl80"/>
    <w:basedOn w:val="1"/>
    <w:qFormat/>
    <w:uiPriority w:val="0"/>
    <w:pPr>
      <w:pBdr>
        <w:bottom w:val="single" w:color="000000" w:sz="4" w:space="0"/>
        <w:right w:val="single" w:color="000000" w:sz="4" w:space="0"/>
      </w:pBdr>
      <w:shd w:val="clear" w:color="000000" w:fill="C0C0C0"/>
      <w:spacing w:before="100" w:beforeAutospacing="1" w:after="100" w:afterAutospacing="1" w:line="240" w:lineRule="auto"/>
      <w:ind w:firstLine="0" w:firstLineChars="0"/>
      <w:jc w:val="left"/>
      <w:textAlignment w:val="center"/>
    </w:pPr>
    <w:rPr>
      <w:rFonts w:hint="default" w:ascii="宋体" w:hAnsi="宋体" w:eastAsia="宋体"/>
      <w:sz w:val="24"/>
    </w:rPr>
  </w:style>
  <w:style w:type="paragraph" w:customStyle="1" w:styleId="198">
    <w:name w:val="xl81"/>
    <w:basedOn w:val="1"/>
    <w:qFormat/>
    <w:uiPriority w:val="0"/>
    <w:pPr>
      <w:pBdr>
        <w:bottom w:val="single" w:color="000000" w:sz="4" w:space="0"/>
        <w:right w:val="single" w:color="000000" w:sz="4" w:space="0"/>
      </w:pBdr>
      <w:shd w:val="clear" w:color="000000" w:fill="C0C0C0"/>
      <w:spacing w:before="100" w:beforeAutospacing="1" w:after="100" w:afterAutospacing="1" w:line="240" w:lineRule="auto"/>
      <w:ind w:firstLine="0" w:firstLineChars="0"/>
      <w:jc w:val="left"/>
      <w:textAlignment w:val="center"/>
    </w:pPr>
    <w:rPr>
      <w:rFonts w:hint="default" w:ascii="宋体" w:hAnsi="宋体" w:eastAsia="宋体"/>
      <w:sz w:val="24"/>
    </w:rPr>
  </w:style>
  <w:style w:type="paragraph" w:customStyle="1" w:styleId="199">
    <w:name w:val="xl82"/>
    <w:basedOn w:val="1"/>
    <w:qFormat/>
    <w:uiPriority w:val="0"/>
    <w:pPr>
      <w:pBdr>
        <w:left w:val="single" w:color="000000" w:sz="12" w:space="0"/>
        <w:bottom w:val="single" w:color="000000" w:sz="4" w:space="0"/>
        <w:right w:val="single" w:color="000000" w:sz="4"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b/>
      <w:bCs/>
      <w:sz w:val="24"/>
    </w:rPr>
  </w:style>
  <w:style w:type="paragraph" w:customStyle="1" w:styleId="200">
    <w:name w:val="xl83"/>
    <w:basedOn w:val="1"/>
    <w:qFormat/>
    <w:uiPriority w:val="0"/>
    <w:pPr>
      <w:pBdr>
        <w:bottom w:val="single" w:color="000000" w:sz="4" w:space="0"/>
        <w:right w:val="single" w:color="000000" w:sz="4"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b/>
      <w:bCs/>
      <w:sz w:val="24"/>
    </w:rPr>
  </w:style>
  <w:style w:type="paragraph" w:customStyle="1" w:styleId="201">
    <w:name w:val="xl84"/>
    <w:basedOn w:val="1"/>
    <w:qFormat/>
    <w:uiPriority w:val="0"/>
    <w:pPr>
      <w:pBdr>
        <w:left w:val="single" w:color="000000" w:sz="12" w:space="0"/>
        <w:bottom w:val="single" w:color="000000" w:sz="12" w:space="0"/>
        <w:right w:val="single" w:color="000000" w:sz="4"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b/>
      <w:bCs/>
      <w:sz w:val="24"/>
    </w:rPr>
  </w:style>
  <w:style w:type="paragraph" w:customStyle="1" w:styleId="202">
    <w:name w:val="xl85"/>
    <w:basedOn w:val="1"/>
    <w:qFormat/>
    <w:uiPriority w:val="0"/>
    <w:pPr>
      <w:pBdr>
        <w:bottom w:val="single" w:color="000000" w:sz="12" w:space="0"/>
        <w:right w:val="single" w:color="000000" w:sz="4"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203">
    <w:name w:val="xl86"/>
    <w:basedOn w:val="1"/>
    <w:qFormat/>
    <w:uiPriority w:val="0"/>
    <w:pPr>
      <w:pBdr>
        <w:bottom w:val="single" w:color="000000" w:sz="12" w:space="0"/>
        <w:right w:val="single" w:color="000000" w:sz="4"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b/>
      <w:bCs/>
      <w:sz w:val="24"/>
    </w:rPr>
  </w:style>
  <w:style w:type="paragraph" w:customStyle="1" w:styleId="204">
    <w:name w:val="xl87"/>
    <w:basedOn w:val="1"/>
    <w:qFormat/>
    <w:uiPriority w:val="0"/>
    <w:pPr>
      <w:pBdr>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205">
    <w:name w:val="xl88"/>
    <w:basedOn w:val="1"/>
    <w:qFormat/>
    <w:uiPriority w:val="0"/>
    <w:pPr>
      <w:pBdr>
        <w:bottom w:val="single" w:color="000000" w:sz="4" w:space="0"/>
        <w:right w:val="single" w:color="000000" w:sz="12" w:space="0"/>
      </w:pBdr>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206">
    <w:name w:val="xl89"/>
    <w:basedOn w:val="1"/>
    <w:qFormat/>
    <w:uiPriority w:val="0"/>
    <w:pPr>
      <w:pBdr>
        <w:left w:val="single" w:color="000000" w:sz="12" w:space="0"/>
        <w:bottom w:val="single" w:color="000000" w:sz="4" w:space="0"/>
        <w:right w:val="single" w:color="000000" w:sz="4"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207">
    <w:name w:val="xl90"/>
    <w:basedOn w:val="1"/>
    <w:qFormat/>
    <w:uiPriority w:val="0"/>
    <w:pPr>
      <w:pBdr>
        <w:left w:val="single" w:color="000000" w:sz="12"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208">
    <w:name w:val="xl91"/>
    <w:basedOn w:val="1"/>
    <w:qFormat/>
    <w:uiPriority w:val="0"/>
    <w:pPr>
      <w:pBdr>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hint="default" w:ascii="宋体" w:hAnsi="宋体" w:eastAsia="宋体"/>
      <w:sz w:val="24"/>
    </w:rPr>
  </w:style>
  <w:style w:type="character" w:customStyle="1" w:styleId="209">
    <w:name w:val="标题 1 字符"/>
    <w:qFormat/>
    <w:uiPriority w:val="0"/>
    <w:rPr>
      <w:rFonts w:eastAsia="方正小标宋_GBK"/>
      <w:kern w:val="44"/>
      <w:sz w:val="44"/>
    </w:rPr>
  </w:style>
  <w:style w:type="character" w:customStyle="1" w:styleId="210">
    <w:name w:val="标题 3 字符"/>
    <w:qFormat/>
    <w:uiPriority w:val="0"/>
    <w:rPr>
      <w:rFonts w:ascii="Times New Roman" w:hAnsi="Times New Roman" w:eastAsia="方正楷体_GBK"/>
      <w:sz w:val="32"/>
    </w:rPr>
  </w:style>
  <w:style w:type="character" w:customStyle="1" w:styleId="211">
    <w:name w:val="标题 2 字符"/>
    <w:uiPriority w:val="0"/>
    <w:rPr>
      <w:rFonts w:ascii="Times New Roman" w:hAnsi="Times New Roman" w:eastAsia="方正黑体_GBK"/>
    </w:rPr>
  </w:style>
  <w:style w:type="character" w:customStyle="1" w:styleId="212">
    <w:name w:val="列出段落 Char1"/>
    <w:link w:val="104"/>
    <w:qFormat/>
    <w:uiPriority w:val="34"/>
    <w:rPr>
      <w:kern w:val="2"/>
      <w:sz w:val="21"/>
      <w:szCs w:val="22"/>
    </w:rPr>
  </w:style>
  <w:style w:type="character" w:customStyle="1" w:styleId="213">
    <w:name w:val="列出段落 Char"/>
    <w:qFormat/>
    <w:uiPriority w:val="34"/>
  </w:style>
  <w:style w:type="character" w:customStyle="1" w:styleId="214">
    <w:name w:val="批注框文本 Char"/>
    <w:basedOn w:val="22"/>
    <w:link w:val="12"/>
    <w:uiPriority w:val="99"/>
    <w:rPr>
      <w:rFonts w:eastAsia="方正仿宋_GBK"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0B75BE-70DD-425A-9E27-3FD2C9CF1F6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539</Pages>
  <Words>79556</Words>
  <Characters>453472</Characters>
  <Lines>3778</Lines>
  <Paragraphs>1063</Paragraphs>
  <TotalTime>0</TotalTime>
  <ScaleCrop>false</ScaleCrop>
  <LinksUpToDate>false</LinksUpToDate>
  <CharactersWithSpaces>531965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2021-09-18T07:13:00Z</dcterms:created>
  <dc:creator>Administrator</dc:creator>
  <cp:lastModifiedBy>HP</cp:lastModifiedBy>
  <cp:lastPrinted>2021-09-20T17:25:00Z</cp:lastPrinted>
  <dcterms:modified xsi:type="dcterms:W3CDTF">2021-09-30T02:29:53Z</dcterms:modified>
  <dc:title>中国共产党重庆市渝中区委员会办公室2020年度部门决算情况说明</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69752A87E1564F7689F5BC8689126362</vt:lpwstr>
  </property>
</Properties>
</file>