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" w:hAnsi="Times" w:eastAsia="方正小标宋_GBK"/>
          <w:sz w:val="44"/>
          <w:szCs w:val="32"/>
        </w:rPr>
      </w:pPr>
      <w:r>
        <w:rPr>
          <w:rFonts w:hint="eastAsia" w:ascii="Times" w:hAnsi="Times" w:eastAsia="方正小标宋_GBK"/>
          <w:sz w:val="44"/>
          <w:szCs w:val="32"/>
        </w:rPr>
        <w:t>重庆解放碑中央商务区管理委员会</w:t>
      </w:r>
    </w:p>
    <w:p>
      <w:pPr>
        <w:spacing w:line="594" w:lineRule="exact"/>
        <w:jc w:val="center"/>
        <w:rPr>
          <w:rFonts w:ascii="Times" w:hAnsi="Times" w:eastAsia="方正小标宋_GBK"/>
          <w:sz w:val="44"/>
          <w:szCs w:val="32"/>
        </w:rPr>
      </w:pPr>
      <w:r>
        <w:rPr>
          <w:rFonts w:hint="eastAsia" w:ascii="Times" w:hAnsi="Times" w:eastAsia="方正小标宋_GBK"/>
          <w:sz w:val="44"/>
          <w:szCs w:val="32"/>
        </w:rPr>
        <w:t>2019年招商引资等产业类资金</w:t>
      </w:r>
      <w:r>
        <w:rPr>
          <w:rFonts w:ascii="Times" w:hAnsi="Times" w:eastAsia="方正小标宋_GBK"/>
          <w:sz w:val="44"/>
          <w:szCs w:val="32"/>
        </w:rPr>
        <w:t>绩效评价报告</w:t>
      </w:r>
    </w:p>
    <w:p>
      <w:pPr>
        <w:spacing w:line="594" w:lineRule="exact"/>
        <w:jc w:val="center"/>
        <w:rPr>
          <w:rFonts w:ascii="Times" w:hAnsi="Times" w:eastAsia="方正小标宋_GBK"/>
          <w:sz w:val="44"/>
          <w:szCs w:val="32"/>
        </w:rPr>
      </w:pPr>
    </w:p>
    <w:p>
      <w:pPr>
        <w:spacing w:line="594" w:lineRule="exact"/>
        <w:ind w:firstLine="640" w:firstLineChars="200"/>
        <w:rPr>
          <w:rFonts w:ascii="Times" w:hAnsi="Times" w:eastAsia="方正黑体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一、基本概况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（一）项目概况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" w:hAnsi="Times" w:eastAsia="仿宋_GB2312"/>
          <w:sz w:val="32"/>
          <w:szCs w:val="32"/>
        </w:rPr>
      </w:pPr>
      <w:r>
        <w:rPr>
          <w:rFonts w:hint="eastAsia" w:ascii="Times" w:hAnsi="Times" w:eastAsia="仿宋_GB2312"/>
          <w:sz w:val="32"/>
          <w:szCs w:val="32"/>
        </w:rPr>
        <w:t>2019年我委招商引资、宣传推广、企业服务、高品位步行街、节会及待安排资金主要用于以下用途：完成区域范围内经济发展、产业布局及重大项目建设等目标任务；调查研究区域内产业发展中的重大问题，提出政策建议，贯彻落实产业发展优惠政策；</w:t>
      </w:r>
      <w:r>
        <w:rPr>
          <w:rFonts w:hint="eastAsia" w:ascii="Times" w:hAnsi="Times" w:eastAsia="方正仿宋_GBK"/>
          <w:sz w:val="32"/>
          <w:szCs w:val="32"/>
        </w:rPr>
        <w:t>推进重点楼宇招商引资和楼宇经济发展工作，打造特色商务楼宇；引导探索智慧商圈建设；推动区域服务企业工作，促进企业转型发展；实施解放碑步行街改造提升试点项目。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（二）</w:t>
      </w:r>
      <w:r>
        <w:rPr>
          <w:rFonts w:ascii="方正楷体_GBK" w:hAnsi="Times" w:eastAsia="方正楷体_GBK"/>
          <w:sz w:val="32"/>
          <w:szCs w:val="32"/>
        </w:rPr>
        <w:t>项目支出绩效目标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我委围绕加强宣传推广、促进招商引资、优化企业服务和加快推动商圈转型的目标，设置了绩效目标13个，具体包括：联系服务企业132户、联系服务楼宇51栋、规上企业统计监测132户、支持举办大型宣传营销活动4次、印发宣传图册5000册、“爱尚解放碑”微信公众号关注人数较上年增长4%、“爱尚解放碑”微信公众号推送原创信息60篇以上、组织协办招商推介会2场、商业商务楼宇去化25万㎡、招大引强落地企业数11户、媒体宣传报道商圈发展动态30次以上、运营楼宇服务平台1个、企业反映问题化解率90%以上。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二、绩效评价工作情况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（一）绩效评价目的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为加强财政专项资金管理，提高财政资金使用效益，开展项目资金绩效评价。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ascii="方正楷体_GBK" w:hAnsi="Times" w:eastAsia="方正楷体_GBK"/>
          <w:sz w:val="32"/>
          <w:szCs w:val="32"/>
        </w:rPr>
        <w:t>（二）绩效评价原则、评价指标体系、评价方法</w:t>
      </w:r>
    </w:p>
    <w:p>
      <w:pPr>
        <w:spacing w:line="594" w:lineRule="exact"/>
        <w:ind w:firstLine="643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1.绩效评价原则。</w:t>
      </w:r>
      <w:r>
        <w:rPr>
          <w:rFonts w:hint="eastAsia" w:ascii="Times" w:hAnsi="Times" w:eastAsia="方正仿宋_GBK"/>
          <w:sz w:val="32"/>
          <w:szCs w:val="32"/>
        </w:rPr>
        <w:t>绩效评价遵循统一领导、科学规范、公开公正及绩效相关原则。</w:t>
      </w:r>
    </w:p>
    <w:p>
      <w:pPr>
        <w:spacing w:line="594" w:lineRule="exact"/>
        <w:ind w:firstLine="643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2.绩效评价指标体系。</w:t>
      </w:r>
      <w:r>
        <w:rPr>
          <w:rFonts w:hint="eastAsia" w:ascii="Times" w:hAnsi="Times" w:eastAsia="方正仿宋_GBK"/>
          <w:sz w:val="32"/>
          <w:szCs w:val="32"/>
        </w:rPr>
        <w:t>评价指标体系分为产出、效果、管理三大类共22个指标，涵盖项目产出、项目效益、决策管理、资金管理和业务管理五个方面。其中项目产出指标9个，项目效益指标4个，决策管理指标2个，资金管理指标3个，业务管理指标4个，详见《2019年度渝中区招商引资、宣传推广、企业服务、高品位步行街、节会及其他待安排资金项目绩效评价指标体系》。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3.绩效评价方法。</w:t>
      </w:r>
      <w:r>
        <w:rPr>
          <w:rFonts w:hint="eastAsia" w:ascii="Times" w:hAnsi="Times" w:eastAsia="方正仿宋_GBK"/>
          <w:sz w:val="32"/>
          <w:szCs w:val="32"/>
        </w:rPr>
        <w:t>本次绩效评价采取自评方式，由绩效评价小组牵头，各科（室）、队、直属事业单位配合，对项目立项、资金收支、业务与财务管理情况进行资料收集和分析，对照评价指标与标准进行评分，并形成评价结论。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ascii="方正楷体_GBK" w:hAnsi="Times" w:eastAsia="方正楷体_GBK"/>
          <w:sz w:val="32"/>
          <w:szCs w:val="32"/>
        </w:rPr>
        <w:t>（三）绩效评价工作过程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ascii="Times" w:hAnsi="Times" w:eastAsia="方正仿宋_GBK"/>
          <w:b/>
          <w:sz w:val="32"/>
          <w:szCs w:val="32"/>
        </w:rPr>
        <w:t>1</w:t>
      </w:r>
      <w:r>
        <w:rPr>
          <w:rFonts w:hint="eastAsia" w:ascii="Times" w:hAnsi="Times" w:eastAsia="方正仿宋_GBK"/>
          <w:b/>
          <w:sz w:val="32"/>
          <w:szCs w:val="32"/>
        </w:rPr>
        <w:t>.</w:t>
      </w:r>
      <w:r>
        <w:rPr>
          <w:rFonts w:ascii="Times" w:hAnsi="Times" w:eastAsia="方正仿宋_GBK"/>
          <w:b/>
          <w:sz w:val="32"/>
          <w:szCs w:val="32"/>
        </w:rPr>
        <w:t>前期准备</w:t>
      </w:r>
    </w:p>
    <w:p>
      <w:pPr>
        <w:spacing w:line="560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成立绩效评价小组，由管委会主任任组长，党工委组织委员任副组长，党政办主任、财务、业务人员组成。评价小组成员收集评价项目相关政策文件，了解项目实施和完成的情况，明确评价步骤、评价指标体系与标准。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2.</w:t>
      </w:r>
      <w:r>
        <w:rPr>
          <w:rFonts w:ascii="Times" w:hAnsi="Times" w:eastAsia="方正仿宋_GBK"/>
          <w:b/>
          <w:sz w:val="32"/>
          <w:szCs w:val="32"/>
        </w:rPr>
        <w:t>组织实施</w:t>
      </w:r>
    </w:p>
    <w:p>
      <w:pPr>
        <w:spacing w:line="560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评价小组成员收集整理与分析评价证据。对项目立项、资金收支、业务与财务管理等进行实地了解和核实，对照评价指标与标准进行评分。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3.</w:t>
      </w:r>
      <w:r>
        <w:rPr>
          <w:rFonts w:ascii="Times" w:hAnsi="Times" w:eastAsia="方正仿宋_GBK"/>
          <w:b/>
          <w:sz w:val="32"/>
          <w:szCs w:val="32"/>
        </w:rPr>
        <w:t>分析评价</w:t>
      </w:r>
    </w:p>
    <w:p>
      <w:pPr>
        <w:spacing w:line="594" w:lineRule="exact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 xml:space="preserve">    评价小组成员根据评分结果及相关资料，进行综合分析，形成评价报告，报党工委审核。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三、综合评价情况及评价结论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（一）评价指标情况</w:t>
      </w:r>
    </w:p>
    <w:p>
      <w:pPr>
        <w:spacing w:line="594" w:lineRule="exact"/>
        <w:ind w:firstLine="63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1.产出及效果指标完成情况</w:t>
      </w:r>
    </w:p>
    <w:p>
      <w:pPr>
        <w:spacing w:line="594" w:lineRule="exact"/>
        <w:ind w:firstLine="630"/>
        <w:rPr>
          <w:rFonts w:hint="eastAsia"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产出及效果指标共13个，总分55分，得分为51分。扣分指标为“商业商务楼宇去化25万㎡”（扣4分），指标未完成的主要原因是受竞争加剧等综合因素影响，去化压力增大。</w:t>
      </w:r>
    </w:p>
    <w:p>
      <w:pPr>
        <w:spacing w:line="594" w:lineRule="exact"/>
        <w:ind w:firstLine="63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2.管理指标完成情况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管理指标共9个，总分45分，得分为40.34分。扣分指标为“预算执行准确度”（扣2.66分</w:t>
      </w:r>
      <w:bookmarkStart w:id="0" w:name="_GoBack"/>
      <w:bookmarkEnd w:id="0"/>
      <w:r>
        <w:rPr>
          <w:rFonts w:hint="eastAsia" w:ascii="Times" w:hAnsi="Times" w:eastAsia="方正仿宋_GBK"/>
          <w:sz w:val="32"/>
          <w:szCs w:val="32"/>
        </w:rPr>
        <w:t>）、“政府采购执行准确率”（扣2分），指标未完成的主要原因是工作计划及采购计划细化程度不够，预算编制的准确性有待提高。具体完成情况如下：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（1）决策管理方面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立项依据必要性：项目实施符合渝中区当年重点任务目标，具有紧迫性，符合现实政策情况和客观发展需要，该项得1分。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立项依据充分性：项目实施过程符合国家相关法律法规和党委政府决策，项目前期决策充分，该项得1分。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（2）资金管理方面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资金专款专用：项目资金使用规范，专款专用，未发现挤占项目资金情况，该项得6分。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资金管理合规性：对项目资金进行了专项收支科目核算，财务内部控制到位，会计和出纳岗位分离，审签制度完全落实，会计凭证装订规范完整，不存在突击拨款情况，该项得12分。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资金管理程序性：所有项目均采取了相应的财务检查等监控措施，资金支付有完整的审批程序和手续，该项得4分。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（3）业务管理方面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预算执行度：项目支出均严格执行预算，预算无调整，得2分，预算执行率66.05%，按照90%得10分计算，得7.34分，该项合计得9.34分。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政府采购管理：政府采购执行率46.83%，低于90%，“政府采购执行准确率”指标得分为0分；应进行政府采购的项目均严格执行政府采购程序，“政府采购程序性”得5分。该项合计得5分。</w:t>
      </w:r>
    </w:p>
    <w:p>
      <w:pPr>
        <w:spacing w:line="594" w:lineRule="exact"/>
        <w:ind w:firstLine="63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管理制度健全性：制定有相应的合法、合规、完整的业务和项目管理制度，该项得2分。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（二）综合评价结论</w:t>
      </w:r>
    </w:p>
    <w:p>
      <w:pPr>
        <w:spacing w:line="560" w:lineRule="exact"/>
        <w:ind w:firstLine="640" w:firstLineChars="200"/>
        <w:rPr>
          <w:rFonts w:ascii="Times" w:hAnsi="Times" w:eastAsia="方正仿宋_GBK"/>
          <w:color w:val="000000" w:themeColor="text1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经本次评价，项目支出绩效评价得分为91.34分，评定等级为“优”。等级确定是按照财政部要求，项目绩效评价结果等级明确为优（90-100分）、良（80-89分）、中（60-79分）、差（0-59分）。</w:t>
      </w:r>
    </w:p>
    <w:p>
      <w:pPr>
        <w:spacing w:line="594" w:lineRule="exact"/>
        <w:ind w:firstLine="640" w:firstLineChars="200"/>
        <w:rPr>
          <w:rFonts w:ascii="Times" w:hAnsi="Times" w:eastAsia="方正黑体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四、项目资金和组织管理情况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ascii="方正楷体_GBK" w:hAnsi="Times" w:eastAsia="方正楷体_GBK"/>
          <w:sz w:val="32"/>
          <w:szCs w:val="32"/>
        </w:rPr>
        <w:t>（一）项目支出资金情况分析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ascii="Times" w:hAnsi="Times" w:eastAsia="方正仿宋_GBK"/>
          <w:b/>
          <w:sz w:val="32"/>
          <w:szCs w:val="32"/>
        </w:rPr>
        <w:t>1</w:t>
      </w:r>
      <w:r>
        <w:rPr>
          <w:rFonts w:hint="eastAsia" w:ascii="Times" w:hAnsi="Times" w:eastAsia="方正仿宋_GBK"/>
          <w:b/>
          <w:sz w:val="32"/>
          <w:szCs w:val="32"/>
        </w:rPr>
        <w:t>.</w:t>
      </w:r>
      <w:r>
        <w:rPr>
          <w:rFonts w:ascii="Times" w:hAnsi="Times" w:eastAsia="方正仿宋_GBK"/>
          <w:b/>
          <w:sz w:val="32"/>
          <w:szCs w:val="32"/>
        </w:rPr>
        <w:t>项目支出资金安排落实、总投入等情况分析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2019年预算安排资金总投入960万元，全部为财政资金。</w:t>
      </w:r>
    </w:p>
    <w:p>
      <w:pPr>
        <w:tabs>
          <w:tab w:val="left" w:pos="312"/>
        </w:tabs>
        <w:spacing w:line="594" w:lineRule="exact"/>
        <w:ind w:left="64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2.</w:t>
      </w:r>
      <w:r>
        <w:rPr>
          <w:rFonts w:ascii="Times" w:hAnsi="Times" w:eastAsia="方正仿宋_GBK"/>
          <w:b/>
          <w:sz w:val="32"/>
          <w:szCs w:val="32"/>
        </w:rPr>
        <w:t>项目支出资金实际使用情况分析</w:t>
      </w:r>
    </w:p>
    <w:p>
      <w:pPr>
        <w:spacing w:line="594" w:lineRule="exact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 xml:space="preserve">    2019年实际支出金额为634.04万元，支出率66.05%。。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ascii="Times" w:hAnsi="Times" w:eastAsia="方正仿宋_GBK"/>
          <w:b/>
          <w:sz w:val="32"/>
          <w:szCs w:val="32"/>
        </w:rPr>
        <w:t>3</w:t>
      </w:r>
      <w:r>
        <w:rPr>
          <w:rFonts w:hint="eastAsia" w:ascii="Times" w:hAnsi="Times" w:eastAsia="方正仿宋_GBK"/>
          <w:b/>
          <w:sz w:val="32"/>
          <w:szCs w:val="32"/>
        </w:rPr>
        <w:t>.</w:t>
      </w:r>
      <w:r>
        <w:rPr>
          <w:rFonts w:ascii="Times" w:hAnsi="Times" w:eastAsia="方正仿宋_GBK"/>
          <w:b/>
          <w:sz w:val="32"/>
          <w:szCs w:val="32"/>
        </w:rPr>
        <w:t>项目支出资金管理情况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该项目资金的使用严格执行我委《经费支出管理规定》，资金支付有完整的审批程序和手续，确保专款专用，同时对项目资金进行了收支专项核算，确保了数据的准确性。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ascii="方正楷体_GBK" w:hAnsi="Times" w:eastAsia="方正楷体_GBK"/>
          <w:sz w:val="32"/>
          <w:szCs w:val="32"/>
        </w:rPr>
        <w:t>（二）项目组织情况分析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1.项目支出组织情况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该项目支出不涉及招投标及验收，无调整情况。</w:t>
      </w:r>
    </w:p>
    <w:p>
      <w:pPr>
        <w:spacing w:line="594" w:lineRule="exact"/>
        <w:ind w:firstLine="643" w:firstLineChars="200"/>
        <w:rPr>
          <w:rFonts w:ascii="Times" w:hAnsi="Times" w:eastAsia="方正仿宋_GBK"/>
          <w:b/>
          <w:sz w:val="32"/>
          <w:szCs w:val="32"/>
        </w:rPr>
      </w:pPr>
      <w:r>
        <w:rPr>
          <w:rFonts w:hint="eastAsia" w:ascii="Times" w:hAnsi="Times" w:eastAsia="方正仿宋_GBK"/>
          <w:b/>
          <w:sz w:val="32"/>
          <w:szCs w:val="32"/>
        </w:rPr>
        <w:t>2.项目支出管理情况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为推进项目开展，我委制定了《2019年服务企业年工作方案》、《2019年招商落地企业目标任务分解》等规范性文件，细化目标任务，明确职责分工，进一步加强组织管理，确保完成绩效目标。年中对绩效运行情况进行跟踪监控，及时掌握项目实施情况及资金使用情况，调整项目进度。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五、主要经验及做法、存在的问题和建议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（一）主要经验及做法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我委根据重点工作和设定的绩效目标，细化工作任务，明确职责分工，抓好项目执行；做到资金管理与业务管理相结合，强化预算约束和支出控制，提高项目资金使用效益。</w:t>
      </w:r>
    </w:p>
    <w:p>
      <w:pPr>
        <w:spacing w:line="594" w:lineRule="exact"/>
        <w:ind w:firstLine="640" w:firstLineChars="200"/>
        <w:rPr>
          <w:rFonts w:ascii="方正楷体_GBK" w:hAnsi="Times" w:eastAsia="方正楷体_GBK"/>
          <w:sz w:val="32"/>
          <w:szCs w:val="32"/>
        </w:rPr>
      </w:pPr>
      <w:r>
        <w:rPr>
          <w:rFonts w:hint="eastAsia" w:ascii="方正楷体_GBK" w:hAnsi="Times" w:eastAsia="方正楷体_GBK"/>
          <w:sz w:val="32"/>
          <w:szCs w:val="32"/>
        </w:rPr>
        <w:t>（二）存在的问题和建议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预算执行率及政府采购执行率不高，应加强部门预算及政府采购预算编制工作，进一步细化工作计划，结合项目资金绩效评价结果，提高预算编制的准确性。</w:t>
      </w:r>
    </w:p>
    <w:p>
      <w:pPr>
        <w:spacing w:line="594" w:lineRule="exact"/>
        <w:ind w:firstLine="640" w:firstLineChars="200"/>
        <w:rPr>
          <w:rFonts w:ascii="Times" w:hAnsi="Times" w:eastAsia="方正黑体_GBK"/>
          <w:sz w:val="32"/>
          <w:szCs w:val="32"/>
        </w:rPr>
      </w:pPr>
      <w:r>
        <w:rPr>
          <w:rFonts w:ascii="Times" w:hAnsi="Times" w:eastAsia="方正黑体_GBK"/>
          <w:sz w:val="32"/>
          <w:szCs w:val="32"/>
        </w:rPr>
        <w:t>六、其他需说明的问题</w:t>
      </w:r>
    </w:p>
    <w:p>
      <w:pPr>
        <w:spacing w:line="594" w:lineRule="exact"/>
        <w:ind w:firstLine="640" w:firstLineChars="200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无。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2307"/>
      <w:docPartObj>
        <w:docPartGallery w:val="AutoText"/>
      </w:docPartObj>
    </w:sdtPr>
    <w:sdtEndPr>
      <w:rPr>
        <w:rFonts w:hint="eastAsia"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3230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E33"/>
    <w:rsid w:val="00002DDC"/>
    <w:rsid w:val="000161EA"/>
    <w:rsid w:val="000166D7"/>
    <w:rsid w:val="000203A0"/>
    <w:rsid w:val="00042319"/>
    <w:rsid w:val="00065B5C"/>
    <w:rsid w:val="00070AB0"/>
    <w:rsid w:val="00094564"/>
    <w:rsid w:val="000A3F44"/>
    <w:rsid w:val="000A4557"/>
    <w:rsid w:val="000A471D"/>
    <w:rsid w:val="000C7018"/>
    <w:rsid w:val="000D6232"/>
    <w:rsid w:val="000F041E"/>
    <w:rsid w:val="0010571C"/>
    <w:rsid w:val="00105772"/>
    <w:rsid w:val="001144EB"/>
    <w:rsid w:val="00124416"/>
    <w:rsid w:val="0015073C"/>
    <w:rsid w:val="00177ABA"/>
    <w:rsid w:val="00186D34"/>
    <w:rsid w:val="001B2DF2"/>
    <w:rsid w:val="001B489B"/>
    <w:rsid w:val="001C120C"/>
    <w:rsid w:val="001C3CFC"/>
    <w:rsid w:val="001D03D9"/>
    <w:rsid w:val="001D7407"/>
    <w:rsid w:val="001D7B64"/>
    <w:rsid w:val="001F025D"/>
    <w:rsid w:val="0021200D"/>
    <w:rsid w:val="00225450"/>
    <w:rsid w:val="002314EA"/>
    <w:rsid w:val="0025462A"/>
    <w:rsid w:val="00271B53"/>
    <w:rsid w:val="002A472C"/>
    <w:rsid w:val="002A66D3"/>
    <w:rsid w:val="002C3FB5"/>
    <w:rsid w:val="002E495C"/>
    <w:rsid w:val="00300211"/>
    <w:rsid w:val="003069C8"/>
    <w:rsid w:val="00312358"/>
    <w:rsid w:val="003129B7"/>
    <w:rsid w:val="00315D48"/>
    <w:rsid w:val="00332EFB"/>
    <w:rsid w:val="00355170"/>
    <w:rsid w:val="00357464"/>
    <w:rsid w:val="0036527C"/>
    <w:rsid w:val="00365A3E"/>
    <w:rsid w:val="00367C4B"/>
    <w:rsid w:val="003D5D21"/>
    <w:rsid w:val="00402CEA"/>
    <w:rsid w:val="004100B7"/>
    <w:rsid w:val="00413C57"/>
    <w:rsid w:val="004265D4"/>
    <w:rsid w:val="00431AB9"/>
    <w:rsid w:val="00432DF5"/>
    <w:rsid w:val="004574FE"/>
    <w:rsid w:val="00495F8E"/>
    <w:rsid w:val="004A1F7D"/>
    <w:rsid w:val="004A7D80"/>
    <w:rsid w:val="004B004F"/>
    <w:rsid w:val="004C2B32"/>
    <w:rsid w:val="004C797A"/>
    <w:rsid w:val="004D77A8"/>
    <w:rsid w:val="004D7EB4"/>
    <w:rsid w:val="004E5F14"/>
    <w:rsid w:val="004E7DB8"/>
    <w:rsid w:val="004F1A7E"/>
    <w:rsid w:val="004F4A6E"/>
    <w:rsid w:val="004F6269"/>
    <w:rsid w:val="004F7DF9"/>
    <w:rsid w:val="00514D6C"/>
    <w:rsid w:val="00535E5F"/>
    <w:rsid w:val="00545C4E"/>
    <w:rsid w:val="00556E8A"/>
    <w:rsid w:val="00564F67"/>
    <w:rsid w:val="00584097"/>
    <w:rsid w:val="005906F6"/>
    <w:rsid w:val="0059773A"/>
    <w:rsid w:val="005979DD"/>
    <w:rsid w:val="005C2E33"/>
    <w:rsid w:val="005C44EF"/>
    <w:rsid w:val="005F15F1"/>
    <w:rsid w:val="005F55AE"/>
    <w:rsid w:val="005F63CB"/>
    <w:rsid w:val="00601EEB"/>
    <w:rsid w:val="0061247B"/>
    <w:rsid w:val="006253B9"/>
    <w:rsid w:val="00650054"/>
    <w:rsid w:val="00652793"/>
    <w:rsid w:val="00657E3B"/>
    <w:rsid w:val="00676089"/>
    <w:rsid w:val="0069408B"/>
    <w:rsid w:val="006E397E"/>
    <w:rsid w:val="006E71A0"/>
    <w:rsid w:val="006E7376"/>
    <w:rsid w:val="006E76C3"/>
    <w:rsid w:val="0070391F"/>
    <w:rsid w:val="00715046"/>
    <w:rsid w:val="0073517B"/>
    <w:rsid w:val="00735A97"/>
    <w:rsid w:val="00737FED"/>
    <w:rsid w:val="00741832"/>
    <w:rsid w:val="00743D4F"/>
    <w:rsid w:val="007442FA"/>
    <w:rsid w:val="0075459A"/>
    <w:rsid w:val="00754AE2"/>
    <w:rsid w:val="00764216"/>
    <w:rsid w:val="00767343"/>
    <w:rsid w:val="00791DB1"/>
    <w:rsid w:val="007B5161"/>
    <w:rsid w:val="007C284C"/>
    <w:rsid w:val="007D7B2A"/>
    <w:rsid w:val="007E7524"/>
    <w:rsid w:val="008002FA"/>
    <w:rsid w:val="008030AC"/>
    <w:rsid w:val="008142F6"/>
    <w:rsid w:val="00845939"/>
    <w:rsid w:val="00845D4A"/>
    <w:rsid w:val="00847DD6"/>
    <w:rsid w:val="008527A8"/>
    <w:rsid w:val="00854812"/>
    <w:rsid w:val="008615F4"/>
    <w:rsid w:val="008618D8"/>
    <w:rsid w:val="00862FAD"/>
    <w:rsid w:val="00863F5B"/>
    <w:rsid w:val="00870AAC"/>
    <w:rsid w:val="00890D10"/>
    <w:rsid w:val="008B272D"/>
    <w:rsid w:val="008C0FFF"/>
    <w:rsid w:val="008C1EC0"/>
    <w:rsid w:val="008C402A"/>
    <w:rsid w:val="008D2CDD"/>
    <w:rsid w:val="008D691A"/>
    <w:rsid w:val="008D6EC6"/>
    <w:rsid w:val="008F6BAC"/>
    <w:rsid w:val="009219AD"/>
    <w:rsid w:val="00925E7C"/>
    <w:rsid w:val="0094180E"/>
    <w:rsid w:val="009554C5"/>
    <w:rsid w:val="00966D17"/>
    <w:rsid w:val="0098372B"/>
    <w:rsid w:val="00995801"/>
    <w:rsid w:val="009A1EE8"/>
    <w:rsid w:val="009C31A7"/>
    <w:rsid w:val="009C6387"/>
    <w:rsid w:val="009E77C3"/>
    <w:rsid w:val="00A10556"/>
    <w:rsid w:val="00A3372A"/>
    <w:rsid w:val="00A453A9"/>
    <w:rsid w:val="00A730E4"/>
    <w:rsid w:val="00A75401"/>
    <w:rsid w:val="00A913BF"/>
    <w:rsid w:val="00AA11D9"/>
    <w:rsid w:val="00AA5DA6"/>
    <w:rsid w:val="00AC7F0D"/>
    <w:rsid w:val="00AF32FA"/>
    <w:rsid w:val="00AF3C2C"/>
    <w:rsid w:val="00AF6F44"/>
    <w:rsid w:val="00B11CD3"/>
    <w:rsid w:val="00B44A31"/>
    <w:rsid w:val="00B45EC0"/>
    <w:rsid w:val="00B519B8"/>
    <w:rsid w:val="00B57AEA"/>
    <w:rsid w:val="00B62544"/>
    <w:rsid w:val="00B82F88"/>
    <w:rsid w:val="00B87FE6"/>
    <w:rsid w:val="00BC074E"/>
    <w:rsid w:val="00BC5E9B"/>
    <w:rsid w:val="00BE5EEA"/>
    <w:rsid w:val="00C04122"/>
    <w:rsid w:val="00C05431"/>
    <w:rsid w:val="00C2279C"/>
    <w:rsid w:val="00C337EB"/>
    <w:rsid w:val="00C33866"/>
    <w:rsid w:val="00C362D5"/>
    <w:rsid w:val="00C36D37"/>
    <w:rsid w:val="00C3767D"/>
    <w:rsid w:val="00C471AB"/>
    <w:rsid w:val="00C55CF4"/>
    <w:rsid w:val="00C8525A"/>
    <w:rsid w:val="00C85DB9"/>
    <w:rsid w:val="00CA7515"/>
    <w:rsid w:val="00CB53B8"/>
    <w:rsid w:val="00CC0F47"/>
    <w:rsid w:val="00CD1A2D"/>
    <w:rsid w:val="00CE717D"/>
    <w:rsid w:val="00CF1C95"/>
    <w:rsid w:val="00CF33F4"/>
    <w:rsid w:val="00CF7CA0"/>
    <w:rsid w:val="00D01EA3"/>
    <w:rsid w:val="00D33A48"/>
    <w:rsid w:val="00D77AD5"/>
    <w:rsid w:val="00D91201"/>
    <w:rsid w:val="00DD4408"/>
    <w:rsid w:val="00DE05A0"/>
    <w:rsid w:val="00DF17BA"/>
    <w:rsid w:val="00DF6124"/>
    <w:rsid w:val="00E10692"/>
    <w:rsid w:val="00E17326"/>
    <w:rsid w:val="00E32F26"/>
    <w:rsid w:val="00E57D6F"/>
    <w:rsid w:val="00E7349D"/>
    <w:rsid w:val="00E77AEF"/>
    <w:rsid w:val="00EA09E5"/>
    <w:rsid w:val="00EA25FC"/>
    <w:rsid w:val="00EA6F00"/>
    <w:rsid w:val="00EB12A7"/>
    <w:rsid w:val="00EB3D2E"/>
    <w:rsid w:val="00ED1CB2"/>
    <w:rsid w:val="00ED2858"/>
    <w:rsid w:val="00EE481C"/>
    <w:rsid w:val="00F07D72"/>
    <w:rsid w:val="00F326A4"/>
    <w:rsid w:val="00F4729E"/>
    <w:rsid w:val="00F80077"/>
    <w:rsid w:val="00F95868"/>
    <w:rsid w:val="00FA40F8"/>
    <w:rsid w:val="00FC5DFC"/>
    <w:rsid w:val="00FC75E9"/>
    <w:rsid w:val="00FF0FD7"/>
    <w:rsid w:val="00FF7D9C"/>
    <w:rsid w:val="02196367"/>
    <w:rsid w:val="05FF75B1"/>
    <w:rsid w:val="08773B50"/>
    <w:rsid w:val="0FC07A65"/>
    <w:rsid w:val="151F30B3"/>
    <w:rsid w:val="15AE7DB6"/>
    <w:rsid w:val="18517977"/>
    <w:rsid w:val="1D65645F"/>
    <w:rsid w:val="1E346295"/>
    <w:rsid w:val="1F1718BA"/>
    <w:rsid w:val="30DE62EC"/>
    <w:rsid w:val="35075D0A"/>
    <w:rsid w:val="48100728"/>
    <w:rsid w:val="4A5121DA"/>
    <w:rsid w:val="4B975270"/>
    <w:rsid w:val="50CA2A95"/>
    <w:rsid w:val="52504826"/>
    <w:rsid w:val="54BA7711"/>
    <w:rsid w:val="582B711B"/>
    <w:rsid w:val="5A7C1DBC"/>
    <w:rsid w:val="677E393B"/>
    <w:rsid w:val="6D756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95CD0-AB6D-4600-8E95-F77C9D6BF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466</Words>
  <Characters>2661</Characters>
  <Lines>22</Lines>
  <Paragraphs>6</Paragraphs>
  <TotalTime>19</TotalTime>
  <ScaleCrop>false</ScaleCrop>
  <LinksUpToDate>false</LinksUpToDate>
  <CharactersWithSpaces>3121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2020-04-21T03:45:00Z</dcterms:created>
  <dc:creator>Administrator</dc:creator>
  <cp:lastModifiedBy>Administrator</cp:lastModifiedBy>
  <cp:lastPrinted>2020-04-20T04:04:00Z</cp:lastPrinted>
  <dcterms:modified xsi:type="dcterms:W3CDTF">2020-09-30T06:55:35Z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