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D176E">
      <w:pPr>
        <w:widowControl w:val="0"/>
        <w:wordWrap/>
        <w:adjustRightInd/>
        <w:snapToGrid/>
        <w:spacing w:line="594" w:lineRule="exact"/>
        <w:ind w:left="0" w:leftChars="0" w:right="0"/>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朝天门街道项目支出/整体支出</w:t>
      </w:r>
    </w:p>
    <w:p w14:paraId="1F6B745A">
      <w:pPr>
        <w:widowControl w:val="0"/>
        <w:wordWrap/>
        <w:adjustRightInd/>
        <w:snapToGrid/>
        <w:spacing w:line="594" w:lineRule="exact"/>
        <w:ind w:left="0" w:leftChars="0" w:right="0"/>
        <w:jc w:val="center"/>
        <w:textAlignment w:val="auto"/>
        <w:rPr>
          <w:rFonts w:ascii="方正黑体_GBK" w:eastAsia="方正黑体_GBK"/>
          <w:b/>
          <w:bCs/>
          <w:color w:val="000000"/>
          <w:sz w:val="44"/>
          <w:szCs w:val="44"/>
        </w:rPr>
      </w:pPr>
      <w:r>
        <w:rPr>
          <w:rFonts w:hint="eastAsia" w:ascii="方正小标宋_GBK" w:hAnsi="方正小标宋_GBK" w:eastAsia="方正小标宋_GBK" w:cs="方正小标宋_GBK"/>
          <w:color w:val="000000"/>
          <w:sz w:val="44"/>
          <w:szCs w:val="44"/>
        </w:rPr>
        <w:t>绩效评价报告</w:t>
      </w:r>
    </w:p>
    <w:p w14:paraId="1FB93FB5">
      <w:pPr>
        <w:widowControl w:val="0"/>
        <w:wordWrap/>
        <w:adjustRightInd/>
        <w:snapToGrid/>
        <w:spacing w:line="594" w:lineRule="exact"/>
        <w:ind w:left="0" w:leftChars="0" w:right="0" w:firstLine="640" w:firstLineChars="200"/>
        <w:textAlignment w:val="auto"/>
        <w:rPr>
          <w:rFonts w:hint="eastAsia" w:ascii="方正黑体_GBK" w:hAnsi="黑体" w:eastAsia="方正黑体_GBK"/>
          <w:sz w:val="32"/>
          <w:szCs w:val="32"/>
        </w:rPr>
      </w:pPr>
    </w:p>
    <w:p w14:paraId="20C42F23">
      <w:pPr>
        <w:widowControl w:val="0"/>
        <w:wordWrap/>
        <w:adjustRightInd/>
        <w:snapToGrid/>
        <w:spacing w:line="594" w:lineRule="exact"/>
        <w:ind w:left="0" w:leftChars="0" w:right="0" w:firstLine="640" w:firstLineChars="200"/>
        <w:textAlignment w:val="auto"/>
        <w:rPr>
          <w:rFonts w:ascii="方正黑体_GBK" w:eastAsia="方正黑体_GBK"/>
          <w:sz w:val="32"/>
          <w:szCs w:val="32"/>
        </w:rPr>
      </w:pPr>
      <w:r>
        <w:rPr>
          <w:rFonts w:hint="eastAsia" w:ascii="方正黑体_GBK" w:hAnsi="黑体" w:eastAsia="方正黑体_GBK"/>
          <w:sz w:val="32"/>
          <w:szCs w:val="32"/>
        </w:rPr>
        <w:t>一、基本概况</w:t>
      </w:r>
    </w:p>
    <w:p w14:paraId="4160ABF5">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楷体_GBK" w:hAnsi="方正楷体_GBK" w:eastAsia="方正楷体_GBK" w:cs="方正楷体_GBK"/>
          <w:color w:val="000000"/>
          <w:sz w:val="32"/>
          <w:szCs w:val="32"/>
        </w:rPr>
        <w:t>（一）项目概况或部门概况。</w:t>
      </w:r>
    </w:p>
    <w:p w14:paraId="3EB3BBD5">
      <w:pPr>
        <w:widowControl w:val="0"/>
        <w:wordWrap/>
        <w:adjustRightInd/>
        <w:snapToGrid/>
        <w:spacing w:line="594" w:lineRule="exact"/>
        <w:ind w:left="0" w:leftChars="0" w:right="0" w:firstLine="640" w:firstLineChars="200"/>
        <w:textAlignment w:val="auto"/>
        <w:rPr>
          <w:rFonts w:eastAsia="方正仿宋_GBK"/>
          <w:color w:val="000000"/>
          <w:sz w:val="32"/>
          <w:szCs w:val="32"/>
        </w:rPr>
      </w:pPr>
      <w:r>
        <w:rPr>
          <w:rFonts w:hint="eastAsia" w:ascii="方正仿宋_GBK" w:eastAsia="方正仿宋_GBK"/>
          <w:color w:val="000000"/>
          <w:sz w:val="32"/>
          <w:szCs w:val="32"/>
        </w:rPr>
        <w:t>朝天门片区环境综合整治项目位于朝天门市场中心区域，紧邻凯德来福士广场、浙商朝天门中心，以及网红旅游景点朝天门码头、洪崖洞、长江索道和湖广会馆，是集商业、旅游、人文为一体的综合地标性区域。但该处周边建筑多为上世纪七十、八十年代老旧楼房，建筑群落风貌和配套公共设施已无法满足城市发展需求，为了紧跟时代脚步，朝天门街道办事处按照区委、区政府要求，牵头开展朝天门片区环境综合整治。</w:t>
      </w:r>
    </w:p>
    <w:p w14:paraId="1698B2A8">
      <w:pPr>
        <w:widowControl w:val="0"/>
        <w:wordWrap/>
        <w:adjustRightInd/>
        <w:snapToGrid/>
        <w:spacing w:line="594" w:lineRule="exact"/>
        <w:ind w:left="0" w:leftChars="0" w:right="0" w:firstLine="640" w:firstLineChars="200"/>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（二）项目/整体支出绩效目标。</w:t>
      </w:r>
    </w:p>
    <w:p w14:paraId="0C9CA993">
      <w:pPr>
        <w:widowControl w:val="0"/>
        <w:wordWrap/>
        <w:adjustRightInd/>
        <w:snapToGrid/>
        <w:spacing w:line="594" w:lineRule="exact"/>
        <w:ind w:left="0" w:leftChars="0" w:right="0"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以上项目均按计划较好地完成了设计、审图、预算造价、招投标等有关绩效目标。</w:t>
      </w:r>
    </w:p>
    <w:p w14:paraId="0F24B2B0">
      <w:pPr>
        <w:widowControl w:val="0"/>
        <w:wordWrap/>
        <w:adjustRightInd/>
        <w:snapToGrid/>
        <w:spacing w:line="594" w:lineRule="exact"/>
        <w:ind w:left="0" w:leftChars="0" w:right="0" w:firstLine="640" w:firstLineChars="200"/>
        <w:textAlignment w:val="auto"/>
        <w:rPr>
          <w:rFonts w:ascii="方正黑体_GBK" w:hAnsi="黑体" w:eastAsia="方正黑体_GBK"/>
          <w:color w:val="000000"/>
          <w:sz w:val="32"/>
          <w:szCs w:val="32"/>
        </w:rPr>
      </w:pPr>
      <w:r>
        <w:rPr>
          <w:rFonts w:hint="eastAsia" w:ascii="方正黑体_GBK" w:hAnsi="黑体" w:eastAsia="方正黑体_GBK"/>
          <w:color w:val="000000"/>
          <w:sz w:val="32"/>
          <w:szCs w:val="32"/>
        </w:rPr>
        <w:t>二、绩效评价工作情况</w:t>
      </w:r>
    </w:p>
    <w:p w14:paraId="3B57E880">
      <w:pPr>
        <w:widowControl w:val="0"/>
        <w:wordWrap/>
        <w:adjustRightInd/>
        <w:snapToGrid/>
        <w:spacing w:line="594" w:lineRule="exact"/>
        <w:ind w:left="0" w:leftChars="0" w:right="0" w:firstLine="640" w:firstLineChars="200"/>
        <w:textAlignment w:val="auto"/>
        <w:outlineLvl w:val="0"/>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（一）绩效评价目的</w:t>
      </w:r>
    </w:p>
    <w:p w14:paraId="07624D56">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为加强财政资金管理，强化支出责任，提高财政资金的使用效益，建立科学、合理的财政支出绩效评价管理体系。</w:t>
      </w:r>
    </w:p>
    <w:p w14:paraId="3589D881">
      <w:pPr>
        <w:widowControl w:val="0"/>
        <w:wordWrap/>
        <w:adjustRightInd/>
        <w:snapToGrid/>
        <w:spacing w:line="594" w:lineRule="exact"/>
        <w:ind w:left="0" w:leftChars="0" w:right="0" w:firstLine="640" w:firstLineChars="200"/>
        <w:textAlignment w:val="auto"/>
        <w:outlineLvl w:val="0"/>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（二）绩效评价原则、评价指标体系、评价方法</w:t>
      </w:r>
    </w:p>
    <w:p w14:paraId="3D88C98E">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“科学规范、公正公开、分类管理、绩效相关”的原则。</w:t>
      </w:r>
    </w:p>
    <w:p w14:paraId="5549E4EC">
      <w:pPr>
        <w:widowControl w:val="0"/>
        <w:wordWrap/>
        <w:adjustRightInd/>
        <w:snapToGrid/>
        <w:spacing w:line="594" w:lineRule="exact"/>
        <w:ind w:left="0" w:leftChars="0" w:right="0" w:firstLine="640" w:firstLineChars="200"/>
        <w:textAlignment w:val="auto"/>
        <w:outlineLvl w:val="0"/>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（三）绩效评价工作过程</w:t>
      </w:r>
    </w:p>
    <w:p w14:paraId="5CDE51A8">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1、前期准备。搭建工作班子，成立领导小组。</w:t>
      </w:r>
    </w:p>
    <w:p w14:paraId="23842E33">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2、组织实施。按照区委区政府文件要求，扎实推进。</w:t>
      </w:r>
    </w:p>
    <w:p w14:paraId="5377B2FE">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3、分析评价。实地查看，召开调研座谈会等方式进行。</w:t>
      </w:r>
    </w:p>
    <w:p w14:paraId="008EDD80">
      <w:pPr>
        <w:widowControl w:val="0"/>
        <w:wordWrap/>
        <w:adjustRightInd/>
        <w:snapToGrid/>
        <w:spacing w:line="594" w:lineRule="exact"/>
        <w:ind w:left="0" w:leftChars="0" w:right="0" w:firstLine="640" w:firstLineChars="200"/>
        <w:textAlignment w:val="auto"/>
        <w:rPr>
          <w:rFonts w:ascii="方正黑体_GBK" w:hAnsi="黑体" w:eastAsia="方正黑体_GBK"/>
          <w:color w:val="000000"/>
          <w:sz w:val="32"/>
          <w:szCs w:val="32"/>
        </w:rPr>
      </w:pPr>
      <w:r>
        <w:rPr>
          <w:rFonts w:hint="eastAsia" w:ascii="方正黑体_GBK" w:hAnsi="黑体" w:eastAsia="方正黑体_GBK"/>
          <w:color w:val="000000"/>
          <w:sz w:val="32"/>
          <w:szCs w:val="32"/>
        </w:rPr>
        <w:t>三、综合评价情况及评价结论</w:t>
      </w:r>
    </w:p>
    <w:p w14:paraId="3836B75B">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该项目年初计划有11个子项，在实际推进过程中将其中3个子项目合并成了1个子项统一实施，到年底共计有9个子项目，计划总投资为7700万元，项目总体进度基本完成计划目标，各子项整体情况较好，绩效评价最终得分为94.86分。</w:t>
      </w:r>
    </w:p>
    <w:p w14:paraId="59BE4670">
      <w:pPr>
        <w:widowControl w:val="0"/>
        <w:wordWrap/>
        <w:adjustRightInd/>
        <w:snapToGrid/>
        <w:spacing w:line="594" w:lineRule="exact"/>
        <w:ind w:left="0" w:leftChars="0" w:right="0" w:firstLine="640" w:firstLineChars="200"/>
        <w:textAlignment w:val="auto"/>
        <w:rPr>
          <w:rFonts w:ascii="方正黑体_GBK" w:hAnsi="黑体" w:eastAsia="方正黑体_GBK"/>
          <w:color w:val="000000"/>
          <w:sz w:val="32"/>
          <w:szCs w:val="32"/>
        </w:rPr>
      </w:pPr>
      <w:r>
        <w:rPr>
          <w:rFonts w:hint="eastAsia" w:ascii="方正黑体_GBK" w:hAnsi="黑体" w:eastAsia="方正黑体_GBK"/>
          <w:color w:val="000000"/>
          <w:sz w:val="32"/>
          <w:szCs w:val="32"/>
        </w:rPr>
        <w:t>四、项目资金和组织管理情况</w:t>
      </w:r>
    </w:p>
    <w:p w14:paraId="4EDE790C">
      <w:pPr>
        <w:widowControl w:val="0"/>
        <w:wordWrap/>
        <w:adjustRightInd/>
        <w:snapToGrid/>
        <w:spacing w:line="594" w:lineRule="exact"/>
        <w:ind w:left="0" w:leftChars="0" w:right="0" w:firstLine="640" w:firstLineChars="200"/>
        <w:textAlignment w:val="auto"/>
        <w:outlineLvl w:val="0"/>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（一）项目/整体支出资金情况分析</w:t>
      </w:r>
    </w:p>
    <w:p w14:paraId="7B8F7A42">
      <w:pPr>
        <w:widowControl w:val="0"/>
        <w:wordWrap/>
        <w:adjustRightInd/>
        <w:snapToGrid/>
        <w:spacing w:line="594" w:lineRule="exact"/>
        <w:ind w:left="0" w:leftChars="0" w:right="0" w:firstLine="643" w:firstLineChars="200"/>
        <w:textAlignment w:val="auto"/>
        <w:outlineLvl w:val="0"/>
        <w:rPr>
          <w:rFonts w:ascii="方正仿宋_GBK" w:eastAsia="方正仿宋_GBK"/>
          <w:color w:val="000000"/>
          <w:sz w:val="32"/>
          <w:szCs w:val="32"/>
        </w:rPr>
      </w:pPr>
      <w:r>
        <w:rPr>
          <w:rFonts w:hint="eastAsia" w:ascii="方正仿宋_GBK" w:eastAsia="方正仿宋_GBK"/>
          <w:b/>
          <w:bCs/>
          <w:color w:val="000000"/>
          <w:sz w:val="32"/>
          <w:szCs w:val="32"/>
        </w:rPr>
        <w:t>1、项目/整体支出资金安排落实、总投入等情况分析</w:t>
      </w:r>
    </w:p>
    <w:p w14:paraId="682BAB3D">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（1）朝东路沿线环境综合整治，估算总投资约2240万元；</w:t>
      </w:r>
    </w:p>
    <w:p w14:paraId="0F535A26">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（2）陕西路64号周边环境综合整治，估算总投资约320万元；</w:t>
      </w:r>
    </w:p>
    <w:p w14:paraId="156B8DCB">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（3）朝千路、棉花街、沧白路沿线环境综合整治，估算总投资约1040万元。</w:t>
      </w:r>
    </w:p>
    <w:p w14:paraId="7DF16607">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（4）新华路下段及朝千路部分老旧楼宇环境综合整治，批复总投资为1311.65万元；</w:t>
      </w:r>
    </w:p>
    <w:p w14:paraId="485016FB">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（5）长江索道周边老旧楼宇整治，批复总投资为1035.42万元；</w:t>
      </w:r>
    </w:p>
    <w:p w14:paraId="52BF8D9B">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（6）道门口环道周边环境综合整治，批复总投资为84.97万元；</w:t>
      </w:r>
    </w:p>
    <w:p w14:paraId="7335E325">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（7）西三街水产市场周边环境综合整治，批复总投资为366.22万元；</w:t>
      </w:r>
    </w:p>
    <w:p w14:paraId="1A778A72">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（8）陕三巷上段至陕六巷环境综合整治，批复总投资为1571.4万元；</w:t>
      </w:r>
    </w:p>
    <w:p w14:paraId="7642CA22">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（9）陕西路及节约街一巷环境综合整治，批复总投资为1346.03万元。</w:t>
      </w:r>
    </w:p>
    <w:p w14:paraId="7304147D">
      <w:pPr>
        <w:widowControl w:val="0"/>
        <w:wordWrap/>
        <w:adjustRightInd/>
        <w:snapToGrid/>
        <w:spacing w:line="594" w:lineRule="exact"/>
        <w:ind w:left="0" w:leftChars="0" w:right="0" w:firstLine="643" w:firstLineChars="200"/>
        <w:textAlignment w:val="auto"/>
        <w:outlineLvl w:val="0"/>
        <w:rPr>
          <w:rFonts w:ascii="方正仿宋_GBK" w:eastAsia="方正仿宋_GBK"/>
          <w:b/>
          <w:bCs/>
          <w:color w:val="000000"/>
          <w:sz w:val="32"/>
          <w:szCs w:val="32"/>
        </w:rPr>
      </w:pPr>
      <w:r>
        <w:rPr>
          <w:rFonts w:hint="eastAsia" w:ascii="方正仿宋_GBK" w:eastAsia="方正仿宋_GBK"/>
          <w:b/>
          <w:bCs/>
          <w:color w:val="000000"/>
          <w:sz w:val="32"/>
          <w:szCs w:val="32"/>
        </w:rPr>
        <w:t>2、项目/整体支出资金实际使用情况分析（</w:t>
      </w:r>
      <w:r>
        <w:rPr>
          <w:rFonts w:hint="eastAsia" w:ascii="方正仿宋_GBK" w:eastAsia="方正仿宋_GBK"/>
          <w:b/>
          <w:bCs/>
          <w:color w:val="000000"/>
          <w:sz w:val="32"/>
          <w:szCs w:val="32"/>
          <w:lang w:val="en-US" w:eastAsia="zh-CN"/>
        </w:rPr>
        <w:t>截至</w:t>
      </w:r>
      <w:r>
        <w:rPr>
          <w:rFonts w:hint="eastAsia" w:ascii="方正仿宋_GBK" w:eastAsia="方正仿宋_GBK"/>
          <w:b/>
          <w:bCs/>
          <w:color w:val="000000"/>
          <w:sz w:val="32"/>
          <w:szCs w:val="32"/>
        </w:rPr>
        <w:t>2019年12月31日）</w:t>
      </w:r>
    </w:p>
    <w:p w14:paraId="5A43D689">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（1）朝东路沿线环境综合整治，已支出1508.44万元；</w:t>
      </w:r>
    </w:p>
    <w:p w14:paraId="520669D5">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（2）陕西路64号周边环境综合</w:t>
      </w:r>
      <w:bookmarkStart w:id="0" w:name="_GoBack"/>
      <w:bookmarkEnd w:id="0"/>
      <w:r>
        <w:rPr>
          <w:rFonts w:hint="eastAsia" w:ascii="方正仿宋_GBK" w:eastAsia="方正仿宋_GBK"/>
          <w:color w:val="000000"/>
          <w:sz w:val="32"/>
          <w:szCs w:val="32"/>
        </w:rPr>
        <w:t>整治，已支出48万元；</w:t>
      </w:r>
    </w:p>
    <w:p w14:paraId="64A6CDA1">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（3）新华路下段及朝千路部分老旧楼宇环境综合整治，已支出714.16万元；</w:t>
      </w:r>
    </w:p>
    <w:p w14:paraId="4EF13537">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（4）长江索道周边老旧楼宇整治，91.29万元；</w:t>
      </w:r>
    </w:p>
    <w:p w14:paraId="5301EB05">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（5）道门口环道周边环境综合整治，63.59万元；</w:t>
      </w:r>
    </w:p>
    <w:p w14:paraId="0EDED856">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（6）西三街水产市场周边环境综合整治，282.30万元；</w:t>
      </w:r>
    </w:p>
    <w:p w14:paraId="5C3C885F">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（7）陕西路及节约街一巷环境综合整治，619.69万元。</w:t>
      </w:r>
    </w:p>
    <w:p w14:paraId="2682B09B">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其余子项目暂未有实际支出。</w:t>
      </w:r>
    </w:p>
    <w:p w14:paraId="64756F6A">
      <w:pPr>
        <w:widowControl w:val="0"/>
        <w:wordWrap/>
        <w:adjustRightInd/>
        <w:snapToGrid/>
        <w:spacing w:line="594" w:lineRule="exact"/>
        <w:ind w:left="0" w:leftChars="0" w:right="0" w:firstLine="643" w:firstLineChars="200"/>
        <w:textAlignment w:val="auto"/>
        <w:outlineLvl w:val="0"/>
        <w:rPr>
          <w:rFonts w:ascii="方正仿宋_GBK" w:eastAsia="方正仿宋_GBK"/>
          <w:color w:val="000000"/>
          <w:sz w:val="32"/>
          <w:szCs w:val="32"/>
        </w:rPr>
      </w:pPr>
      <w:r>
        <w:rPr>
          <w:rFonts w:hint="eastAsia" w:ascii="方正仿宋_GBK" w:eastAsia="方正仿宋_GBK"/>
          <w:b/>
          <w:bCs/>
          <w:color w:val="000000"/>
          <w:sz w:val="32"/>
          <w:szCs w:val="32"/>
        </w:rPr>
        <w:t>3、项目/整体支出资金管理情况（包括管理制度、办法的制订及执行情况分析）</w:t>
      </w:r>
    </w:p>
    <w:p w14:paraId="7759BC8E">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（1）参照财务制度，管理项目资金；</w:t>
      </w:r>
    </w:p>
    <w:p w14:paraId="72AD59EA">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（2）办公会集体研究大额资金支出制度；</w:t>
      </w:r>
    </w:p>
    <w:p w14:paraId="35C5FD72">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（3）重要设计变更向区领导及朝天门环境综合整治领导小组报告审议制度；</w:t>
      </w:r>
    </w:p>
    <w:p w14:paraId="4E370709">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整体资金管理支出情况较好。</w:t>
      </w:r>
    </w:p>
    <w:p w14:paraId="210F8921">
      <w:pPr>
        <w:widowControl w:val="0"/>
        <w:wordWrap/>
        <w:adjustRightInd/>
        <w:snapToGrid/>
        <w:spacing w:line="594" w:lineRule="exact"/>
        <w:ind w:left="0" w:leftChars="0" w:right="0" w:firstLine="640" w:firstLineChars="200"/>
        <w:textAlignment w:val="auto"/>
        <w:outlineLvl w:val="0"/>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（二）项目/整体支出组织情况分析</w:t>
      </w:r>
    </w:p>
    <w:p w14:paraId="662F2B5E">
      <w:pPr>
        <w:widowControl w:val="0"/>
        <w:wordWrap/>
        <w:adjustRightInd/>
        <w:snapToGrid/>
        <w:spacing w:line="594" w:lineRule="exact"/>
        <w:ind w:left="0" w:leftChars="0" w:right="0" w:firstLine="643" w:firstLineChars="200"/>
        <w:textAlignment w:val="auto"/>
        <w:outlineLvl w:val="0"/>
        <w:rPr>
          <w:rFonts w:ascii="方正仿宋_GBK" w:eastAsia="方正仿宋_GBK"/>
          <w:b/>
          <w:bCs/>
          <w:color w:val="000000"/>
          <w:sz w:val="32"/>
          <w:szCs w:val="32"/>
        </w:rPr>
      </w:pPr>
      <w:r>
        <w:rPr>
          <w:rFonts w:hint="eastAsia" w:ascii="方正仿宋_GBK" w:eastAsia="方正仿宋_GBK"/>
          <w:b/>
          <w:bCs/>
          <w:color w:val="000000"/>
          <w:sz w:val="32"/>
          <w:szCs w:val="32"/>
        </w:rPr>
        <w:t>1、项目/整体支出组织情况（包括项目/整体支出招投标情况、调整情况、完成验收等）分析</w:t>
      </w:r>
    </w:p>
    <w:p w14:paraId="3DBECD22">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1）朝东路沿线环境综合整治，该项目分两部分进行，一是电力和弱电管线下地，按照电力行业标准通过比选确定了施工单位，于2019年8月2日开工，2019年11月1日竣工；二是朝东路沿线建筑立面和道路环境综合整治，目前正在前期工作；</w:t>
      </w:r>
    </w:p>
    <w:p w14:paraId="6B5F004C">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（2）陕西路64号周边环境综合整治，原计划2020年开工，但结合2019年10月份区领导马路办公要求，必须在2019年12月15日前完成，故采用应急程序确定了施工单位，于2019年12月20日竣工完成；</w:t>
      </w:r>
    </w:p>
    <w:p w14:paraId="222B8080">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（3）新华路下段及朝千路部分老旧楼宇环境综合整治，按照公开招投标程序进行了公开招投标，于2019年3月1日开工，2019年8月29日竣工；</w:t>
      </w:r>
    </w:p>
    <w:p w14:paraId="2FCEAEB3">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（4）长江索道周边老旧楼宇整治，按照公开招投标程序进行了公开招投标，于</w:t>
      </w:r>
      <w:r>
        <w:rPr>
          <w:rFonts w:hint="eastAsia" w:ascii="方正仿宋_GBK" w:hAnsi="方正仿宋_GBK" w:eastAsia="方正仿宋_GBK" w:cs="方正仿宋_GBK"/>
          <w:bCs/>
          <w:sz w:val="32"/>
          <w:szCs w:val="32"/>
        </w:rPr>
        <w:t>2019年11月28日底正式开工，目前正在施工中</w:t>
      </w:r>
      <w:r>
        <w:rPr>
          <w:rFonts w:hint="eastAsia" w:ascii="方正仿宋_GBK" w:eastAsia="方正仿宋_GBK"/>
          <w:color w:val="000000"/>
          <w:sz w:val="32"/>
          <w:szCs w:val="32"/>
        </w:rPr>
        <w:t>；</w:t>
      </w:r>
    </w:p>
    <w:p w14:paraId="468FF4C8">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（5）道门口环道周边环境综合整治，按照</w:t>
      </w:r>
      <w:r>
        <w:rPr>
          <w:rFonts w:hint="eastAsia" w:ascii="方正仿宋_GBK" w:eastAsia="方正仿宋_GBK"/>
          <w:b/>
          <w:color w:val="000000"/>
          <w:sz w:val="32"/>
          <w:szCs w:val="32"/>
        </w:rPr>
        <w:t>非</w:t>
      </w:r>
      <w:r>
        <w:rPr>
          <w:rFonts w:hint="eastAsia" w:ascii="方正仿宋_GBK" w:eastAsia="方正仿宋_GBK"/>
          <w:color w:val="000000"/>
          <w:sz w:val="32"/>
          <w:szCs w:val="32"/>
        </w:rPr>
        <w:t>公开招投标程序进行了比选，于2019年6月20日开工，2019年10月22日竣工；</w:t>
      </w:r>
    </w:p>
    <w:p w14:paraId="11EFEAFF">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（6）西三街水产市场周边环境综合整治，按照</w:t>
      </w:r>
      <w:r>
        <w:rPr>
          <w:rFonts w:hint="eastAsia" w:ascii="方正仿宋_GBK" w:eastAsia="方正仿宋_GBK"/>
          <w:b/>
          <w:color w:val="000000"/>
          <w:sz w:val="32"/>
          <w:szCs w:val="32"/>
        </w:rPr>
        <w:t>非</w:t>
      </w:r>
      <w:r>
        <w:rPr>
          <w:rFonts w:hint="eastAsia" w:ascii="方正仿宋_GBK" w:eastAsia="方正仿宋_GBK"/>
          <w:color w:val="000000"/>
          <w:sz w:val="32"/>
          <w:szCs w:val="32"/>
        </w:rPr>
        <w:t>公开招投标程序进行了比选，于2019年4月16日开工，2019年12月16日竣工；</w:t>
      </w:r>
    </w:p>
    <w:p w14:paraId="04F87181">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（7）陕西路及节约街一巷环境综合整治，按照公开招投标程序进行了公开招投标，于2019年9月20日开工，2019年9月18日竣工；</w:t>
      </w:r>
    </w:p>
    <w:p w14:paraId="4041E6F2">
      <w:pPr>
        <w:widowControl w:val="0"/>
        <w:wordWrap/>
        <w:adjustRightInd/>
        <w:snapToGrid/>
        <w:spacing w:line="594" w:lineRule="exact"/>
        <w:ind w:left="0" w:leftChars="0" w:right="0" w:firstLine="640" w:firstLineChars="200"/>
        <w:textAlignment w:val="auto"/>
        <w:outlineLvl w:val="0"/>
        <w:rPr>
          <w:rFonts w:ascii="方正仿宋_GBK" w:eastAsia="方正仿宋_GBK"/>
          <w:color w:val="000000"/>
          <w:sz w:val="32"/>
          <w:szCs w:val="32"/>
        </w:rPr>
      </w:pPr>
      <w:r>
        <w:rPr>
          <w:rFonts w:hint="eastAsia" w:ascii="方正仿宋_GBK" w:eastAsia="方正仿宋_GBK"/>
          <w:color w:val="000000"/>
          <w:sz w:val="32"/>
          <w:szCs w:val="32"/>
        </w:rPr>
        <w:t>（8）陕三巷上段至陕六巷环境综合整治，按照公开招投标程序进行了公开招投标，于2019年11月施工单位进场，</w:t>
      </w:r>
      <w:r>
        <w:rPr>
          <w:rFonts w:hint="eastAsia" w:ascii="方正仿宋_GBK" w:eastAsia="方正仿宋_GBK"/>
          <w:sz w:val="32"/>
          <w:szCs w:val="32"/>
        </w:rPr>
        <w:t>但未正式动工。由于该项目涉及大量违章搭建摊蓬，需拆除后腾出整治作业面，违建摊蓬正在按照拆违流程走程序，同时违章摊蓬经营户涉及历史遗留问题，待区里确定了违章摊蓬经营户的安置方式后，才能正式动工；</w:t>
      </w:r>
    </w:p>
    <w:p w14:paraId="3CD4A50D">
      <w:pPr>
        <w:widowControl w:val="0"/>
        <w:wordWrap/>
        <w:adjustRightInd/>
        <w:snapToGrid/>
        <w:spacing w:line="594" w:lineRule="exact"/>
        <w:ind w:left="0" w:leftChars="0" w:right="0" w:firstLine="640" w:firstLineChars="200"/>
        <w:textAlignment w:val="auto"/>
        <w:outlineLvl w:val="0"/>
        <w:rPr>
          <w:rFonts w:ascii="方正仿宋_GBK" w:eastAsia="方正仿宋_GBK"/>
          <w:sz w:val="32"/>
          <w:szCs w:val="32"/>
        </w:rPr>
      </w:pPr>
      <w:r>
        <w:rPr>
          <w:rFonts w:hint="eastAsia" w:ascii="方正仿宋_GBK" w:eastAsia="方正仿宋_GBK"/>
          <w:sz w:val="32"/>
          <w:szCs w:val="32"/>
        </w:rPr>
        <w:t>（9）朝千路、棉花街、沧白路沿线环境综合整治，正在前期工作中。</w:t>
      </w:r>
    </w:p>
    <w:p w14:paraId="2BCA21BE">
      <w:pPr>
        <w:widowControl w:val="0"/>
        <w:wordWrap/>
        <w:adjustRightInd/>
        <w:snapToGrid/>
        <w:spacing w:line="594" w:lineRule="exact"/>
        <w:ind w:left="0" w:leftChars="0" w:right="0" w:firstLine="643" w:firstLineChars="200"/>
        <w:textAlignment w:val="auto"/>
        <w:outlineLvl w:val="0"/>
        <w:rPr>
          <w:rFonts w:ascii="方正仿宋_GBK" w:eastAsia="方正仿宋_GBK"/>
          <w:b/>
          <w:bCs/>
          <w:sz w:val="32"/>
          <w:szCs w:val="32"/>
        </w:rPr>
      </w:pPr>
      <w:r>
        <w:rPr>
          <w:rFonts w:hint="eastAsia" w:ascii="方正仿宋_GBK" w:eastAsia="方正仿宋_GBK"/>
          <w:b/>
          <w:bCs/>
          <w:sz w:val="32"/>
          <w:szCs w:val="32"/>
        </w:rPr>
        <w:t>2、项目/整体支出管理情况（包括项目/整体支出管理制度建设、日常检查监督管理等情况）分析</w:t>
      </w:r>
    </w:p>
    <w:p w14:paraId="2A33950A">
      <w:pPr>
        <w:widowControl w:val="0"/>
        <w:wordWrap/>
        <w:adjustRightInd/>
        <w:snapToGrid/>
        <w:spacing w:line="594" w:lineRule="exact"/>
        <w:ind w:left="0" w:leftChars="0" w:right="0" w:firstLine="640" w:firstLineChars="200"/>
        <w:textAlignment w:val="auto"/>
        <w:outlineLvl w:val="0"/>
        <w:rPr>
          <w:rFonts w:ascii="方正仿宋_GBK" w:eastAsia="方正仿宋_GBK"/>
          <w:sz w:val="32"/>
          <w:szCs w:val="32"/>
        </w:rPr>
      </w:pPr>
      <w:r>
        <w:rPr>
          <w:rFonts w:hint="eastAsia" w:ascii="方正仿宋_GBK" w:eastAsia="方正仿宋_GBK"/>
          <w:sz w:val="32"/>
          <w:szCs w:val="32"/>
        </w:rPr>
        <w:t>严格支出管理流程：科务会研究、分管领导把关、党政联席会审议、财务人员复审。</w:t>
      </w:r>
    </w:p>
    <w:p w14:paraId="67EC2AB6">
      <w:pPr>
        <w:widowControl w:val="0"/>
        <w:wordWrap/>
        <w:adjustRightInd/>
        <w:snapToGrid/>
        <w:spacing w:line="594" w:lineRule="exact"/>
        <w:ind w:left="0" w:leftChars="0" w:right="0"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五、主要经验及做法、存在的问题和建议</w:t>
      </w:r>
    </w:p>
    <w:p w14:paraId="4CEDF40B">
      <w:pPr>
        <w:widowControl w:val="0"/>
        <w:wordWrap/>
        <w:adjustRightInd/>
        <w:snapToGrid/>
        <w:spacing w:line="594" w:lineRule="exact"/>
        <w:ind w:left="0" w:leftChars="0" w:right="0" w:firstLine="640" w:firstLineChars="200"/>
        <w:textAlignment w:val="auto"/>
        <w:rPr>
          <w:rFonts w:ascii="方正仿宋_GBK" w:hAnsi="黑体" w:eastAsia="方正仿宋_GBK"/>
          <w:sz w:val="32"/>
          <w:szCs w:val="32"/>
        </w:rPr>
      </w:pPr>
      <w:r>
        <w:rPr>
          <w:rFonts w:hint="eastAsia" w:ascii="方正楷体_GBK" w:hAnsi="方正楷体_GBK" w:eastAsia="方正楷体_GBK" w:cs="方正楷体_GBK"/>
          <w:sz w:val="32"/>
          <w:szCs w:val="32"/>
        </w:rPr>
        <w:t>（一）制作项目管理通讯录。</w:t>
      </w:r>
      <w:r>
        <w:rPr>
          <w:rFonts w:hint="eastAsia" w:ascii="方正仿宋_GBK" w:hAnsi="黑体" w:eastAsia="方正仿宋_GBK"/>
          <w:sz w:val="32"/>
          <w:szCs w:val="32"/>
        </w:rPr>
        <w:t>统计整理每个项目各个环节对接的区级部门和公司人员名单，制作详细的项目管理通讯录，一是便于日常联系，二是为今后工作开展提供借鉴。</w:t>
      </w:r>
    </w:p>
    <w:p w14:paraId="2BF31167">
      <w:pPr>
        <w:widowControl w:val="0"/>
        <w:wordWrap/>
        <w:adjustRightInd/>
        <w:snapToGrid/>
        <w:spacing w:line="594" w:lineRule="exact"/>
        <w:ind w:left="0" w:leftChars="0" w:right="0" w:firstLine="640" w:firstLineChars="200"/>
        <w:textAlignment w:val="auto"/>
        <w:rPr>
          <w:rFonts w:ascii="方正仿宋_GBK" w:hAnsi="黑体" w:eastAsia="方正仿宋_GBK"/>
          <w:sz w:val="32"/>
          <w:szCs w:val="32"/>
        </w:rPr>
      </w:pPr>
      <w:r>
        <w:rPr>
          <w:rFonts w:hint="eastAsia" w:ascii="方正楷体_GBK" w:hAnsi="方正楷体_GBK" w:eastAsia="方正楷体_GBK" w:cs="方正楷体_GBK"/>
          <w:sz w:val="32"/>
          <w:szCs w:val="32"/>
        </w:rPr>
        <w:t>（二）制作日常资料进出台帐。</w:t>
      </w:r>
      <w:r>
        <w:rPr>
          <w:rFonts w:hint="eastAsia" w:ascii="方正仿宋_GBK" w:hAnsi="黑体" w:eastAsia="方正仿宋_GBK"/>
          <w:sz w:val="32"/>
          <w:szCs w:val="32"/>
        </w:rPr>
        <w:t>以项目为单位制作资料台帐，对日常进出的资料内容、数量、日期进行详细登记。纸质资料建档存放，日常进出完善台账记录；电子档资料同样以项目为单位建立专用文件夹存放。</w:t>
      </w:r>
    </w:p>
    <w:p w14:paraId="515CB307">
      <w:pPr>
        <w:widowControl w:val="0"/>
        <w:wordWrap/>
        <w:adjustRightInd/>
        <w:snapToGrid/>
        <w:spacing w:line="594" w:lineRule="exact"/>
        <w:ind w:left="0" w:leftChars="0" w:right="0" w:firstLine="640" w:firstLineChars="200"/>
        <w:textAlignment w:val="auto"/>
        <w:rPr>
          <w:rFonts w:ascii="方正黑体_GBK" w:hAnsi="黑体" w:eastAsia="方正黑体_GBK"/>
          <w:sz w:val="32"/>
          <w:szCs w:val="32"/>
        </w:rPr>
      </w:pPr>
      <w:r>
        <w:rPr>
          <w:rFonts w:hint="eastAsia" w:ascii="方正楷体_GBK" w:hAnsi="方正楷体_GBK" w:eastAsia="方正楷体_GBK" w:cs="方正楷体_GBK"/>
          <w:sz w:val="32"/>
          <w:szCs w:val="32"/>
        </w:rPr>
        <w:t>（三）制作专项资金请拨台帐。</w:t>
      </w:r>
      <w:r>
        <w:rPr>
          <w:rFonts w:hint="eastAsia" w:ascii="方正仿宋_GBK" w:hAnsi="黑体" w:eastAsia="方正仿宋_GBK"/>
          <w:sz w:val="32"/>
          <w:szCs w:val="32"/>
        </w:rPr>
        <w:t>以项目为单位制作资金请付款台帐，对每一笔进出款项做详细记录。</w:t>
      </w:r>
    </w:p>
    <w:p w14:paraId="54E0DE25">
      <w:pPr>
        <w:widowControl w:val="0"/>
        <w:wordWrap/>
        <w:adjustRightInd/>
        <w:snapToGrid/>
        <w:spacing w:line="594" w:lineRule="exact"/>
        <w:ind w:left="0" w:leftChars="0" w:right="0"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六、其他需说明的问题</w:t>
      </w:r>
    </w:p>
    <w:p w14:paraId="3834EBAD">
      <w:pPr>
        <w:pStyle w:val="8"/>
        <w:widowControl w:val="0"/>
        <w:wordWrap/>
        <w:adjustRightInd/>
        <w:snapToGrid/>
        <w:spacing w:line="594" w:lineRule="exact"/>
        <w:ind w:left="0" w:leftChars="0" w:right="0"/>
        <w:textAlignment w:val="auto"/>
        <w:rPr>
          <w:rFonts w:ascii="方正仿宋_GBK" w:eastAsia="方正仿宋_GBK"/>
          <w:sz w:val="32"/>
          <w:szCs w:val="32"/>
        </w:rPr>
      </w:pPr>
      <w:r>
        <w:rPr>
          <w:rFonts w:hint="eastAsia" w:ascii="方正仿宋_GBK" w:eastAsia="方正仿宋_GBK"/>
          <w:sz w:val="32"/>
          <w:szCs w:val="32"/>
        </w:rPr>
        <w:t xml:space="preserve">    暂无</w:t>
      </w:r>
    </w:p>
    <w:p w14:paraId="246F736D">
      <w:pPr>
        <w:pStyle w:val="8"/>
        <w:widowControl w:val="0"/>
        <w:wordWrap/>
        <w:adjustRightInd/>
        <w:snapToGrid/>
        <w:spacing w:line="594" w:lineRule="exact"/>
        <w:ind w:left="0" w:leftChars="0" w:right="0" w:firstLine="5440" w:firstLineChars="1700"/>
        <w:textAlignment w:val="auto"/>
        <w:rPr>
          <w:rFonts w:ascii="方正仿宋_GBK" w:eastAsia="方正仿宋_GBK"/>
          <w:sz w:val="32"/>
          <w:szCs w:val="32"/>
        </w:rPr>
      </w:pPr>
    </w:p>
    <w:p w14:paraId="660D4F16">
      <w:pPr>
        <w:pStyle w:val="8"/>
        <w:widowControl w:val="0"/>
        <w:wordWrap/>
        <w:adjustRightInd/>
        <w:snapToGrid/>
        <w:spacing w:line="594" w:lineRule="exact"/>
        <w:ind w:left="0" w:leftChars="0" w:right="0" w:firstLine="5440" w:firstLineChars="1700"/>
        <w:textAlignment w:val="auto"/>
        <w:rPr>
          <w:rFonts w:ascii="方正仿宋_GBK" w:eastAsia="方正仿宋_GBK"/>
          <w:sz w:val="32"/>
          <w:szCs w:val="32"/>
        </w:rPr>
      </w:pPr>
      <w:r>
        <w:rPr>
          <w:rFonts w:hint="eastAsia" w:ascii="方正仿宋_GBK" w:eastAsia="方正仿宋_GBK"/>
          <w:sz w:val="32"/>
          <w:szCs w:val="32"/>
        </w:rPr>
        <w:t>朝天门街道办事处</w:t>
      </w:r>
    </w:p>
    <w:p w14:paraId="6A7B7880">
      <w:pPr>
        <w:pStyle w:val="8"/>
        <w:widowControl w:val="0"/>
        <w:wordWrap/>
        <w:adjustRightInd/>
        <w:snapToGrid/>
        <w:spacing w:line="594" w:lineRule="exact"/>
        <w:ind w:left="0" w:leftChars="0" w:right="0" w:firstLine="5600" w:firstLineChars="1750"/>
        <w:textAlignment w:val="auto"/>
        <w:rPr>
          <w:rFonts w:hint="eastAsia" w:ascii="方正仿宋_GBK" w:eastAsia="方正仿宋_GBK"/>
          <w:sz w:val="32"/>
          <w:szCs w:val="32"/>
        </w:rPr>
      </w:pPr>
      <w:r>
        <w:rPr>
          <w:rFonts w:hint="eastAsia" w:ascii="方正仿宋_GBK" w:eastAsia="方正仿宋_GBK"/>
          <w:sz w:val="32"/>
          <w:szCs w:val="32"/>
        </w:rPr>
        <w:t>2020年4月15日</w:t>
      </w:r>
    </w:p>
    <w:p w14:paraId="5F9400EE">
      <w:pPr>
        <w:pStyle w:val="8"/>
        <w:spacing w:line="600" w:lineRule="exact"/>
        <w:ind w:firstLine="5600" w:firstLineChars="1750"/>
        <w:rPr>
          <w:rFonts w:hint="eastAsia" w:ascii="方正仿宋_GBK" w:eastAsia="方正仿宋_GBK"/>
          <w:sz w:val="32"/>
          <w:szCs w:val="32"/>
        </w:rPr>
      </w:pPr>
    </w:p>
    <w:p w14:paraId="000B9E17">
      <w:pPr>
        <w:pStyle w:val="8"/>
        <w:spacing w:line="600" w:lineRule="exact"/>
        <w:ind w:firstLine="5600" w:firstLineChars="1750"/>
        <w:rPr>
          <w:rFonts w:hint="eastAsia" w:ascii="方正仿宋_GBK" w:eastAsia="方正仿宋_GBK"/>
          <w:sz w:val="32"/>
          <w:szCs w:val="32"/>
        </w:rPr>
      </w:pPr>
    </w:p>
    <w:p w14:paraId="79EB25B5">
      <w:pPr>
        <w:pStyle w:val="8"/>
        <w:spacing w:line="600" w:lineRule="exact"/>
        <w:ind w:firstLine="5600" w:firstLineChars="1750"/>
        <w:rPr>
          <w:rFonts w:hint="eastAsia" w:ascii="方正仿宋_GBK" w:eastAsia="方正仿宋_GBK"/>
          <w:sz w:val="32"/>
          <w:szCs w:val="32"/>
        </w:rPr>
      </w:pPr>
    </w:p>
    <w:p w14:paraId="2AC32BA5">
      <w:pPr>
        <w:pStyle w:val="8"/>
        <w:spacing w:line="600" w:lineRule="exact"/>
        <w:ind w:firstLine="5600" w:firstLineChars="1750"/>
        <w:rPr>
          <w:rFonts w:hint="eastAsia" w:ascii="方正仿宋_GBK" w:eastAsia="方正仿宋_GBK"/>
          <w:sz w:val="32"/>
          <w:szCs w:val="32"/>
        </w:rPr>
      </w:pPr>
    </w:p>
    <w:p w14:paraId="052CFCD5">
      <w:pPr>
        <w:pStyle w:val="8"/>
        <w:spacing w:line="600" w:lineRule="exact"/>
        <w:ind w:firstLine="5600" w:firstLineChars="1750"/>
        <w:rPr>
          <w:rFonts w:hint="eastAsia" w:ascii="方正仿宋_GBK" w:eastAsia="方正仿宋_GBK"/>
          <w:sz w:val="32"/>
          <w:szCs w:val="32"/>
        </w:rPr>
      </w:pPr>
    </w:p>
    <w:p w14:paraId="55725414">
      <w:pPr>
        <w:pStyle w:val="8"/>
        <w:spacing w:line="600" w:lineRule="exact"/>
        <w:ind w:firstLine="5600" w:firstLineChars="1750"/>
        <w:rPr>
          <w:rFonts w:hint="eastAsia" w:ascii="方正仿宋_GBK" w:eastAsia="方正仿宋_GBK"/>
          <w:sz w:val="32"/>
          <w:szCs w:val="32"/>
        </w:rPr>
      </w:pPr>
    </w:p>
    <w:p w14:paraId="11ABCAEF">
      <w:pPr>
        <w:pStyle w:val="8"/>
        <w:spacing w:line="600" w:lineRule="exact"/>
        <w:ind w:firstLine="5600" w:firstLineChars="1750"/>
        <w:rPr>
          <w:rFonts w:hint="eastAsia" w:ascii="方正仿宋_GBK" w:eastAsia="方正仿宋_GBK"/>
          <w:sz w:val="32"/>
          <w:szCs w:val="32"/>
        </w:rPr>
      </w:pPr>
    </w:p>
    <w:p w14:paraId="49D64A8B">
      <w:pPr>
        <w:pStyle w:val="8"/>
        <w:spacing w:line="600" w:lineRule="exact"/>
        <w:ind w:firstLine="5600" w:firstLineChars="1750"/>
        <w:rPr>
          <w:rFonts w:hint="eastAsia" w:ascii="方正仿宋_GBK" w:eastAsia="方正仿宋_GBK"/>
          <w:sz w:val="32"/>
          <w:szCs w:val="32"/>
        </w:rPr>
      </w:pPr>
    </w:p>
    <w:p w14:paraId="62AB81E4">
      <w:pPr>
        <w:pStyle w:val="8"/>
        <w:spacing w:line="600" w:lineRule="exact"/>
        <w:ind w:firstLine="5600" w:firstLineChars="1750"/>
        <w:rPr>
          <w:rFonts w:hint="eastAsia" w:ascii="方正仿宋_GBK" w:eastAsia="方正仿宋_GBK"/>
          <w:sz w:val="32"/>
          <w:szCs w:val="32"/>
        </w:rPr>
      </w:pPr>
    </w:p>
    <w:p w14:paraId="02FBB2CA">
      <w:pPr>
        <w:pStyle w:val="8"/>
        <w:spacing w:line="600" w:lineRule="exact"/>
        <w:ind w:firstLine="5600" w:firstLineChars="1750"/>
        <w:rPr>
          <w:rFonts w:hint="eastAsia" w:ascii="方正仿宋_GBK" w:eastAsia="方正仿宋_GBK"/>
          <w:sz w:val="32"/>
          <w:szCs w:val="32"/>
        </w:rPr>
      </w:pPr>
    </w:p>
    <w:p w14:paraId="53868D38">
      <w:pPr>
        <w:pStyle w:val="8"/>
        <w:spacing w:line="600" w:lineRule="exact"/>
        <w:ind w:firstLine="5600" w:firstLineChars="1750"/>
        <w:rPr>
          <w:rFonts w:hint="eastAsia" w:ascii="方正仿宋_GBK" w:eastAsia="方正仿宋_GBK"/>
          <w:sz w:val="32"/>
          <w:szCs w:val="32"/>
        </w:rPr>
      </w:pPr>
    </w:p>
    <w:p w14:paraId="4A18B33B">
      <w:pPr>
        <w:pStyle w:val="8"/>
        <w:spacing w:line="600" w:lineRule="exact"/>
        <w:rPr>
          <w:rFonts w:hint="eastAsia" w:ascii="方正仿宋_GBK" w:eastAsia="方正仿宋_GBK"/>
          <w:sz w:val="32"/>
          <w:szCs w:val="32"/>
        </w:rPr>
      </w:pPr>
    </w:p>
    <w:p w14:paraId="1D8FA034">
      <w:pPr>
        <w:widowControl/>
        <w:jc w:val="center"/>
        <w:textAlignment w:val="center"/>
        <w:rPr>
          <w:rFonts w:hint="eastAsia" w:ascii="宋体" w:hAnsi="宋体" w:eastAsia="宋体" w:cs="宋体"/>
          <w:b/>
          <w:i w:val="0"/>
          <w:color w:val="000000"/>
          <w:kern w:val="0"/>
          <w:sz w:val="48"/>
          <w:szCs w:val="48"/>
          <w:u w:val="none"/>
          <w:lang w:val="en-US" w:eastAsia="zh-CN" w:bidi="ar-SA"/>
        </w:rPr>
        <w:sectPr>
          <w:pgSz w:w="11906" w:h="16838"/>
          <w:pgMar w:top="1984" w:right="1446" w:bottom="1644" w:left="1446" w:header="851" w:footer="992" w:gutter="0"/>
          <w:cols w:space="0" w:num="1"/>
          <w:rtlGutter w:val="0"/>
          <w:docGrid w:type="lines" w:linePitch="319" w:charSpace="0"/>
        </w:sectPr>
      </w:pPr>
    </w:p>
    <w:tbl>
      <w:tblPr>
        <w:tblStyle w:val="6"/>
        <w:tblW w:w="138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06"/>
        <w:gridCol w:w="1134"/>
        <w:gridCol w:w="643"/>
        <w:gridCol w:w="1372"/>
        <w:gridCol w:w="374"/>
        <w:gridCol w:w="2064"/>
        <w:gridCol w:w="690"/>
        <w:gridCol w:w="4326"/>
        <w:gridCol w:w="2025"/>
        <w:gridCol w:w="15"/>
      </w:tblGrid>
      <w:tr w14:paraId="38F1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13849" w:type="dxa"/>
            <w:gridSpan w:val="10"/>
            <w:vAlign w:val="center"/>
          </w:tcPr>
          <w:p w14:paraId="65ADE316">
            <w:pPr>
              <w:widowControl/>
              <w:jc w:val="center"/>
              <w:textAlignment w:val="center"/>
              <w:rPr>
                <w:rFonts w:hint="eastAsia" w:ascii="宋体" w:hAnsi="宋体" w:eastAsia="宋体" w:cs="宋体"/>
                <w:b/>
                <w:i w:val="0"/>
                <w:color w:val="000000"/>
                <w:sz w:val="48"/>
                <w:szCs w:val="48"/>
                <w:u w:val="none"/>
              </w:rPr>
            </w:pPr>
            <w:r>
              <w:rPr>
                <w:rFonts w:hint="eastAsia" w:ascii="宋体" w:hAnsi="宋体" w:eastAsia="宋体" w:cs="宋体"/>
                <w:b/>
                <w:i w:val="0"/>
                <w:color w:val="000000"/>
                <w:kern w:val="0"/>
                <w:sz w:val="48"/>
                <w:szCs w:val="48"/>
                <w:u w:val="none"/>
                <w:lang w:val="en-US" w:eastAsia="zh-CN" w:bidi="ar-SA"/>
              </w:rPr>
              <w:t>2019年度渝中区朝天门片区环境综合整治项目绩效评价指标体系</w:t>
            </w:r>
          </w:p>
        </w:tc>
      </w:tr>
      <w:tr w14:paraId="76FB1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206" w:type="dxa"/>
            <w:tcBorders>
              <w:top w:val="single" w:color="000000" w:sz="12" w:space="0"/>
              <w:left w:val="single" w:color="000000" w:sz="12" w:space="0"/>
              <w:bottom w:val="single" w:color="000000" w:sz="4" w:space="0"/>
              <w:right w:val="single" w:color="000000" w:sz="4" w:space="0"/>
            </w:tcBorders>
            <w:vAlign w:val="center"/>
          </w:tcPr>
          <w:p w14:paraId="4A212166">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一级指标</w:t>
            </w:r>
          </w:p>
        </w:tc>
        <w:tc>
          <w:tcPr>
            <w:tcW w:w="1134" w:type="dxa"/>
            <w:tcBorders>
              <w:top w:val="single" w:color="000000" w:sz="12" w:space="0"/>
              <w:left w:val="single" w:color="000000" w:sz="4" w:space="0"/>
              <w:bottom w:val="single" w:color="000000" w:sz="4" w:space="0"/>
              <w:right w:val="single" w:color="000000" w:sz="4" w:space="0"/>
            </w:tcBorders>
            <w:vAlign w:val="center"/>
          </w:tcPr>
          <w:p w14:paraId="19A399BB">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二级指标</w:t>
            </w:r>
          </w:p>
        </w:tc>
        <w:tc>
          <w:tcPr>
            <w:tcW w:w="643" w:type="dxa"/>
            <w:tcBorders>
              <w:top w:val="single" w:color="000000" w:sz="12" w:space="0"/>
              <w:left w:val="single" w:color="000000" w:sz="4" w:space="0"/>
              <w:bottom w:val="single" w:color="000000" w:sz="4" w:space="0"/>
              <w:right w:val="single" w:color="000000" w:sz="4" w:space="0"/>
            </w:tcBorders>
            <w:vAlign w:val="center"/>
          </w:tcPr>
          <w:p w14:paraId="133F203D">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三级指标</w:t>
            </w:r>
          </w:p>
        </w:tc>
        <w:tc>
          <w:tcPr>
            <w:tcW w:w="1746" w:type="dxa"/>
            <w:gridSpan w:val="2"/>
            <w:tcBorders>
              <w:top w:val="single" w:color="000000" w:sz="12" w:space="0"/>
              <w:left w:val="single" w:color="000000" w:sz="4" w:space="0"/>
              <w:bottom w:val="single" w:color="000000" w:sz="4" w:space="0"/>
              <w:right w:val="single" w:color="000000" w:sz="4" w:space="0"/>
            </w:tcBorders>
            <w:vAlign w:val="center"/>
          </w:tcPr>
          <w:p w14:paraId="41F4B5D4">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明细指标</w:t>
            </w:r>
          </w:p>
        </w:tc>
        <w:tc>
          <w:tcPr>
            <w:tcW w:w="2064" w:type="dxa"/>
            <w:tcBorders>
              <w:top w:val="single" w:color="000000" w:sz="12" w:space="0"/>
              <w:left w:val="single" w:color="000000" w:sz="4" w:space="0"/>
              <w:bottom w:val="single" w:color="000000" w:sz="4" w:space="0"/>
              <w:right w:val="single" w:color="000000" w:sz="4" w:space="0"/>
            </w:tcBorders>
            <w:vAlign w:val="center"/>
          </w:tcPr>
          <w:p w14:paraId="6DE54026">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指标说明</w:t>
            </w:r>
          </w:p>
        </w:tc>
        <w:tc>
          <w:tcPr>
            <w:tcW w:w="690" w:type="dxa"/>
            <w:tcBorders>
              <w:top w:val="single" w:color="000000" w:sz="12" w:space="0"/>
              <w:left w:val="single" w:color="000000" w:sz="4" w:space="0"/>
              <w:bottom w:val="single" w:color="000000" w:sz="4" w:space="0"/>
              <w:right w:val="single" w:color="000000" w:sz="4" w:space="0"/>
            </w:tcBorders>
            <w:vAlign w:val="center"/>
          </w:tcPr>
          <w:p w14:paraId="7498C230">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分值</w:t>
            </w:r>
          </w:p>
        </w:tc>
        <w:tc>
          <w:tcPr>
            <w:tcW w:w="4326" w:type="dxa"/>
            <w:tcBorders>
              <w:top w:val="single" w:color="000000" w:sz="12" w:space="0"/>
              <w:left w:val="single" w:color="000000" w:sz="4" w:space="0"/>
              <w:bottom w:val="single" w:color="000000" w:sz="4" w:space="0"/>
              <w:right w:val="single" w:color="000000" w:sz="4" w:space="0"/>
            </w:tcBorders>
            <w:vAlign w:val="center"/>
          </w:tcPr>
          <w:p w14:paraId="6A779D4D">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评价标准</w:t>
            </w:r>
          </w:p>
        </w:tc>
        <w:tc>
          <w:tcPr>
            <w:tcW w:w="2040" w:type="dxa"/>
            <w:gridSpan w:val="2"/>
            <w:tcBorders>
              <w:top w:val="single" w:color="000000" w:sz="12" w:space="0"/>
              <w:left w:val="single" w:color="000000" w:sz="4" w:space="0"/>
              <w:bottom w:val="single" w:color="000000" w:sz="4" w:space="0"/>
              <w:right w:val="single" w:color="000000" w:sz="12" w:space="0"/>
            </w:tcBorders>
            <w:vAlign w:val="center"/>
          </w:tcPr>
          <w:p w14:paraId="6EAA6CA3">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得分</w:t>
            </w:r>
          </w:p>
        </w:tc>
      </w:tr>
      <w:tr w14:paraId="0D46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1206"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14:paraId="2E1F2057">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产出</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433B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目</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产</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出</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710B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w:t>
            </w:r>
          </w:p>
        </w:tc>
        <w:tc>
          <w:tcPr>
            <w:tcW w:w="174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498BA0">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完成年度投资额</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A13A8">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7700万元</w:t>
            </w:r>
          </w:p>
        </w:tc>
        <w:tc>
          <w:tcPr>
            <w:tcW w:w="690" w:type="dxa"/>
            <w:tcBorders>
              <w:top w:val="single" w:color="000000" w:sz="4" w:space="0"/>
              <w:left w:val="single" w:color="000000" w:sz="4" w:space="0"/>
              <w:bottom w:val="single" w:color="000000" w:sz="4" w:space="0"/>
              <w:right w:val="single" w:color="000000" w:sz="4" w:space="0"/>
            </w:tcBorders>
            <w:vAlign w:val="center"/>
          </w:tcPr>
          <w:p w14:paraId="184DCD5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8</w:t>
            </w:r>
          </w:p>
        </w:tc>
        <w:tc>
          <w:tcPr>
            <w:tcW w:w="4326" w:type="dxa"/>
            <w:tcBorders>
              <w:top w:val="single" w:color="000000" w:sz="4" w:space="0"/>
              <w:left w:val="single" w:color="000000" w:sz="4" w:space="0"/>
              <w:bottom w:val="single" w:color="000000" w:sz="4" w:space="0"/>
              <w:right w:val="single" w:color="000000" w:sz="4" w:space="0"/>
            </w:tcBorders>
            <w:vAlign w:val="center"/>
          </w:tcPr>
          <w:p w14:paraId="0903CDC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60%&lt;实际完成率&lt;100%，得分=实际完成率*8；</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实际完成率≥100%，得8分</w:t>
            </w:r>
          </w:p>
        </w:tc>
        <w:tc>
          <w:tcPr>
            <w:tcW w:w="2040" w:type="dxa"/>
            <w:gridSpan w:val="2"/>
            <w:tcBorders>
              <w:top w:val="single" w:color="000000" w:sz="4" w:space="0"/>
              <w:left w:val="single" w:color="000000" w:sz="4" w:space="0"/>
              <w:bottom w:val="single" w:color="000000" w:sz="4" w:space="0"/>
              <w:right w:val="single" w:color="000000" w:sz="12" w:space="0"/>
            </w:tcBorders>
            <w:vAlign w:val="center"/>
          </w:tcPr>
          <w:p w14:paraId="1A38B04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6.86 </w:t>
            </w:r>
          </w:p>
        </w:tc>
      </w:tr>
      <w:tr w14:paraId="2D13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2DADF3E7">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8A7FC56">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6CD18063">
            <w:pPr>
              <w:jc w:val="center"/>
              <w:rPr>
                <w:rFonts w:hint="eastAsia" w:ascii="宋体" w:hAnsi="宋体" w:eastAsia="宋体" w:cs="宋体"/>
                <w:i w:val="0"/>
                <w:color w:val="000000"/>
                <w:sz w:val="20"/>
                <w:szCs w:val="20"/>
                <w:u w:val="none"/>
              </w:rPr>
            </w:pPr>
          </w:p>
        </w:tc>
        <w:tc>
          <w:tcPr>
            <w:tcW w:w="1746" w:type="dxa"/>
            <w:gridSpan w:val="2"/>
            <w:tcBorders>
              <w:top w:val="single" w:color="000000" w:sz="4" w:space="0"/>
              <w:left w:val="single" w:color="000000" w:sz="4" w:space="0"/>
              <w:bottom w:val="single" w:color="000000" w:sz="4" w:space="0"/>
              <w:right w:val="single" w:color="000000" w:sz="4" w:space="0"/>
            </w:tcBorders>
            <w:vAlign w:val="center"/>
          </w:tcPr>
          <w:p w14:paraId="7839666F">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陕西路及节约街一巷环境综合整治</w:t>
            </w:r>
          </w:p>
        </w:tc>
        <w:tc>
          <w:tcPr>
            <w:tcW w:w="2064" w:type="dxa"/>
            <w:tcBorders>
              <w:top w:val="single" w:color="000000" w:sz="4" w:space="0"/>
              <w:left w:val="single" w:color="000000" w:sz="4" w:space="0"/>
              <w:bottom w:val="single" w:color="000000" w:sz="4" w:space="0"/>
              <w:right w:val="single" w:color="000000" w:sz="4" w:space="0"/>
            </w:tcBorders>
            <w:vAlign w:val="center"/>
          </w:tcPr>
          <w:p w14:paraId="35FC22F9">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计划三季度完工</w:t>
            </w:r>
          </w:p>
        </w:tc>
        <w:tc>
          <w:tcPr>
            <w:tcW w:w="690" w:type="dxa"/>
            <w:tcBorders>
              <w:top w:val="single" w:color="000000" w:sz="4" w:space="0"/>
              <w:left w:val="single" w:color="000000" w:sz="4" w:space="0"/>
              <w:bottom w:val="single" w:color="000000" w:sz="4" w:space="0"/>
              <w:right w:val="single" w:color="000000" w:sz="4" w:space="0"/>
            </w:tcBorders>
            <w:vAlign w:val="center"/>
          </w:tcPr>
          <w:p w14:paraId="16652FF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434ECEF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40" w:type="dxa"/>
            <w:gridSpan w:val="2"/>
            <w:tcBorders>
              <w:top w:val="single" w:color="000000" w:sz="4" w:space="0"/>
              <w:left w:val="single" w:color="000000" w:sz="4" w:space="0"/>
              <w:bottom w:val="single" w:color="000000" w:sz="4" w:space="0"/>
              <w:right w:val="single" w:color="000000" w:sz="12" w:space="0"/>
            </w:tcBorders>
            <w:vAlign w:val="center"/>
          </w:tcPr>
          <w:p w14:paraId="30F3938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1314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67A9870D">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0E14C6E">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4C8926A5">
            <w:pPr>
              <w:jc w:val="center"/>
              <w:rPr>
                <w:rFonts w:hint="eastAsia" w:ascii="宋体" w:hAnsi="宋体" w:eastAsia="宋体" w:cs="宋体"/>
                <w:i w:val="0"/>
                <w:color w:val="000000"/>
                <w:sz w:val="20"/>
                <w:szCs w:val="20"/>
                <w:u w:val="none"/>
              </w:rPr>
            </w:pPr>
          </w:p>
        </w:tc>
        <w:tc>
          <w:tcPr>
            <w:tcW w:w="1746" w:type="dxa"/>
            <w:gridSpan w:val="2"/>
            <w:tcBorders>
              <w:top w:val="single" w:color="000000" w:sz="4" w:space="0"/>
              <w:left w:val="single" w:color="000000" w:sz="4" w:space="0"/>
              <w:bottom w:val="single" w:color="000000" w:sz="4" w:space="0"/>
              <w:right w:val="single" w:color="000000" w:sz="4" w:space="0"/>
            </w:tcBorders>
            <w:vAlign w:val="center"/>
          </w:tcPr>
          <w:p w14:paraId="76BEAAA8">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新华路下段及朝千路部分老旧楼宇环境综合整治</w:t>
            </w:r>
          </w:p>
        </w:tc>
        <w:tc>
          <w:tcPr>
            <w:tcW w:w="2064" w:type="dxa"/>
            <w:tcBorders>
              <w:top w:val="single" w:color="000000" w:sz="4" w:space="0"/>
              <w:left w:val="single" w:color="000000" w:sz="4" w:space="0"/>
              <w:bottom w:val="single" w:color="000000" w:sz="4" w:space="0"/>
              <w:right w:val="single" w:color="000000" w:sz="4" w:space="0"/>
            </w:tcBorders>
            <w:vAlign w:val="center"/>
          </w:tcPr>
          <w:p w14:paraId="3BBCD865">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计划四季度完工</w:t>
            </w:r>
          </w:p>
        </w:tc>
        <w:tc>
          <w:tcPr>
            <w:tcW w:w="690" w:type="dxa"/>
            <w:tcBorders>
              <w:top w:val="single" w:color="000000" w:sz="4" w:space="0"/>
              <w:left w:val="single" w:color="000000" w:sz="4" w:space="0"/>
              <w:bottom w:val="single" w:color="000000" w:sz="4" w:space="0"/>
              <w:right w:val="single" w:color="000000" w:sz="4" w:space="0"/>
            </w:tcBorders>
            <w:vAlign w:val="center"/>
          </w:tcPr>
          <w:p w14:paraId="514DA046">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2C156F3E">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40" w:type="dxa"/>
            <w:gridSpan w:val="2"/>
            <w:tcBorders>
              <w:top w:val="single" w:color="000000" w:sz="4" w:space="0"/>
              <w:left w:val="single" w:color="000000" w:sz="4" w:space="0"/>
              <w:bottom w:val="single" w:color="000000" w:sz="4" w:space="0"/>
              <w:right w:val="single" w:color="000000" w:sz="12" w:space="0"/>
            </w:tcBorders>
            <w:vAlign w:val="center"/>
          </w:tcPr>
          <w:p w14:paraId="1FB58EC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72E9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663C552F">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BF54E68">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40E04A77">
            <w:pPr>
              <w:jc w:val="center"/>
              <w:rPr>
                <w:rFonts w:hint="eastAsia" w:ascii="宋体" w:hAnsi="宋体" w:eastAsia="宋体" w:cs="宋体"/>
                <w:i w:val="0"/>
                <w:color w:val="000000"/>
                <w:sz w:val="20"/>
                <w:szCs w:val="20"/>
                <w:u w:val="none"/>
              </w:rPr>
            </w:pPr>
          </w:p>
        </w:tc>
        <w:tc>
          <w:tcPr>
            <w:tcW w:w="1746" w:type="dxa"/>
            <w:gridSpan w:val="2"/>
            <w:tcBorders>
              <w:top w:val="single" w:color="000000" w:sz="4" w:space="0"/>
              <w:left w:val="single" w:color="000000" w:sz="4" w:space="0"/>
              <w:bottom w:val="single" w:color="000000" w:sz="4" w:space="0"/>
              <w:right w:val="single" w:color="000000" w:sz="4" w:space="0"/>
            </w:tcBorders>
            <w:vAlign w:val="center"/>
          </w:tcPr>
          <w:p w14:paraId="45F970F7">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陕三巷上段及陕六巷环境综合整治</w:t>
            </w:r>
          </w:p>
        </w:tc>
        <w:tc>
          <w:tcPr>
            <w:tcW w:w="2064" w:type="dxa"/>
            <w:tcBorders>
              <w:top w:val="single" w:color="000000" w:sz="4" w:space="0"/>
              <w:left w:val="single" w:color="000000" w:sz="4" w:space="0"/>
              <w:bottom w:val="single" w:color="000000" w:sz="4" w:space="0"/>
              <w:right w:val="single" w:color="000000" w:sz="4" w:space="0"/>
            </w:tcBorders>
            <w:vAlign w:val="center"/>
          </w:tcPr>
          <w:p w14:paraId="1BD9D43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计划四季度完工</w:t>
            </w:r>
          </w:p>
        </w:tc>
        <w:tc>
          <w:tcPr>
            <w:tcW w:w="690" w:type="dxa"/>
            <w:tcBorders>
              <w:top w:val="single" w:color="000000" w:sz="4" w:space="0"/>
              <w:left w:val="single" w:color="000000" w:sz="4" w:space="0"/>
              <w:bottom w:val="single" w:color="000000" w:sz="4" w:space="0"/>
              <w:right w:val="single" w:color="000000" w:sz="4" w:space="0"/>
            </w:tcBorders>
            <w:vAlign w:val="center"/>
          </w:tcPr>
          <w:p w14:paraId="529A5D7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64AA74CE">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40" w:type="dxa"/>
            <w:gridSpan w:val="2"/>
            <w:tcBorders>
              <w:top w:val="single" w:color="000000" w:sz="4" w:space="0"/>
              <w:left w:val="single" w:color="000000" w:sz="4" w:space="0"/>
              <w:bottom w:val="single" w:color="000000" w:sz="4" w:space="0"/>
              <w:right w:val="single" w:color="000000" w:sz="12" w:space="0"/>
            </w:tcBorders>
            <w:vAlign w:val="center"/>
          </w:tcPr>
          <w:p w14:paraId="1A57AEA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1.00 </w:t>
            </w:r>
          </w:p>
        </w:tc>
      </w:tr>
      <w:tr w14:paraId="59354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120687BB">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4CA2ED4">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281460AB">
            <w:pPr>
              <w:jc w:val="center"/>
              <w:rPr>
                <w:rFonts w:hint="eastAsia" w:ascii="宋体" w:hAnsi="宋体" w:eastAsia="宋体" w:cs="宋体"/>
                <w:i w:val="0"/>
                <w:color w:val="000000"/>
                <w:sz w:val="20"/>
                <w:szCs w:val="20"/>
                <w:u w:val="none"/>
              </w:rPr>
            </w:pPr>
          </w:p>
        </w:tc>
        <w:tc>
          <w:tcPr>
            <w:tcW w:w="1746" w:type="dxa"/>
            <w:gridSpan w:val="2"/>
            <w:tcBorders>
              <w:top w:val="single" w:color="000000" w:sz="4" w:space="0"/>
              <w:left w:val="single" w:color="000000" w:sz="4" w:space="0"/>
              <w:bottom w:val="single" w:color="000000" w:sz="4" w:space="0"/>
              <w:right w:val="single" w:color="000000" w:sz="4" w:space="0"/>
            </w:tcBorders>
            <w:vAlign w:val="center"/>
          </w:tcPr>
          <w:p w14:paraId="61E535B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道门口环道环境综合整治</w:t>
            </w:r>
          </w:p>
        </w:tc>
        <w:tc>
          <w:tcPr>
            <w:tcW w:w="2064" w:type="dxa"/>
            <w:tcBorders>
              <w:top w:val="single" w:color="000000" w:sz="4" w:space="0"/>
              <w:left w:val="single" w:color="000000" w:sz="4" w:space="0"/>
              <w:bottom w:val="single" w:color="000000" w:sz="4" w:space="0"/>
              <w:right w:val="single" w:color="000000" w:sz="4" w:space="0"/>
            </w:tcBorders>
            <w:vAlign w:val="center"/>
          </w:tcPr>
          <w:p w14:paraId="0E808942">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计划四季度完工</w:t>
            </w:r>
          </w:p>
        </w:tc>
        <w:tc>
          <w:tcPr>
            <w:tcW w:w="690" w:type="dxa"/>
            <w:tcBorders>
              <w:top w:val="single" w:color="000000" w:sz="4" w:space="0"/>
              <w:left w:val="single" w:color="000000" w:sz="4" w:space="0"/>
              <w:bottom w:val="single" w:color="000000" w:sz="4" w:space="0"/>
              <w:right w:val="single" w:color="000000" w:sz="4" w:space="0"/>
            </w:tcBorders>
            <w:vAlign w:val="center"/>
          </w:tcPr>
          <w:p w14:paraId="271BC0F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4177BCD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40" w:type="dxa"/>
            <w:gridSpan w:val="2"/>
            <w:tcBorders>
              <w:top w:val="single" w:color="000000" w:sz="4" w:space="0"/>
              <w:left w:val="single" w:color="000000" w:sz="4" w:space="0"/>
              <w:bottom w:val="single" w:color="000000" w:sz="4" w:space="0"/>
              <w:right w:val="single" w:color="000000" w:sz="12" w:space="0"/>
            </w:tcBorders>
            <w:vAlign w:val="center"/>
          </w:tcPr>
          <w:p w14:paraId="2CA526C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6BCF6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5BBE0D3F">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46CBD3D">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63BBC53C">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4905C9E8">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西三街水产市场环境综合整治</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48FB2AE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计划四季度完工</w:t>
            </w:r>
          </w:p>
        </w:tc>
        <w:tc>
          <w:tcPr>
            <w:tcW w:w="690" w:type="dxa"/>
            <w:tcBorders>
              <w:top w:val="single" w:color="000000" w:sz="4" w:space="0"/>
              <w:left w:val="single" w:color="000000" w:sz="4" w:space="0"/>
              <w:bottom w:val="single" w:color="000000" w:sz="4" w:space="0"/>
              <w:right w:val="single" w:color="000000" w:sz="4" w:space="0"/>
            </w:tcBorders>
            <w:vAlign w:val="center"/>
          </w:tcPr>
          <w:p w14:paraId="0D2C645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2A5F6182">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6BC1B76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2FDA3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4C1BEC45">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0CE467C">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660805CC">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44D0B092">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长江索道周边老旧楼宇环境整治</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4BE8234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计划四季度完工</w:t>
            </w:r>
          </w:p>
        </w:tc>
        <w:tc>
          <w:tcPr>
            <w:tcW w:w="690" w:type="dxa"/>
            <w:tcBorders>
              <w:top w:val="single" w:color="000000" w:sz="4" w:space="0"/>
              <w:left w:val="single" w:color="000000" w:sz="4" w:space="0"/>
              <w:bottom w:val="single" w:color="000000" w:sz="4" w:space="0"/>
              <w:right w:val="single" w:color="000000" w:sz="4" w:space="0"/>
            </w:tcBorders>
            <w:vAlign w:val="center"/>
          </w:tcPr>
          <w:p w14:paraId="3F44686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70255B1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2191DFE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2.00 </w:t>
            </w:r>
          </w:p>
        </w:tc>
      </w:tr>
      <w:tr w14:paraId="6025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6469B78D">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9101F24">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62DCC521">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123263E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朝东路沿线环境综合整治</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13E2861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计划四季度开工</w:t>
            </w:r>
          </w:p>
        </w:tc>
        <w:tc>
          <w:tcPr>
            <w:tcW w:w="690" w:type="dxa"/>
            <w:tcBorders>
              <w:top w:val="single" w:color="000000" w:sz="4" w:space="0"/>
              <w:left w:val="single" w:color="000000" w:sz="4" w:space="0"/>
              <w:bottom w:val="single" w:color="000000" w:sz="4" w:space="0"/>
              <w:right w:val="single" w:color="000000" w:sz="4" w:space="0"/>
            </w:tcBorders>
            <w:vAlign w:val="center"/>
          </w:tcPr>
          <w:p w14:paraId="581CD162">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006204C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73E9A9D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51D1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394A1A95">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AC12948">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02C28CE9">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3155BAF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陕西路64号周边环境综合整治</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7BF9FF8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计划四季度开工</w:t>
            </w:r>
          </w:p>
        </w:tc>
        <w:tc>
          <w:tcPr>
            <w:tcW w:w="690" w:type="dxa"/>
            <w:tcBorders>
              <w:top w:val="single" w:color="000000" w:sz="4" w:space="0"/>
              <w:left w:val="single" w:color="000000" w:sz="4" w:space="0"/>
              <w:bottom w:val="single" w:color="000000" w:sz="4" w:space="0"/>
              <w:right w:val="single" w:color="000000" w:sz="4" w:space="0"/>
            </w:tcBorders>
            <w:vAlign w:val="center"/>
          </w:tcPr>
          <w:p w14:paraId="5CB5C91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2370BF97">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281FA9E6">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17E9E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065"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780A366B">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B117908">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26FA8401">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153E75BF">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朝千路、棉花街、沧白路周边环境综合整治</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42EBFA04">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计划四季度开工</w:t>
            </w:r>
          </w:p>
        </w:tc>
        <w:tc>
          <w:tcPr>
            <w:tcW w:w="690" w:type="dxa"/>
            <w:tcBorders>
              <w:top w:val="single" w:color="000000" w:sz="4" w:space="0"/>
              <w:left w:val="single" w:color="000000" w:sz="4" w:space="0"/>
              <w:bottom w:val="single" w:color="000000" w:sz="4" w:space="0"/>
              <w:right w:val="single" w:color="000000" w:sz="4" w:space="0"/>
            </w:tcBorders>
            <w:vAlign w:val="center"/>
          </w:tcPr>
          <w:p w14:paraId="456A14B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6E9EC272">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实际完成率≤60%，得零分；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60%&lt;实际完成率&lt;100%，得分=实际完成率*3；</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实际完成率≥100%，得3分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1E7AAD5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3.00 </w:t>
            </w:r>
          </w:p>
        </w:tc>
      </w:tr>
      <w:tr w14:paraId="49425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395" w:hRule="atLeast"/>
        </w:trPr>
        <w:tc>
          <w:tcPr>
            <w:tcW w:w="1206"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1E65E324">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CA683">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7F6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完成及时率</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60D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完成及时率</w:t>
            </w: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8EB7B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1、完成及时率=（实际完成时间/计划完成时间）×100%</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实际完成时间：项目实施单位完成该项目实际耗用的时间；</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计划完成时间：按照项目实施计划或相关规定完成该项目所需的时间。</w:t>
            </w:r>
          </w:p>
        </w:tc>
        <w:tc>
          <w:tcPr>
            <w:tcW w:w="690" w:type="dxa"/>
            <w:tcBorders>
              <w:top w:val="single" w:color="000000" w:sz="4" w:space="0"/>
              <w:left w:val="single" w:color="000000" w:sz="4" w:space="0"/>
              <w:bottom w:val="single" w:color="000000" w:sz="4" w:space="0"/>
              <w:right w:val="single" w:color="000000" w:sz="4" w:space="0"/>
            </w:tcBorders>
            <w:vAlign w:val="center"/>
          </w:tcPr>
          <w:p w14:paraId="3FE2929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12</w:t>
            </w:r>
          </w:p>
        </w:tc>
        <w:tc>
          <w:tcPr>
            <w:tcW w:w="4326" w:type="dxa"/>
            <w:tcBorders>
              <w:top w:val="single" w:color="000000" w:sz="4" w:space="0"/>
              <w:left w:val="single" w:color="000000" w:sz="4" w:space="0"/>
              <w:bottom w:val="single" w:color="000000" w:sz="4" w:space="0"/>
              <w:right w:val="single" w:color="000000" w:sz="4" w:space="0"/>
            </w:tcBorders>
            <w:vAlign w:val="center"/>
          </w:tcPr>
          <w:p w14:paraId="475E28A7">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1、完成及时率≥150%，得零分；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100%&lt;完成及时率&lt;150%，得分=8-（完成及时率-1）*8；</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完成及时率≤100%，得8分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2、按期开工得4分，延期开工≤1个月得2分，否则得零分。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1D11796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12.00 </w:t>
            </w:r>
          </w:p>
        </w:tc>
      </w:tr>
      <w:tr w14:paraId="718FA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455" w:hRule="atLeast"/>
        </w:trPr>
        <w:tc>
          <w:tcPr>
            <w:tcW w:w="1206"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34232819">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25705">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809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成本偏离度</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5D48">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成本偏离度</w:t>
            </w: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7E51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成本偏离度=│[（计划成本-实际成本）/计划成本]│×100%</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实际成本：项目实施单位完成既定工作目标实际所耗费的支出。</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计划成本：项目实施单位为完成工作目标计划安排的支出，一般以项目预算为参考。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8C6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10</w:t>
            </w:r>
          </w:p>
        </w:tc>
        <w:tc>
          <w:tcPr>
            <w:tcW w:w="43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E8911">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成本偏离度≥10%，得零分；</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2%&lt;成本偏离度&lt;10%，得分=10-10*成本偏离度；</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成本偏离度≤2%，得10分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407C868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 xml:space="preserve">9.00 </w:t>
            </w:r>
          </w:p>
        </w:tc>
      </w:tr>
      <w:tr w14:paraId="1F263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275"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19B4228C">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04D4290">
            <w:pPr>
              <w:jc w:val="center"/>
              <w:rPr>
                <w:rFonts w:hint="eastAsia" w:ascii="宋体" w:hAnsi="宋体" w:eastAsia="宋体" w:cs="宋体"/>
                <w:i w:val="0"/>
                <w:color w:val="000000"/>
                <w:sz w:val="20"/>
                <w:szCs w:val="20"/>
                <w:u w:val="none"/>
              </w:rPr>
            </w:pPr>
          </w:p>
        </w:tc>
        <w:tc>
          <w:tcPr>
            <w:tcW w:w="643" w:type="dxa"/>
            <w:vMerge w:val="restart"/>
            <w:tcBorders>
              <w:top w:val="single" w:color="000000" w:sz="4" w:space="0"/>
              <w:left w:val="single" w:color="000000" w:sz="4" w:space="0"/>
              <w:bottom w:val="single" w:color="000000" w:sz="4" w:space="0"/>
              <w:right w:val="single" w:color="000000" w:sz="4" w:space="0"/>
            </w:tcBorders>
            <w:vAlign w:val="center"/>
          </w:tcPr>
          <w:p w14:paraId="3AC82FB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质量达标率</w:t>
            </w:r>
          </w:p>
        </w:tc>
        <w:tc>
          <w:tcPr>
            <w:tcW w:w="1372" w:type="dxa"/>
            <w:tcBorders>
              <w:top w:val="single" w:color="000000" w:sz="4" w:space="0"/>
              <w:left w:val="single" w:color="000000" w:sz="4" w:space="0"/>
              <w:bottom w:val="single" w:color="000000" w:sz="4" w:space="0"/>
              <w:right w:val="single" w:color="000000" w:sz="4" w:space="0"/>
            </w:tcBorders>
            <w:vAlign w:val="center"/>
          </w:tcPr>
          <w:p w14:paraId="3A48B1BE">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验收通过</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248D2818">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项目是否通过验收。</w:t>
            </w:r>
          </w:p>
        </w:tc>
        <w:tc>
          <w:tcPr>
            <w:tcW w:w="690" w:type="dxa"/>
            <w:tcBorders>
              <w:top w:val="single" w:color="000000" w:sz="4" w:space="0"/>
              <w:left w:val="single" w:color="000000" w:sz="4" w:space="0"/>
              <w:bottom w:val="single" w:color="000000" w:sz="4" w:space="0"/>
              <w:right w:val="single" w:color="000000" w:sz="4" w:space="0"/>
            </w:tcBorders>
            <w:vAlign w:val="center"/>
          </w:tcPr>
          <w:p w14:paraId="37D5C71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4</w:t>
            </w:r>
          </w:p>
        </w:tc>
        <w:tc>
          <w:tcPr>
            <w:tcW w:w="4326" w:type="dxa"/>
            <w:tcBorders>
              <w:top w:val="single" w:color="000000" w:sz="4" w:space="0"/>
              <w:left w:val="single" w:color="000000" w:sz="4" w:space="0"/>
              <w:bottom w:val="single" w:color="000000" w:sz="4" w:space="0"/>
              <w:right w:val="single" w:color="000000" w:sz="4" w:space="0"/>
            </w:tcBorders>
            <w:vAlign w:val="center"/>
          </w:tcPr>
          <w:p w14:paraId="4B1DF670">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项目验收通过，得4分；否则不得分。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01A1F38A">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4.00 </w:t>
            </w:r>
          </w:p>
        </w:tc>
      </w:tr>
      <w:tr w14:paraId="2A98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81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77F28788">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3B51C95">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42E51805">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18FFE0CE">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质量优良度</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5522FE5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按实施方案要求结合验收报告及现场勘察，综合判定质量优良程度。</w:t>
            </w:r>
          </w:p>
        </w:tc>
        <w:tc>
          <w:tcPr>
            <w:tcW w:w="690" w:type="dxa"/>
            <w:tcBorders>
              <w:top w:val="single" w:color="000000" w:sz="4" w:space="0"/>
              <w:left w:val="single" w:color="000000" w:sz="4" w:space="0"/>
              <w:bottom w:val="single" w:color="000000" w:sz="4" w:space="0"/>
              <w:right w:val="single" w:color="000000" w:sz="4" w:space="0"/>
            </w:tcBorders>
            <w:vAlign w:val="center"/>
          </w:tcPr>
          <w:p w14:paraId="07AE014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6</w:t>
            </w:r>
          </w:p>
        </w:tc>
        <w:tc>
          <w:tcPr>
            <w:tcW w:w="4326" w:type="dxa"/>
            <w:tcBorders>
              <w:top w:val="single" w:color="000000" w:sz="4" w:space="0"/>
              <w:left w:val="single" w:color="000000" w:sz="4" w:space="0"/>
              <w:bottom w:val="single" w:color="000000" w:sz="4" w:space="0"/>
              <w:right w:val="single" w:color="000000" w:sz="4" w:space="0"/>
            </w:tcBorders>
            <w:vAlign w:val="center"/>
          </w:tcPr>
          <w:p w14:paraId="214C127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根据验收评级，结合现场勘查情况，从改造道路的整体效果、路面完整程度等方面进行综合打分。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115C5357">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6.00 </w:t>
            </w:r>
          </w:p>
        </w:tc>
      </w:tr>
      <w:tr w14:paraId="1606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285"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1B246882">
            <w:pPr>
              <w:jc w:val="center"/>
              <w:rPr>
                <w:rFonts w:hint="eastAsia" w:ascii="宋体" w:hAnsi="宋体" w:eastAsia="宋体" w:cs="宋体"/>
                <w:i w:val="0"/>
                <w:color w:val="000000"/>
                <w:sz w:val="20"/>
                <w:szCs w:val="20"/>
                <w:u w:val="none"/>
              </w:rPr>
            </w:pPr>
          </w:p>
        </w:tc>
        <w:tc>
          <w:tcPr>
            <w:tcW w:w="3149" w:type="dxa"/>
            <w:gridSpan w:val="3"/>
            <w:tcBorders>
              <w:top w:val="single" w:color="000000" w:sz="4" w:space="0"/>
              <w:left w:val="single" w:color="000000" w:sz="4" w:space="0"/>
              <w:bottom w:val="single" w:color="000000" w:sz="4" w:space="0"/>
              <w:right w:val="single" w:color="000000" w:sz="4" w:space="0"/>
            </w:tcBorders>
            <w:vAlign w:val="center"/>
          </w:tcPr>
          <w:p w14:paraId="0B2E7C6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小  计</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63AA7C7A">
            <w:pP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14:paraId="5911B8A8">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67</w:t>
            </w:r>
          </w:p>
        </w:tc>
        <w:tc>
          <w:tcPr>
            <w:tcW w:w="4326" w:type="dxa"/>
            <w:tcBorders>
              <w:top w:val="single" w:color="000000" w:sz="4" w:space="0"/>
              <w:left w:val="single" w:color="000000" w:sz="4" w:space="0"/>
              <w:bottom w:val="single" w:color="000000" w:sz="4" w:space="0"/>
              <w:right w:val="single" w:color="000000" w:sz="4" w:space="0"/>
            </w:tcBorders>
            <w:vAlign w:val="center"/>
          </w:tcPr>
          <w:p w14:paraId="6CB4861C">
            <w:pPr>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12" w:space="0"/>
            </w:tcBorders>
            <w:vAlign w:val="center"/>
          </w:tcPr>
          <w:p w14:paraId="572C6E0F">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61.86 </w:t>
            </w:r>
          </w:p>
        </w:tc>
      </w:tr>
      <w:tr w14:paraId="66F4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185" w:hRule="atLeast"/>
        </w:trPr>
        <w:tc>
          <w:tcPr>
            <w:tcW w:w="1206" w:type="dxa"/>
            <w:vMerge w:val="restart"/>
            <w:tcBorders>
              <w:top w:val="single" w:color="000000" w:sz="4" w:space="0"/>
              <w:left w:val="single" w:color="000000" w:sz="12" w:space="0"/>
              <w:bottom w:val="single" w:color="000000" w:sz="4" w:space="0"/>
              <w:right w:val="single" w:color="000000" w:sz="4" w:space="0"/>
            </w:tcBorders>
            <w:vAlign w:val="center"/>
          </w:tcPr>
          <w:p w14:paraId="66A7BDF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管理</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21BB94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决</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策</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管</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理</w:t>
            </w:r>
          </w:p>
        </w:tc>
        <w:tc>
          <w:tcPr>
            <w:tcW w:w="643" w:type="dxa"/>
            <w:tcBorders>
              <w:top w:val="single" w:color="000000" w:sz="4" w:space="0"/>
              <w:left w:val="single" w:color="000000" w:sz="4" w:space="0"/>
              <w:bottom w:val="single" w:color="000000" w:sz="4" w:space="0"/>
              <w:right w:val="single" w:color="000000" w:sz="4" w:space="0"/>
            </w:tcBorders>
            <w:vAlign w:val="center"/>
          </w:tcPr>
          <w:p w14:paraId="61A9A45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立项规范</w:t>
            </w:r>
          </w:p>
        </w:tc>
        <w:tc>
          <w:tcPr>
            <w:tcW w:w="1372" w:type="dxa"/>
            <w:tcBorders>
              <w:top w:val="single" w:color="000000" w:sz="4" w:space="0"/>
              <w:left w:val="single" w:color="000000" w:sz="4" w:space="0"/>
              <w:bottom w:val="single" w:color="000000" w:sz="4" w:space="0"/>
              <w:right w:val="single" w:color="000000" w:sz="4" w:space="0"/>
            </w:tcBorders>
            <w:vAlign w:val="center"/>
          </w:tcPr>
          <w:p w14:paraId="22ACB9E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立项规范</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4AA4E06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立项程序是否符合相关规定；项目是否有立项批准；项目是否具有投资计划（投资概算、投资预估）并获批准；项目是否进行过比选、论证。</w:t>
            </w:r>
          </w:p>
        </w:tc>
        <w:tc>
          <w:tcPr>
            <w:tcW w:w="690" w:type="dxa"/>
            <w:tcBorders>
              <w:top w:val="single" w:color="000000" w:sz="4" w:space="0"/>
              <w:left w:val="single" w:color="000000" w:sz="4" w:space="0"/>
              <w:bottom w:val="single" w:color="000000" w:sz="4" w:space="0"/>
              <w:right w:val="single" w:color="000000" w:sz="4" w:space="0"/>
            </w:tcBorders>
            <w:vAlign w:val="center"/>
          </w:tcPr>
          <w:p w14:paraId="096D3B3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5</w:t>
            </w:r>
          </w:p>
        </w:tc>
        <w:tc>
          <w:tcPr>
            <w:tcW w:w="4326" w:type="dxa"/>
            <w:tcBorders>
              <w:top w:val="single" w:color="000000" w:sz="4" w:space="0"/>
              <w:left w:val="single" w:color="000000" w:sz="4" w:space="0"/>
              <w:bottom w:val="single" w:color="000000" w:sz="4" w:space="0"/>
              <w:right w:val="single" w:color="000000" w:sz="4" w:space="0"/>
            </w:tcBorders>
            <w:vAlign w:val="center"/>
          </w:tcPr>
          <w:p w14:paraId="15F09514">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立项程序符合相关规定，有立项批准，有投资计划（投资概算、投资预估）并获批准，进行过比选、论证等程序得2分；否者酌情扣减，扣完为止。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21041AC8">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5.00 </w:t>
            </w:r>
          </w:p>
        </w:tc>
      </w:tr>
      <w:tr w14:paraId="3F51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02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7EB860EC">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0DC0DEF">
            <w:pPr>
              <w:jc w:val="center"/>
              <w:rPr>
                <w:rFonts w:hint="eastAsia" w:ascii="宋体" w:hAnsi="宋体" w:eastAsia="宋体" w:cs="宋体"/>
                <w:i w:val="0"/>
                <w:color w:val="000000"/>
                <w:sz w:val="20"/>
                <w:szCs w:val="20"/>
                <w:u w:val="none"/>
              </w:rPr>
            </w:pPr>
          </w:p>
        </w:tc>
        <w:tc>
          <w:tcPr>
            <w:tcW w:w="643" w:type="dxa"/>
            <w:vMerge w:val="restart"/>
            <w:tcBorders>
              <w:top w:val="single" w:color="000000" w:sz="4" w:space="0"/>
              <w:left w:val="single" w:color="000000" w:sz="4" w:space="0"/>
              <w:bottom w:val="single" w:color="000000" w:sz="4" w:space="0"/>
              <w:right w:val="single" w:color="000000" w:sz="4" w:space="0"/>
            </w:tcBorders>
            <w:vAlign w:val="center"/>
          </w:tcPr>
          <w:p w14:paraId="6902379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立项依据</w:t>
            </w:r>
          </w:p>
        </w:tc>
        <w:tc>
          <w:tcPr>
            <w:tcW w:w="1372" w:type="dxa"/>
            <w:tcBorders>
              <w:top w:val="single" w:color="000000" w:sz="4" w:space="0"/>
              <w:left w:val="single" w:color="000000" w:sz="4" w:space="0"/>
              <w:bottom w:val="single" w:color="000000" w:sz="4" w:space="0"/>
              <w:right w:val="single" w:color="000000" w:sz="4" w:space="0"/>
            </w:tcBorders>
            <w:vAlign w:val="center"/>
          </w:tcPr>
          <w:p w14:paraId="67815E2F">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立项必要性</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18AB16B5">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项目立项依据是否充分，是否符合现实政策情况，是否符合客观实际。</w:t>
            </w:r>
          </w:p>
        </w:tc>
        <w:tc>
          <w:tcPr>
            <w:tcW w:w="690" w:type="dxa"/>
            <w:tcBorders>
              <w:top w:val="single" w:color="000000" w:sz="4" w:space="0"/>
              <w:left w:val="single" w:color="000000" w:sz="4" w:space="0"/>
              <w:bottom w:val="single" w:color="000000" w:sz="4" w:space="0"/>
              <w:right w:val="single" w:color="000000" w:sz="4" w:space="0"/>
            </w:tcBorders>
            <w:vAlign w:val="center"/>
          </w:tcPr>
          <w:p w14:paraId="1DDD152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w:t>
            </w:r>
          </w:p>
        </w:tc>
        <w:tc>
          <w:tcPr>
            <w:tcW w:w="4326" w:type="dxa"/>
            <w:tcBorders>
              <w:top w:val="single" w:color="000000" w:sz="4" w:space="0"/>
              <w:left w:val="single" w:color="000000" w:sz="4" w:space="0"/>
              <w:bottom w:val="single" w:color="000000" w:sz="4" w:space="0"/>
              <w:right w:val="single" w:color="000000" w:sz="4" w:space="0"/>
            </w:tcBorders>
            <w:vAlign w:val="center"/>
          </w:tcPr>
          <w:p w14:paraId="1F2E99DB">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项目立项依据充分，符合现实政策情况，符合客观实际，得1分；否者酌情扣减，扣完为止。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06BC9A8E">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1.00 </w:t>
            </w:r>
          </w:p>
        </w:tc>
      </w:tr>
      <w:tr w14:paraId="5BAA3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02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489797EA">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B2310A1">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034FFFBF">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1A58D170">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项目可行性</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6B197E9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项目实施是否具备成熟的物质、技术条件。</w:t>
            </w:r>
          </w:p>
        </w:tc>
        <w:tc>
          <w:tcPr>
            <w:tcW w:w="690" w:type="dxa"/>
            <w:tcBorders>
              <w:top w:val="single" w:color="000000" w:sz="4" w:space="0"/>
              <w:left w:val="single" w:color="000000" w:sz="4" w:space="0"/>
              <w:bottom w:val="single" w:color="000000" w:sz="4" w:space="0"/>
              <w:right w:val="single" w:color="000000" w:sz="4" w:space="0"/>
            </w:tcBorders>
            <w:vAlign w:val="center"/>
          </w:tcPr>
          <w:p w14:paraId="31D159F7">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w:t>
            </w:r>
          </w:p>
        </w:tc>
        <w:tc>
          <w:tcPr>
            <w:tcW w:w="4326" w:type="dxa"/>
            <w:tcBorders>
              <w:top w:val="single" w:color="000000" w:sz="4" w:space="0"/>
              <w:left w:val="single" w:color="000000" w:sz="4" w:space="0"/>
              <w:bottom w:val="single" w:color="000000" w:sz="4" w:space="0"/>
              <w:right w:val="single" w:color="000000" w:sz="4" w:space="0"/>
            </w:tcBorders>
            <w:vAlign w:val="center"/>
          </w:tcPr>
          <w:p w14:paraId="197AC7B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项目具备成熟的物质、技术条件得1分；否者酌情扣减，扣完为止。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70D593BC">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1.00 </w:t>
            </w:r>
          </w:p>
        </w:tc>
      </w:tr>
      <w:tr w14:paraId="0E63C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26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5AFD6075">
            <w:pPr>
              <w:jc w:val="center"/>
              <w:rPr>
                <w:rFonts w:hint="eastAsia" w:ascii="宋体" w:hAnsi="宋体" w:eastAsia="宋体" w:cs="宋体"/>
                <w:i w:val="0"/>
                <w:color w:val="000000"/>
                <w:sz w:val="20"/>
                <w:szCs w:val="20"/>
                <w:u w:val="none"/>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74BA1CE7">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资金管理</w:t>
            </w:r>
          </w:p>
        </w:tc>
        <w:tc>
          <w:tcPr>
            <w:tcW w:w="643" w:type="dxa"/>
            <w:tcBorders>
              <w:top w:val="single" w:color="000000" w:sz="4" w:space="0"/>
              <w:left w:val="single" w:color="000000" w:sz="4" w:space="0"/>
              <w:bottom w:val="single" w:color="000000" w:sz="4" w:space="0"/>
              <w:right w:val="single" w:color="000000" w:sz="4" w:space="0"/>
            </w:tcBorders>
            <w:vAlign w:val="center"/>
          </w:tcPr>
          <w:p w14:paraId="383FF90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财务制度健全性</w:t>
            </w:r>
          </w:p>
        </w:tc>
        <w:tc>
          <w:tcPr>
            <w:tcW w:w="1372" w:type="dxa"/>
            <w:tcBorders>
              <w:top w:val="single" w:color="000000" w:sz="4" w:space="0"/>
              <w:left w:val="single" w:color="000000" w:sz="4" w:space="0"/>
              <w:bottom w:val="single" w:color="000000" w:sz="4" w:space="0"/>
              <w:right w:val="single" w:color="000000" w:sz="4" w:space="0"/>
            </w:tcBorders>
            <w:vAlign w:val="center"/>
          </w:tcPr>
          <w:p w14:paraId="4E738CA5">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财务制度健全性</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49D9569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是否已制定或具有相应的项目资金管理办法；项目资金管理办法是否符合相关财务会计制度规定。</w:t>
            </w:r>
          </w:p>
        </w:tc>
        <w:tc>
          <w:tcPr>
            <w:tcW w:w="690" w:type="dxa"/>
            <w:tcBorders>
              <w:top w:val="single" w:color="000000" w:sz="4" w:space="0"/>
              <w:left w:val="single" w:color="000000" w:sz="4" w:space="0"/>
              <w:bottom w:val="single" w:color="000000" w:sz="4" w:space="0"/>
              <w:right w:val="single" w:color="000000" w:sz="4" w:space="0"/>
            </w:tcBorders>
            <w:vAlign w:val="center"/>
          </w:tcPr>
          <w:p w14:paraId="3E054B62">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1</w:t>
            </w:r>
          </w:p>
        </w:tc>
        <w:tc>
          <w:tcPr>
            <w:tcW w:w="4326" w:type="dxa"/>
            <w:tcBorders>
              <w:top w:val="single" w:color="000000" w:sz="4" w:space="0"/>
              <w:left w:val="single" w:color="000000" w:sz="4" w:space="0"/>
              <w:bottom w:val="single" w:color="000000" w:sz="4" w:space="0"/>
              <w:right w:val="single" w:color="000000" w:sz="4" w:space="0"/>
            </w:tcBorders>
            <w:vAlign w:val="center"/>
          </w:tcPr>
          <w:p w14:paraId="5C7FF30E">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已制定或具有相应的项目资金管理办法，项目资金管理办法符合相关财务会计制度规定，得1分；否则缺一项扣0.5分。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4D1F8F22">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1.00 </w:t>
            </w:r>
          </w:p>
        </w:tc>
      </w:tr>
      <w:tr w14:paraId="593D3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62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37ACC048">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E1FC9AA">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vAlign w:val="center"/>
          </w:tcPr>
          <w:p w14:paraId="167DB28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资金使用合规性</w:t>
            </w:r>
          </w:p>
        </w:tc>
        <w:tc>
          <w:tcPr>
            <w:tcW w:w="1372" w:type="dxa"/>
            <w:tcBorders>
              <w:top w:val="single" w:color="000000" w:sz="4" w:space="0"/>
              <w:left w:val="single" w:color="000000" w:sz="4" w:space="0"/>
              <w:bottom w:val="single" w:color="000000" w:sz="4" w:space="0"/>
              <w:right w:val="single" w:color="000000" w:sz="4" w:space="0"/>
            </w:tcBorders>
            <w:vAlign w:val="center"/>
          </w:tcPr>
          <w:p w14:paraId="5C568D6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资金使用合规性</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515DE53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项目资金使用是否符合相关的财务管理制度规定，资金支出是否真实，是否存在截留、挤占、虚列支出等情况。</w:t>
            </w:r>
          </w:p>
        </w:tc>
        <w:tc>
          <w:tcPr>
            <w:tcW w:w="690" w:type="dxa"/>
            <w:tcBorders>
              <w:top w:val="single" w:color="000000" w:sz="4" w:space="0"/>
              <w:left w:val="single" w:color="000000" w:sz="4" w:space="0"/>
              <w:bottom w:val="single" w:color="000000" w:sz="4" w:space="0"/>
              <w:right w:val="single" w:color="000000" w:sz="4" w:space="0"/>
            </w:tcBorders>
            <w:vAlign w:val="center"/>
          </w:tcPr>
          <w:p w14:paraId="5F7F0F4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2</w:t>
            </w:r>
          </w:p>
        </w:tc>
        <w:tc>
          <w:tcPr>
            <w:tcW w:w="4326" w:type="dxa"/>
            <w:tcBorders>
              <w:top w:val="single" w:color="000000" w:sz="4" w:space="0"/>
              <w:left w:val="single" w:color="000000" w:sz="4" w:space="0"/>
              <w:bottom w:val="single" w:color="000000" w:sz="4" w:space="0"/>
              <w:right w:val="single" w:color="000000" w:sz="4" w:space="0"/>
            </w:tcBorders>
            <w:vAlign w:val="center"/>
          </w:tcPr>
          <w:p w14:paraId="0A3C9F5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项目资金使用符合相关的财务管理制度规定，资金支出真实，不存在截留、挤占、虚列支出等情况，得2分；否则根据具体情况酌情给分。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7E53BE42">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2.00 </w:t>
            </w:r>
          </w:p>
        </w:tc>
      </w:tr>
      <w:tr w14:paraId="2716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215"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0F388942">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999E0E5">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vAlign w:val="center"/>
          </w:tcPr>
          <w:p w14:paraId="5A46DC42">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财务监控有效性</w:t>
            </w:r>
          </w:p>
        </w:tc>
        <w:tc>
          <w:tcPr>
            <w:tcW w:w="1372" w:type="dxa"/>
            <w:tcBorders>
              <w:top w:val="single" w:color="000000" w:sz="4" w:space="0"/>
              <w:left w:val="single" w:color="000000" w:sz="4" w:space="0"/>
              <w:bottom w:val="single" w:color="000000" w:sz="4" w:space="0"/>
              <w:right w:val="single" w:color="000000" w:sz="4" w:space="0"/>
            </w:tcBorders>
            <w:vAlign w:val="center"/>
          </w:tcPr>
          <w:p w14:paraId="2E651635">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财务监控有效性</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2018C55F">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项目实施单位是否为保障资金的安全、规范运行而采取了必要的监控措施，资金支付是否有完整的审批程序和手续。</w:t>
            </w:r>
          </w:p>
        </w:tc>
        <w:tc>
          <w:tcPr>
            <w:tcW w:w="690" w:type="dxa"/>
            <w:tcBorders>
              <w:top w:val="single" w:color="000000" w:sz="4" w:space="0"/>
              <w:left w:val="single" w:color="000000" w:sz="4" w:space="0"/>
              <w:bottom w:val="single" w:color="000000" w:sz="4" w:space="0"/>
              <w:right w:val="single" w:color="000000" w:sz="4" w:space="0"/>
            </w:tcBorders>
            <w:vAlign w:val="center"/>
          </w:tcPr>
          <w:p w14:paraId="590998C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2</w:t>
            </w:r>
          </w:p>
        </w:tc>
        <w:tc>
          <w:tcPr>
            <w:tcW w:w="4326" w:type="dxa"/>
            <w:tcBorders>
              <w:top w:val="single" w:color="000000" w:sz="4" w:space="0"/>
              <w:left w:val="single" w:color="000000" w:sz="4" w:space="0"/>
              <w:bottom w:val="single" w:color="000000" w:sz="4" w:space="0"/>
              <w:right w:val="single" w:color="000000" w:sz="4" w:space="0"/>
            </w:tcBorders>
            <w:vAlign w:val="center"/>
          </w:tcPr>
          <w:p w14:paraId="68C6ACBD">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项目采取了相应的必要的监控措施或手段，资金支付有完整的审批程序和手续得2分，否则根据具体情况酌情给分。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371FA413">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2.00 </w:t>
            </w:r>
          </w:p>
        </w:tc>
      </w:tr>
      <w:tr w14:paraId="69073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14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77CF71B2">
            <w:pPr>
              <w:jc w:val="center"/>
              <w:rPr>
                <w:rFonts w:hint="eastAsia" w:ascii="宋体" w:hAnsi="宋体" w:eastAsia="宋体" w:cs="宋体"/>
                <w:i w:val="0"/>
                <w:color w:val="000000"/>
                <w:sz w:val="20"/>
                <w:szCs w:val="20"/>
                <w:u w:val="none"/>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1D265D13">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业务管理</w:t>
            </w:r>
          </w:p>
        </w:tc>
        <w:tc>
          <w:tcPr>
            <w:tcW w:w="643" w:type="dxa"/>
            <w:tcBorders>
              <w:top w:val="single" w:color="000000" w:sz="4" w:space="0"/>
              <w:left w:val="single" w:color="000000" w:sz="4" w:space="0"/>
              <w:bottom w:val="single" w:color="000000" w:sz="4" w:space="0"/>
              <w:right w:val="single" w:color="000000" w:sz="4" w:space="0"/>
            </w:tcBorders>
            <w:vAlign w:val="center"/>
          </w:tcPr>
          <w:p w14:paraId="0636955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管理制度健全性</w:t>
            </w:r>
          </w:p>
        </w:tc>
        <w:tc>
          <w:tcPr>
            <w:tcW w:w="1372" w:type="dxa"/>
            <w:tcBorders>
              <w:top w:val="single" w:color="000000" w:sz="4" w:space="0"/>
              <w:left w:val="single" w:color="000000" w:sz="4" w:space="0"/>
              <w:bottom w:val="single" w:color="000000" w:sz="4" w:space="0"/>
              <w:right w:val="single" w:color="000000" w:sz="4" w:space="0"/>
            </w:tcBorders>
            <w:vAlign w:val="center"/>
          </w:tcPr>
          <w:p w14:paraId="07CDE8D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管理制度健全性</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60FE444B">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项目申报管理制度、检查验收制度、档案管理制度等是否健全。</w:t>
            </w:r>
          </w:p>
        </w:tc>
        <w:tc>
          <w:tcPr>
            <w:tcW w:w="690" w:type="dxa"/>
            <w:tcBorders>
              <w:top w:val="single" w:color="000000" w:sz="4" w:space="0"/>
              <w:left w:val="single" w:color="000000" w:sz="4" w:space="0"/>
              <w:bottom w:val="single" w:color="000000" w:sz="4" w:space="0"/>
              <w:right w:val="single" w:color="000000" w:sz="4" w:space="0"/>
            </w:tcBorders>
            <w:vAlign w:val="center"/>
          </w:tcPr>
          <w:p w14:paraId="65A7965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2</w:t>
            </w:r>
          </w:p>
        </w:tc>
        <w:tc>
          <w:tcPr>
            <w:tcW w:w="4326" w:type="dxa"/>
            <w:tcBorders>
              <w:top w:val="single" w:color="000000" w:sz="4" w:space="0"/>
              <w:left w:val="single" w:color="000000" w:sz="4" w:space="0"/>
              <w:bottom w:val="single" w:color="000000" w:sz="4" w:space="0"/>
              <w:right w:val="single" w:color="000000" w:sz="4" w:space="0"/>
            </w:tcBorders>
            <w:vAlign w:val="center"/>
          </w:tcPr>
          <w:p w14:paraId="285DF04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项目申报管理制度、检查验收制度、档案管理制度、健全，得2分；否则酬情扣减。</w:t>
            </w:r>
          </w:p>
        </w:tc>
        <w:tc>
          <w:tcPr>
            <w:tcW w:w="2025" w:type="dxa"/>
            <w:tcBorders>
              <w:top w:val="single" w:color="000000" w:sz="4" w:space="0"/>
              <w:left w:val="single" w:color="000000" w:sz="4" w:space="0"/>
              <w:bottom w:val="single" w:color="000000" w:sz="4" w:space="0"/>
              <w:right w:val="single" w:color="000000" w:sz="12" w:space="0"/>
            </w:tcBorders>
            <w:vAlign w:val="center"/>
          </w:tcPr>
          <w:p w14:paraId="3F26E255">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2.00 </w:t>
            </w:r>
          </w:p>
        </w:tc>
      </w:tr>
      <w:tr w14:paraId="66B52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285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2C3CC1C1">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110A53E">
            <w:pPr>
              <w:jc w:val="center"/>
              <w:rPr>
                <w:rFonts w:hint="eastAsia" w:ascii="宋体" w:hAnsi="宋体" w:eastAsia="宋体" w:cs="宋体"/>
                <w:i w:val="0"/>
                <w:color w:val="000000"/>
                <w:sz w:val="20"/>
                <w:szCs w:val="20"/>
                <w:u w:val="none"/>
              </w:rPr>
            </w:pPr>
          </w:p>
        </w:tc>
        <w:tc>
          <w:tcPr>
            <w:tcW w:w="643" w:type="dxa"/>
            <w:vMerge w:val="restart"/>
            <w:tcBorders>
              <w:top w:val="single" w:color="000000" w:sz="4" w:space="0"/>
              <w:left w:val="single" w:color="000000" w:sz="4" w:space="0"/>
              <w:bottom w:val="single" w:color="000000" w:sz="4" w:space="0"/>
              <w:right w:val="single" w:color="000000" w:sz="4" w:space="0"/>
            </w:tcBorders>
            <w:vAlign w:val="center"/>
          </w:tcPr>
          <w:p w14:paraId="657E167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制度执行有效性</w:t>
            </w:r>
          </w:p>
        </w:tc>
        <w:tc>
          <w:tcPr>
            <w:tcW w:w="1372" w:type="dxa"/>
            <w:tcBorders>
              <w:top w:val="single" w:color="000000" w:sz="4" w:space="0"/>
              <w:left w:val="single" w:color="000000" w:sz="4" w:space="0"/>
              <w:bottom w:val="single" w:color="000000" w:sz="4" w:space="0"/>
              <w:right w:val="single" w:color="000000" w:sz="4" w:space="0"/>
            </w:tcBorders>
            <w:vAlign w:val="center"/>
          </w:tcPr>
          <w:p w14:paraId="1EB33845">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招投标及标后管理</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2F8D8469">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工程招投标项目是否遵照执行相关要求通过招投标或竞争性比选程序实施，相关手续是否完整；项目的中标单位与实际施工单位是否一致，项目经理与合同指派是否一致，人员变更是否按合同要求取得建设单位同意。</w:t>
            </w:r>
          </w:p>
        </w:tc>
        <w:tc>
          <w:tcPr>
            <w:tcW w:w="690" w:type="dxa"/>
            <w:tcBorders>
              <w:top w:val="single" w:color="000000" w:sz="4" w:space="0"/>
              <w:left w:val="single" w:color="000000" w:sz="4" w:space="0"/>
              <w:bottom w:val="single" w:color="000000" w:sz="4" w:space="0"/>
              <w:right w:val="single" w:color="000000" w:sz="4" w:space="0"/>
            </w:tcBorders>
            <w:vAlign w:val="center"/>
          </w:tcPr>
          <w:p w14:paraId="4806537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5</w:t>
            </w:r>
          </w:p>
        </w:tc>
        <w:tc>
          <w:tcPr>
            <w:tcW w:w="4326" w:type="dxa"/>
            <w:tcBorders>
              <w:top w:val="single" w:color="000000" w:sz="4" w:space="0"/>
              <w:left w:val="single" w:color="000000" w:sz="4" w:space="0"/>
              <w:bottom w:val="single" w:color="000000" w:sz="4" w:space="0"/>
              <w:right w:val="single" w:color="000000" w:sz="4" w:space="0"/>
            </w:tcBorders>
            <w:vAlign w:val="center"/>
          </w:tcPr>
          <w:p w14:paraId="7F9D284D">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①工程招投标项目遵照执行相关要求通过招投标或竞争性比选程序实施，相关手续完整得2分；完全不满足上述条件不得分；否则由评价工作组根据项目具体情况讨论评定等级；</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②项目的中标单位与实际施工单位一致，项目经理与合同指派一致，人员变更按合同要求取得建设单位同意得3分；一项不满足要求，扣1分，扣完为止。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4739D3DC">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5.00 </w:t>
            </w:r>
          </w:p>
        </w:tc>
      </w:tr>
      <w:tr w14:paraId="3DD4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72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5F16A435">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5023E7B">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492924F0">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45C5D66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安全管理</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2CAAB8FF">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项目是否有重大工程安全事故发生</w:t>
            </w:r>
          </w:p>
        </w:tc>
        <w:tc>
          <w:tcPr>
            <w:tcW w:w="690" w:type="dxa"/>
            <w:tcBorders>
              <w:top w:val="single" w:color="000000" w:sz="4" w:space="0"/>
              <w:left w:val="single" w:color="000000" w:sz="4" w:space="0"/>
              <w:bottom w:val="single" w:color="000000" w:sz="4" w:space="0"/>
              <w:right w:val="single" w:color="000000" w:sz="4" w:space="0"/>
            </w:tcBorders>
            <w:vAlign w:val="center"/>
          </w:tcPr>
          <w:p w14:paraId="680FA4E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351D5B80">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项目未发生重大工程安全事故得3分，发生1例不得分。</w:t>
            </w:r>
          </w:p>
        </w:tc>
        <w:tc>
          <w:tcPr>
            <w:tcW w:w="2025" w:type="dxa"/>
            <w:tcBorders>
              <w:top w:val="single" w:color="000000" w:sz="4" w:space="0"/>
              <w:left w:val="single" w:color="000000" w:sz="4" w:space="0"/>
              <w:bottom w:val="single" w:color="000000" w:sz="4" w:space="0"/>
              <w:right w:val="single" w:color="000000" w:sz="12" w:space="0"/>
            </w:tcBorders>
            <w:vAlign w:val="center"/>
          </w:tcPr>
          <w:p w14:paraId="774A88F2">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3.00 </w:t>
            </w:r>
          </w:p>
        </w:tc>
      </w:tr>
      <w:tr w14:paraId="13CD5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282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09598075">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A6913E4">
            <w:pPr>
              <w:jc w:val="center"/>
              <w:rPr>
                <w:rFonts w:hint="eastAsia" w:ascii="宋体" w:hAnsi="宋体" w:eastAsia="宋体" w:cs="宋体"/>
                <w:i w:val="0"/>
                <w:color w:val="000000"/>
                <w:sz w:val="20"/>
                <w:szCs w:val="20"/>
                <w:u w:val="none"/>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53B2DF83">
            <w:pPr>
              <w:jc w:val="center"/>
              <w:rPr>
                <w:rFonts w:hint="eastAsia" w:ascii="宋体" w:hAnsi="宋体" w:eastAsia="宋体" w:cs="宋体"/>
                <w:i w:val="0"/>
                <w:color w:val="000000"/>
                <w:sz w:val="20"/>
                <w:szCs w:val="20"/>
                <w:u w:val="none"/>
              </w:rPr>
            </w:pPr>
          </w:p>
        </w:tc>
        <w:tc>
          <w:tcPr>
            <w:tcW w:w="1372" w:type="dxa"/>
            <w:tcBorders>
              <w:top w:val="single" w:color="000000" w:sz="4" w:space="0"/>
              <w:left w:val="single" w:color="000000" w:sz="4" w:space="0"/>
              <w:bottom w:val="single" w:color="000000" w:sz="4" w:space="0"/>
              <w:right w:val="single" w:color="000000" w:sz="4" w:space="0"/>
            </w:tcBorders>
            <w:vAlign w:val="center"/>
          </w:tcPr>
          <w:p w14:paraId="4CEF905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合同及工程资料管理</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684B8024">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设计、施工、监理、设备等合同是否齐全，合同签订是否规范、执行是否有效；工程立项、施工、监理、验收、合同等档案资料是否齐全，并有专人管理。</w:t>
            </w:r>
          </w:p>
        </w:tc>
        <w:tc>
          <w:tcPr>
            <w:tcW w:w="690" w:type="dxa"/>
            <w:tcBorders>
              <w:top w:val="single" w:color="000000" w:sz="4" w:space="0"/>
              <w:left w:val="single" w:color="000000" w:sz="4" w:space="0"/>
              <w:bottom w:val="single" w:color="000000" w:sz="4" w:space="0"/>
              <w:right w:val="single" w:color="000000" w:sz="4" w:space="0"/>
            </w:tcBorders>
            <w:vAlign w:val="center"/>
          </w:tcPr>
          <w:p w14:paraId="6BF9F69D">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3</w:t>
            </w:r>
          </w:p>
        </w:tc>
        <w:tc>
          <w:tcPr>
            <w:tcW w:w="4326" w:type="dxa"/>
            <w:tcBorders>
              <w:top w:val="single" w:color="000000" w:sz="4" w:space="0"/>
              <w:left w:val="single" w:color="000000" w:sz="4" w:space="0"/>
              <w:bottom w:val="single" w:color="000000" w:sz="4" w:space="0"/>
              <w:right w:val="single" w:color="000000" w:sz="4" w:space="0"/>
            </w:tcBorders>
            <w:vAlign w:val="center"/>
          </w:tcPr>
          <w:p w14:paraId="4667B020">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①项目应有的合同（如设计、施工、监理等合同）齐全，且合同签订规范、执行有效，得1.5分，否则差一项扣0.5，扣完为止；</w:t>
            </w:r>
            <w:r>
              <w:rPr>
                <w:rFonts w:hint="eastAsia" w:ascii="宋体" w:hAnsi="宋体" w:eastAsia="宋体" w:cs="宋体"/>
                <w:i w:val="0"/>
                <w:color w:val="000000"/>
                <w:kern w:val="0"/>
                <w:sz w:val="20"/>
                <w:szCs w:val="20"/>
                <w:u w:val="none"/>
                <w:lang w:val="en-US" w:eastAsia="zh-CN" w:bidi="ar-SA"/>
              </w:rPr>
              <w:br w:type="textWrapping"/>
            </w:r>
            <w:r>
              <w:rPr>
                <w:rFonts w:hint="eastAsia" w:ascii="宋体" w:hAnsi="宋体" w:eastAsia="宋体" w:cs="宋体"/>
                <w:i w:val="0"/>
                <w:color w:val="000000"/>
                <w:kern w:val="0"/>
                <w:sz w:val="20"/>
                <w:szCs w:val="20"/>
                <w:u w:val="none"/>
                <w:lang w:val="en-US" w:eastAsia="zh-CN" w:bidi="ar-SA"/>
              </w:rPr>
              <w:t>②项目应有的档案资料（如立项、施工、监理、验收、合同等）齐全，并有专人管理，得1.5分，否则差一项扣0.5，扣完为止。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7911167D">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3.00 </w:t>
            </w:r>
          </w:p>
        </w:tc>
      </w:tr>
      <w:tr w14:paraId="24C8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815" w:hRule="atLeast"/>
        </w:trPr>
        <w:tc>
          <w:tcPr>
            <w:tcW w:w="1206"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76D2449B">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3A346">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A937">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项目质量可控性</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5457">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项目质量可控性</w:t>
            </w: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2436B">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项目施工单位对项目质量控制是否到位、是否有完整的质量检测记录；监理单位是否按进度、质量、投资控制及监理人员履行职责情况，履行是否到位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B3E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4</w:t>
            </w:r>
          </w:p>
        </w:tc>
        <w:tc>
          <w:tcPr>
            <w:tcW w:w="43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940A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已制定或具有相应的项目质量要求或标准，采取了相应的项目质量检查、验收等必需的控制措施或手段，得4分；否则酌情扣减，扣完为止。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5A1EB127">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4.00 </w:t>
            </w:r>
          </w:p>
        </w:tc>
      </w:tr>
      <w:tr w14:paraId="70363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195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19614160">
            <w:pPr>
              <w:jc w:val="center"/>
              <w:rPr>
                <w:rFonts w:hint="eastAsia" w:ascii="宋体" w:hAnsi="宋体" w:eastAsia="宋体" w:cs="宋体"/>
                <w:i w:val="0"/>
                <w:color w:val="000000"/>
                <w:sz w:val="20"/>
                <w:szCs w:val="20"/>
                <w:u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E2CA2FF">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vAlign w:val="center"/>
          </w:tcPr>
          <w:p w14:paraId="1A569C4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跟踪管理</w:t>
            </w:r>
          </w:p>
        </w:tc>
        <w:tc>
          <w:tcPr>
            <w:tcW w:w="1372" w:type="dxa"/>
            <w:tcBorders>
              <w:top w:val="single" w:color="000000" w:sz="4" w:space="0"/>
              <w:left w:val="single" w:color="000000" w:sz="4" w:space="0"/>
              <w:bottom w:val="single" w:color="000000" w:sz="4" w:space="0"/>
              <w:right w:val="single" w:color="000000" w:sz="4" w:space="0"/>
            </w:tcBorders>
            <w:vAlign w:val="center"/>
          </w:tcPr>
          <w:p w14:paraId="343EC522">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跟踪管理</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42DAA686">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实施单位是否为保障预期目标的实现，建立了过程监控制度；是否明确了实施过程跟踪的人员、时间及具体内容；是否对跟踪情况形成报告，并向管理层报告对跟踪过程中发现的偏离预期目标的情况，是否进行了干预；对跟踪过程中发现预期目标不准确的情况，是否及时调整了目标，并按照规定程序报审。</w:t>
            </w:r>
          </w:p>
        </w:tc>
        <w:tc>
          <w:tcPr>
            <w:tcW w:w="690" w:type="dxa"/>
            <w:tcBorders>
              <w:top w:val="single" w:color="000000" w:sz="4" w:space="0"/>
              <w:left w:val="single" w:color="000000" w:sz="4" w:space="0"/>
              <w:bottom w:val="single" w:color="000000" w:sz="4" w:space="0"/>
              <w:right w:val="single" w:color="000000" w:sz="4" w:space="0"/>
            </w:tcBorders>
            <w:vAlign w:val="center"/>
          </w:tcPr>
          <w:p w14:paraId="52BF2A3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4</w:t>
            </w:r>
          </w:p>
        </w:tc>
        <w:tc>
          <w:tcPr>
            <w:tcW w:w="4326" w:type="dxa"/>
            <w:tcBorders>
              <w:top w:val="single" w:color="000000" w:sz="4" w:space="0"/>
              <w:left w:val="single" w:color="000000" w:sz="4" w:space="0"/>
              <w:bottom w:val="single" w:color="000000" w:sz="4" w:space="0"/>
              <w:right w:val="single" w:color="000000" w:sz="4" w:space="0"/>
            </w:tcBorders>
            <w:vAlign w:val="center"/>
          </w:tcPr>
          <w:p w14:paraId="2C007FEB">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项目实施单位建立了过程监控制度，明确了实施过程跟踪的人员、时间及具体内容，对跟踪情况形成报告，并及时按规定程序调整，得4分；否则根据情况酌情扣分，扣完为止。</w:t>
            </w:r>
          </w:p>
        </w:tc>
        <w:tc>
          <w:tcPr>
            <w:tcW w:w="2025" w:type="dxa"/>
            <w:tcBorders>
              <w:top w:val="single" w:color="000000" w:sz="4" w:space="0"/>
              <w:left w:val="single" w:color="000000" w:sz="4" w:space="0"/>
              <w:bottom w:val="single" w:color="000000" w:sz="4" w:space="0"/>
              <w:right w:val="single" w:color="000000" w:sz="12" w:space="0"/>
            </w:tcBorders>
            <w:vAlign w:val="center"/>
          </w:tcPr>
          <w:p w14:paraId="380C0302">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4.00 </w:t>
            </w:r>
          </w:p>
        </w:tc>
      </w:tr>
      <w:tr w14:paraId="255B8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510" w:hRule="atLeast"/>
        </w:trPr>
        <w:tc>
          <w:tcPr>
            <w:tcW w:w="1206" w:type="dxa"/>
            <w:vMerge w:val="continue"/>
            <w:tcBorders>
              <w:top w:val="single" w:color="000000" w:sz="4" w:space="0"/>
              <w:left w:val="single" w:color="000000" w:sz="12" w:space="0"/>
              <w:bottom w:val="single" w:color="000000" w:sz="4" w:space="0"/>
              <w:right w:val="single" w:color="000000" w:sz="4" w:space="0"/>
            </w:tcBorders>
            <w:vAlign w:val="center"/>
          </w:tcPr>
          <w:p w14:paraId="71183820">
            <w:pPr>
              <w:jc w:val="center"/>
              <w:rPr>
                <w:rFonts w:hint="eastAsia" w:ascii="宋体" w:hAnsi="宋体" w:eastAsia="宋体" w:cs="宋体"/>
                <w:i w:val="0"/>
                <w:color w:val="000000"/>
                <w:sz w:val="20"/>
                <w:szCs w:val="20"/>
                <w:u w:val="none"/>
              </w:rPr>
            </w:pPr>
          </w:p>
        </w:tc>
        <w:tc>
          <w:tcPr>
            <w:tcW w:w="3149" w:type="dxa"/>
            <w:gridSpan w:val="3"/>
            <w:tcBorders>
              <w:top w:val="single" w:color="000000" w:sz="4" w:space="0"/>
              <w:left w:val="single" w:color="000000" w:sz="4" w:space="0"/>
              <w:bottom w:val="single" w:color="000000" w:sz="4" w:space="0"/>
              <w:right w:val="single" w:color="000000" w:sz="4" w:space="0"/>
            </w:tcBorders>
            <w:vAlign w:val="center"/>
          </w:tcPr>
          <w:p w14:paraId="76E073F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小  计</w:t>
            </w:r>
          </w:p>
        </w:tc>
        <w:tc>
          <w:tcPr>
            <w:tcW w:w="2438" w:type="dxa"/>
            <w:gridSpan w:val="2"/>
            <w:tcBorders>
              <w:top w:val="single" w:color="000000" w:sz="4" w:space="0"/>
              <w:left w:val="single" w:color="000000" w:sz="4" w:space="0"/>
              <w:bottom w:val="single" w:color="000000" w:sz="4" w:space="0"/>
              <w:right w:val="single" w:color="000000" w:sz="4" w:space="0"/>
            </w:tcBorders>
            <w:vAlign w:val="center"/>
          </w:tcPr>
          <w:p w14:paraId="73FED5A9">
            <w:pP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14:paraId="6A84E39F">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33</w:t>
            </w:r>
          </w:p>
        </w:tc>
        <w:tc>
          <w:tcPr>
            <w:tcW w:w="4326" w:type="dxa"/>
            <w:tcBorders>
              <w:top w:val="single" w:color="000000" w:sz="4" w:space="0"/>
              <w:left w:val="single" w:color="000000" w:sz="4" w:space="0"/>
              <w:bottom w:val="single" w:color="000000" w:sz="4" w:space="0"/>
              <w:right w:val="single" w:color="000000" w:sz="4" w:space="0"/>
            </w:tcBorders>
            <w:vAlign w:val="center"/>
          </w:tcPr>
          <w:p w14:paraId="4CBAA96E">
            <w:pPr>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12" w:space="0"/>
            </w:tcBorders>
            <w:vAlign w:val="center"/>
          </w:tcPr>
          <w:p w14:paraId="36530E5A">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33.00 </w:t>
            </w:r>
          </w:p>
        </w:tc>
      </w:tr>
      <w:tr w14:paraId="4BAB1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465" w:hRule="atLeast"/>
        </w:trPr>
        <w:tc>
          <w:tcPr>
            <w:tcW w:w="4355" w:type="dxa"/>
            <w:gridSpan w:val="4"/>
            <w:tcBorders>
              <w:top w:val="single" w:color="000000" w:sz="4" w:space="0"/>
              <w:left w:val="single" w:color="000000" w:sz="12" w:space="0"/>
              <w:bottom w:val="single" w:color="000000" w:sz="12" w:space="0"/>
              <w:right w:val="single" w:color="000000" w:sz="4" w:space="0"/>
            </w:tcBorders>
            <w:vAlign w:val="center"/>
          </w:tcPr>
          <w:p w14:paraId="48EF3AD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SA"/>
              </w:rPr>
              <w:t>合  计</w:t>
            </w:r>
          </w:p>
        </w:tc>
        <w:tc>
          <w:tcPr>
            <w:tcW w:w="2438" w:type="dxa"/>
            <w:gridSpan w:val="2"/>
            <w:tcBorders>
              <w:top w:val="single" w:color="000000" w:sz="4" w:space="0"/>
              <w:left w:val="single" w:color="000000" w:sz="4" w:space="0"/>
              <w:bottom w:val="single" w:color="000000" w:sz="12" w:space="0"/>
              <w:right w:val="single" w:color="000000" w:sz="4" w:space="0"/>
            </w:tcBorders>
            <w:vAlign w:val="center"/>
          </w:tcPr>
          <w:p w14:paraId="2F7489E3">
            <w:pPr>
              <w:rPr>
                <w:rFonts w:hint="eastAsia" w:ascii="宋体" w:hAnsi="宋体" w:eastAsia="宋体" w:cs="宋体"/>
                <w:i w:val="0"/>
                <w:color w:val="000000"/>
                <w:sz w:val="24"/>
                <w:szCs w:val="24"/>
                <w:u w:val="none"/>
              </w:rPr>
            </w:pPr>
          </w:p>
        </w:tc>
        <w:tc>
          <w:tcPr>
            <w:tcW w:w="690" w:type="dxa"/>
            <w:tcBorders>
              <w:top w:val="single" w:color="000000" w:sz="4" w:space="0"/>
              <w:left w:val="single" w:color="000000" w:sz="4" w:space="0"/>
              <w:bottom w:val="single" w:color="000000" w:sz="12" w:space="0"/>
              <w:right w:val="single" w:color="000000" w:sz="4" w:space="0"/>
            </w:tcBorders>
            <w:vAlign w:val="center"/>
          </w:tcPr>
          <w:p w14:paraId="6D61FD0C">
            <w:pPr>
              <w:widowControl/>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SA"/>
              </w:rPr>
              <w:t>100</w:t>
            </w:r>
          </w:p>
        </w:tc>
        <w:tc>
          <w:tcPr>
            <w:tcW w:w="4326" w:type="dxa"/>
            <w:tcBorders>
              <w:top w:val="single" w:color="000000" w:sz="4" w:space="0"/>
              <w:left w:val="single" w:color="000000" w:sz="4" w:space="0"/>
              <w:bottom w:val="single" w:color="000000" w:sz="12" w:space="0"/>
              <w:right w:val="single" w:color="000000" w:sz="4" w:space="0"/>
            </w:tcBorders>
            <w:vAlign w:val="center"/>
          </w:tcPr>
          <w:p w14:paraId="0161BB52">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12" w:space="0"/>
              <w:right w:val="single" w:color="000000" w:sz="12" w:space="0"/>
            </w:tcBorders>
            <w:vAlign w:val="center"/>
          </w:tcPr>
          <w:p w14:paraId="029687A2">
            <w:pPr>
              <w:widowControl/>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 xml:space="preserve">94.86 </w:t>
            </w:r>
          </w:p>
        </w:tc>
      </w:tr>
      <w:tr w14:paraId="0C4E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286" w:hRule="atLeast"/>
        </w:trPr>
        <w:tc>
          <w:tcPr>
            <w:tcW w:w="1206" w:type="dxa"/>
            <w:vAlign w:val="center"/>
          </w:tcPr>
          <w:p w14:paraId="10D14BFF">
            <w:pPr>
              <w:rPr>
                <w:rFonts w:hint="eastAsia" w:ascii="宋体" w:hAnsi="宋体" w:eastAsia="宋体" w:cs="宋体"/>
                <w:i w:val="0"/>
                <w:color w:val="000000"/>
                <w:sz w:val="22"/>
                <w:szCs w:val="22"/>
                <w:u w:val="none"/>
              </w:rPr>
            </w:pPr>
          </w:p>
        </w:tc>
        <w:tc>
          <w:tcPr>
            <w:tcW w:w="1134" w:type="dxa"/>
            <w:vAlign w:val="center"/>
          </w:tcPr>
          <w:p w14:paraId="0C1C713B">
            <w:pPr>
              <w:rPr>
                <w:rFonts w:hint="eastAsia" w:ascii="宋体" w:hAnsi="宋体" w:eastAsia="宋体" w:cs="宋体"/>
                <w:i w:val="0"/>
                <w:color w:val="000000"/>
                <w:sz w:val="22"/>
                <w:szCs w:val="22"/>
                <w:u w:val="none"/>
              </w:rPr>
            </w:pPr>
          </w:p>
        </w:tc>
        <w:tc>
          <w:tcPr>
            <w:tcW w:w="643" w:type="dxa"/>
            <w:vAlign w:val="center"/>
          </w:tcPr>
          <w:p w14:paraId="6711DED9">
            <w:pPr>
              <w:rPr>
                <w:rFonts w:hint="eastAsia" w:ascii="宋体" w:hAnsi="宋体" w:eastAsia="宋体" w:cs="宋体"/>
                <w:i w:val="0"/>
                <w:color w:val="000000"/>
                <w:sz w:val="22"/>
                <w:szCs w:val="22"/>
                <w:u w:val="none"/>
              </w:rPr>
            </w:pPr>
          </w:p>
        </w:tc>
        <w:tc>
          <w:tcPr>
            <w:tcW w:w="1372" w:type="dxa"/>
            <w:vAlign w:val="center"/>
          </w:tcPr>
          <w:p w14:paraId="742B3D18">
            <w:pPr>
              <w:rPr>
                <w:rFonts w:hint="eastAsia" w:ascii="宋体" w:hAnsi="宋体" w:eastAsia="宋体" w:cs="宋体"/>
                <w:i w:val="0"/>
                <w:color w:val="000000"/>
                <w:sz w:val="22"/>
                <w:szCs w:val="22"/>
                <w:u w:val="none"/>
              </w:rPr>
            </w:pPr>
          </w:p>
        </w:tc>
        <w:tc>
          <w:tcPr>
            <w:tcW w:w="2438" w:type="dxa"/>
            <w:gridSpan w:val="2"/>
            <w:vAlign w:val="center"/>
          </w:tcPr>
          <w:p w14:paraId="2F9475FA">
            <w:pPr>
              <w:rPr>
                <w:rFonts w:hint="eastAsia" w:ascii="宋体" w:hAnsi="宋体" w:eastAsia="宋体" w:cs="宋体"/>
                <w:i w:val="0"/>
                <w:color w:val="000000"/>
                <w:sz w:val="22"/>
                <w:szCs w:val="22"/>
                <w:u w:val="none"/>
              </w:rPr>
            </w:pPr>
          </w:p>
        </w:tc>
        <w:tc>
          <w:tcPr>
            <w:tcW w:w="690" w:type="dxa"/>
            <w:vAlign w:val="center"/>
          </w:tcPr>
          <w:p w14:paraId="52CAE25B">
            <w:pPr>
              <w:rPr>
                <w:rFonts w:hint="eastAsia" w:ascii="宋体" w:hAnsi="宋体" w:eastAsia="宋体" w:cs="宋体"/>
                <w:i w:val="0"/>
                <w:color w:val="000000"/>
                <w:sz w:val="22"/>
                <w:szCs w:val="22"/>
                <w:u w:val="none"/>
              </w:rPr>
            </w:pPr>
          </w:p>
        </w:tc>
        <w:tc>
          <w:tcPr>
            <w:tcW w:w="4326" w:type="dxa"/>
            <w:vAlign w:val="center"/>
          </w:tcPr>
          <w:p w14:paraId="6CA1ECEF">
            <w:pPr>
              <w:rPr>
                <w:rFonts w:hint="eastAsia" w:ascii="宋体" w:hAnsi="宋体" w:eastAsia="宋体" w:cs="宋体"/>
                <w:i w:val="0"/>
                <w:color w:val="000000"/>
                <w:sz w:val="22"/>
                <w:szCs w:val="22"/>
                <w:u w:val="none"/>
              </w:rPr>
            </w:pPr>
          </w:p>
        </w:tc>
        <w:tc>
          <w:tcPr>
            <w:tcW w:w="2025" w:type="dxa"/>
            <w:vAlign w:val="center"/>
          </w:tcPr>
          <w:p w14:paraId="3BC6044C">
            <w:pPr>
              <w:rPr>
                <w:rFonts w:hint="eastAsia" w:ascii="宋体" w:hAnsi="宋体" w:eastAsia="宋体" w:cs="宋体"/>
                <w:i w:val="0"/>
                <w:color w:val="000000"/>
                <w:sz w:val="22"/>
                <w:szCs w:val="22"/>
                <w:u w:val="none"/>
              </w:rPr>
            </w:pPr>
          </w:p>
        </w:tc>
      </w:tr>
    </w:tbl>
    <w:p w14:paraId="4DF53A0B">
      <w:pPr>
        <w:pStyle w:val="8"/>
        <w:spacing w:line="600" w:lineRule="exact"/>
        <w:rPr>
          <w:rFonts w:hint="eastAsia" w:ascii="方正仿宋_GBK" w:eastAsia="方正仿宋_GBK"/>
          <w:sz w:val="32"/>
          <w:szCs w:val="32"/>
        </w:rPr>
      </w:pPr>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WU2YzAxZjkyNjNmZWNiZTIxMGYwMWUwYTk5ZDhmMDYifQ=="/>
  </w:docVars>
  <w:rsids>
    <w:rsidRoot w:val="00FF36CF"/>
    <w:rsid w:val="000165C9"/>
    <w:rsid w:val="00020221"/>
    <w:rsid w:val="00021F48"/>
    <w:rsid w:val="00022841"/>
    <w:rsid w:val="00030CE2"/>
    <w:rsid w:val="000365AE"/>
    <w:rsid w:val="00051A83"/>
    <w:rsid w:val="00053D0A"/>
    <w:rsid w:val="000633BA"/>
    <w:rsid w:val="00063781"/>
    <w:rsid w:val="00070415"/>
    <w:rsid w:val="00084884"/>
    <w:rsid w:val="00093BD8"/>
    <w:rsid w:val="0009744F"/>
    <w:rsid w:val="000A0E06"/>
    <w:rsid w:val="000A3AEE"/>
    <w:rsid w:val="000A5462"/>
    <w:rsid w:val="000A78EA"/>
    <w:rsid w:val="000B0171"/>
    <w:rsid w:val="000B6DE7"/>
    <w:rsid w:val="000D1F87"/>
    <w:rsid w:val="000F105F"/>
    <w:rsid w:val="000F78BD"/>
    <w:rsid w:val="00112C1E"/>
    <w:rsid w:val="0012010D"/>
    <w:rsid w:val="00124BF3"/>
    <w:rsid w:val="001257F1"/>
    <w:rsid w:val="00132203"/>
    <w:rsid w:val="00142416"/>
    <w:rsid w:val="001447D0"/>
    <w:rsid w:val="00146D4D"/>
    <w:rsid w:val="00151D63"/>
    <w:rsid w:val="00156B3F"/>
    <w:rsid w:val="001620C1"/>
    <w:rsid w:val="001805D6"/>
    <w:rsid w:val="00182198"/>
    <w:rsid w:val="001B42AF"/>
    <w:rsid w:val="001B4D0A"/>
    <w:rsid w:val="001B5C31"/>
    <w:rsid w:val="001C65A7"/>
    <w:rsid w:val="001F2058"/>
    <w:rsid w:val="001F2CC0"/>
    <w:rsid w:val="001F4484"/>
    <w:rsid w:val="00200175"/>
    <w:rsid w:val="00207CF6"/>
    <w:rsid w:val="00207F57"/>
    <w:rsid w:val="002140FC"/>
    <w:rsid w:val="00217201"/>
    <w:rsid w:val="00217371"/>
    <w:rsid w:val="0022221E"/>
    <w:rsid w:val="00225F61"/>
    <w:rsid w:val="00241046"/>
    <w:rsid w:val="002430F1"/>
    <w:rsid w:val="00244909"/>
    <w:rsid w:val="00272DBD"/>
    <w:rsid w:val="0027575D"/>
    <w:rsid w:val="002779C0"/>
    <w:rsid w:val="0028152B"/>
    <w:rsid w:val="002C33DB"/>
    <w:rsid w:val="002C6F69"/>
    <w:rsid w:val="002D468B"/>
    <w:rsid w:val="002E1B66"/>
    <w:rsid w:val="002E64A2"/>
    <w:rsid w:val="00301133"/>
    <w:rsid w:val="00310AB6"/>
    <w:rsid w:val="00310D48"/>
    <w:rsid w:val="00314450"/>
    <w:rsid w:val="00321A6D"/>
    <w:rsid w:val="00322764"/>
    <w:rsid w:val="00326DD0"/>
    <w:rsid w:val="00327F32"/>
    <w:rsid w:val="003530B8"/>
    <w:rsid w:val="003807ED"/>
    <w:rsid w:val="00393017"/>
    <w:rsid w:val="003A0EA9"/>
    <w:rsid w:val="003A690E"/>
    <w:rsid w:val="003B4FAD"/>
    <w:rsid w:val="003B65DB"/>
    <w:rsid w:val="003E55E0"/>
    <w:rsid w:val="004604CE"/>
    <w:rsid w:val="00460892"/>
    <w:rsid w:val="00460FCD"/>
    <w:rsid w:val="00462DD2"/>
    <w:rsid w:val="00465FE8"/>
    <w:rsid w:val="00466E7B"/>
    <w:rsid w:val="00473391"/>
    <w:rsid w:val="0048015E"/>
    <w:rsid w:val="00480378"/>
    <w:rsid w:val="0048412E"/>
    <w:rsid w:val="00496E07"/>
    <w:rsid w:val="004A6144"/>
    <w:rsid w:val="004A70F1"/>
    <w:rsid w:val="004B6D7D"/>
    <w:rsid w:val="004C14AB"/>
    <w:rsid w:val="004E6410"/>
    <w:rsid w:val="004F2C2C"/>
    <w:rsid w:val="00513728"/>
    <w:rsid w:val="005239B8"/>
    <w:rsid w:val="0054355D"/>
    <w:rsid w:val="005463CC"/>
    <w:rsid w:val="005516C2"/>
    <w:rsid w:val="0056667B"/>
    <w:rsid w:val="00575A23"/>
    <w:rsid w:val="00575A7C"/>
    <w:rsid w:val="00582773"/>
    <w:rsid w:val="00585229"/>
    <w:rsid w:val="00587124"/>
    <w:rsid w:val="00595C33"/>
    <w:rsid w:val="005A7395"/>
    <w:rsid w:val="005B14EA"/>
    <w:rsid w:val="005B18A9"/>
    <w:rsid w:val="005D2546"/>
    <w:rsid w:val="005D3D7C"/>
    <w:rsid w:val="005D7AEA"/>
    <w:rsid w:val="005E21EA"/>
    <w:rsid w:val="005F15A7"/>
    <w:rsid w:val="006048F5"/>
    <w:rsid w:val="00616746"/>
    <w:rsid w:val="00643AE7"/>
    <w:rsid w:val="00646757"/>
    <w:rsid w:val="006746A8"/>
    <w:rsid w:val="006856DB"/>
    <w:rsid w:val="006A78D3"/>
    <w:rsid w:val="006C5E39"/>
    <w:rsid w:val="006C7881"/>
    <w:rsid w:val="006D4DE3"/>
    <w:rsid w:val="006D64F4"/>
    <w:rsid w:val="006E4435"/>
    <w:rsid w:val="006E5B14"/>
    <w:rsid w:val="006F1455"/>
    <w:rsid w:val="006F3884"/>
    <w:rsid w:val="006F43DA"/>
    <w:rsid w:val="00707F1E"/>
    <w:rsid w:val="007135BB"/>
    <w:rsid w:val="00724DD2"/>
    <w:rsid w:val="00724FFB"/>
    <w:rsid w:val="00765767"/>
    <w:rsid w:val="007757DF"/>
    <w:rsid w:val="00791F24"/>
    <w:rsid w:val="00793ABF"/>
    <w:rsid w:val="007966CE"/>
    <w:rsid w:val="007B0379"/>
    <w:rsid w:val="007B6BCA"/>
    <w:rsid w:val="007C3F86"/>
    <w:rsid w:val="007C54FC"/>
    <w:rsid w:val="007D121D"/>
    <w:rsid w:val="007E333A"/>
    <w:rsid w:val="007E6073"/>
    <w:rsid w:val="007F3371"/>
    <w:rsid w:val="007F7333"/>
    <w:rsid w:val="00801B4B"/>
    <w:rsid w:val="0081355B"/>
    <w:rsid w:val="00814319"/>
    <w:rsid w:val="00816801"/>
    <w:rsid w:val="008171D2"/>
    <w:rsid w:val="0082001E"/>
    <w:rsid w:val="0083055A"/>
    <w:rsid w:val="0083467E"/>
    <w:rsid w:val="00834930"/>
    <w:rsid w:val="00847C48"/>
    <w:rsid w:val="0085238C"/>
    <w:rsid w:val="00862035"/>
    <w:rsid w:val="008632F9"/>
    <w:rsid w:val="00877B62"/>
    <w:rsid w:val="00884E0E"/>
    <w:rsid w:val="00894829"/>
    <w:rsid w:val="008A5676"/>
    <w:rsid w:val="008A5823"/>
    <w:rsid w:val="008B32FD"/>
    <w:rsid w:val="008C2162"/>
    <w:rsid w:val="008C6652"/>
    <w:rsid w:val="008D6298"/>
    <w:rsid w:val="008E0525"/>
    <w:rsid w:val="008E3592"/>
    <w:rsid w:val="009014C8"/>
    <w:rsid w:val="00910E78"/>
    <w:rsid w:val="00913C6B"/>
    <w:rsid w:val="0091548D"/>
    <w:rsid w:val="00916524"/>
    <w:rsid w:val="009229AA"/>
    <w:rsid w:val="00924560"/>
    <w:rsid w:val="009264FA"/>
    <w:rsid w:val="00927153"/>
    <w:rsid w:val="0093372C"/>
    <w:rsid w:val="00942A0A"/>
    <w:rsid w:val="009534C8"/>
    <w:rsid w:val="00956741"/>
    <w:rsid w:val="009668AD"/>
    <w:rsid w:val="00972DA8"/>
    <w:rsid w:val="00973347"/>
    <w:rsid w:val="00973D88"/>
    <w:rsid w:val="009751B3"/>
    <w:rsid w:val="00976991"/>
    <w:rsid w:val="00985296"/>
    <w:rsid w:val="00992230"/>
    <w:rsid w:val="009950D1"/>
    <w:rsid w:val="00996F65"/>
    <w:rsid w:val="009A57CB"/>
    <w:rsid w:val="009B6727"/>
    <w:rsid w:val="009B710C"/>
    <w:rsid w:val="009C14CE"/>
    <w:rsid w:val="009C4638"/>
    <w:rsid w:val="009C7A15"/>
    <w:rsid w:val="009D5ED1"/>
    <w:rsid w:val="009E0747"/>
    <w:rsid w:val="00A01020"/>
    <w:rsid w:val="00A12D41"/>
    <w:rsid w:val="00A1339E"/>
    <w:rsid w:val="00A20AD8"/>
    <w:rsid w:val="00A21777"/>
    <w:rsid w:val="00A322DA"/>
    <w:rsid w:val="00A40F65"/>
    <w:rsid w:val="00A4308D"/>
    <w:rsid w:val="00A46849"/>
    <w:rsid w:val="00A72832"/>
    <w:rsid w:val="00A7498E"/>
    <w:rsid w:val="00A923B5"/>
    <w:rsid w:val="00AA4938"/>
    <w:rsid w:val="00AA5BC3"/>
    <w:rsid w:val="00AA6ED9"/>
    <w:rsid w:val="00AB40B5"/>
    <w:rsid w:val="00AB4D4E"/>
    <w:rsid w:val="00AB6519"/>
    <w:rsid w:val="00AD0969"/>
    <w:rsid w:val="00AD57B0"/>
    <w:rsid w:val="00AD71FF"/>
    <w:rsid w:val="00AE00FC"/>
    <w:rsid w:val="00AE5365"/>
    <w:rsid w:val="00B03575"/>
    <w:rsid w:val="00B05A66"/>
    <w:rsid w:val="00B13F38"/>
    <w:rsid w:val="00B22DEC"/>
    <w:rsid w:val="00B33C09"/>
    <w:rsid w:val="00B56972"/>
    <w:rsid w:val="00B57E83"/>
    <w:rsid w:val="00B60C8E"/>
    <w:rsid w:val="00B62590"/>
    <w:rsid w:val="00B81237"/>
    <w:rsid w:val="00B93BC4"/>
    <w:rsid w:val="00B93E09"/>
    <w:rsid w:val="00B94B02"/>
    <w:rsid w:val="00BB160A"/>
    <w:rsid w:val="00BB2379"/>
    <w:rsid w:val="00BB5D0A"/>
    <w:rsid w:val="00BB6536"/>
    <w:rsid w:val="00BC4747"/>
    <w:rsid w:val="00BC5BCD"/>
    <w:rsid w:val="00BC74C4"/>
    <w:rsid w:val="00BD6202"/>
    <w:rsid w:val="00BF0891"/>
    <w:rsid w:val="00C00CD0"/>
    <w:rsid w:val="00C0518F"/>
    <w:rsid w:val="00C07A97"/>
    <w:rsid w:val="00C12D23"/>
    <w:rsid w:val="00C212FE"/>
    <w:rsid w:val="00C21B0B"/>
    <w:rsid w:val="00C25BCA"/>
    <w:rsid w:val="00C260D2"/>
    <w:rsid w:val="00C303B6"/>
    <w:rsid w:val="00C32B10"/>
    <w:rsid w:val="00C505FE"/>
    <w:rsid w:val="00C51458"/>
    <w:rsid w:val="00C80278"/>
    <w:rsid w:val="00C8033E"/>
    <w:rsid w:val="00C922FE"/>
    <w:rsid w:val="00CB5177"/>
    <w:rsid w:val="00CB7057"/>
    <w:rsid w:val="00CC00BC"/>
    <w:rsid w:val="00CC155B"/>
    <w:rsid w:val="00CC6904"/>
    <w:rsid w:val="00CD1DC2"/>
    <w:rsid w:val="00CE387E"/>
    <w:rsid w:val="00CE4D4F"/>
    <w:rsid w:val="00CF1166"/>
    <w:rsid w:val="00CF488E"/>
    <w:rsid w:val="00CF4BCC"/>
    <w:rsid w:val="00D10C45"/>
    <w:rsid w:val="00D13F22"/>
    <w:rsid w:val="00D17A0E"/>
    <w:rsid w:val="00D24F7F"/>
    <w:rsid w:val="00D276C5"/>
    <w:rsid w:val="00D364C3"/>
    <w:rsid w:val="00D413BE"/>
    <w:rsid w:val="00D421AD"/>
    <w:rsid w:val="00D6589B"/>
    <w:rsid w:val="00D71808"/>
    <w:rsid w:val="00D71F2B"/>
    <w:rsid w:val="00D85885"/>
    <w:rsid w:val="00D9010A"/>
    <w:rsid w:val="00D94F7C"/>
    <w:rsid w:val="00DB097D"/>
    <w:rsid w:val="00DB4AED"/>
    <w:rsid w:val="00DC1B74"/>
    <w:rsid w:val="00DC6667"/>
    <w:rsid w:val="00DD7AF4"/>
    <w:rsid w:val="00DE7B93"/>
    <w:rsid w:val="00E11D12"/>
    <w:rsid w:val="00E20163"/>
    <w:rsid w:val="00E23968"/>
    <w:rsid w:val="00E42F7C"/>
    <w:rsid w:val="00E4706D"/>
    <w:rsid w:val="00E64060"/>
    <w:rsid w:val="00E73E06"/>
    <w:rsid w:val="00E919A3"/>
    <w:rsid w:val="00E95F12"/>
    <w:rsid w:val="00EB5D40"/>
    <w:rsid w:val="00ED0E0E"/>
    <w:rsid w:val="00EE7ED4"/>
    <w:rsid w:val="00F14A2D"/>
    <w:rsid w:val="00F15401"/>
    <w:rsid w:val="00F178D3"/>
    <w:rsid w:val="00F349F2"/>
    <w:rsid w:val="00F363F5"/>
    <w:rsid w:val="00F419FD"/>
    <w:rsid w:val="00F41FA0"/>
    <w:rsid w:val="00F44843"/>
    <w:rsid w:val="00F516DB"/>
    <w:rsid w:val="00F862FA"/>
    <w:rsid w:val="00F974E9"/>
    <w:rsid w:val="00F97553"/>
    <w:rsid w:val="00FA753D"/>
    <w:rsid w:val="00FB1907"/>
    <w:rsid w:val="00FB5197"/>
    <w:rsid w:val="00FC35E1"/>
    <w:rsid w:val="00FC771F"/>
    <w:rsid w:val="00FE4A99"/>
    <w:rsid w:val="00FF36CF"/>
    <w:rsid w:val="00FF436C"/>
    <w:rsid w:val="1D120AD7"/>
    <w:rsid w:val="2B6A2E60"/>
    <w:rsid w:val="47941EA0"/>
    <w:rsid w:val="76F57E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ate"/>
    <w:basedOn w:val="1"/>
    <w:next w:val="1"/>
    <w:link w:val="12"/>
    <w:unhideWhenUsed/>
    <w:qFormat/>
    <w:uiPriority w:val="99"/>
    <w:pPr>
      <w:ind w:left="100" w:leftChars="2500"/>
    </w:pPr>
    <w:rPr>
      <w:rFonts w:ascii="Calibri" w:hAnsi="Calibri" w:eastAsia="宋体" w:cs="黑体"/>
      <w:szCs w:val="22"/>
    </w:rPr>
  </w:style>
  <w:style w:type="paragraph" w:styleId="3">
    <w:name w:val="Balloon Text"/>
    <w:basedOn w:val="1"/>
    <w:link w:val="13"/>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rFonts w:ascii="Calibri" w:hAnsi="Calibri" w:eastAsia="宋体" w:cs="黑体"/>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paragraph" w:customStyle="1" w:styleId="8">
    <w:name w:val="No Spacing"/>
    <w:qFormat/>
    <w:uiPriority w:val="99"/>
    <w:pPr>
      <w:widowControl w:val="0"/>
      <w:jc w:val="both"/>
    </w:pPr>
    <w:rPr>
      <w:rFonts w:ascii="Calibri" w:hAnsi="Calibri" w:eastAsia="宋体" w:cs="黑体"/>
      <w:kern w:val="2"/>
      <w:sz w:val="21"/>
      <w:szCs w:val="22"/>
      <w:lang w:val="en-US" w:eastAsia="zh-CN" w:bidi="ar-SA"/>
    </w:rPr>
  </w:style>
  <w:style w:type="paragraph" w:customStyle="1" w:styleId="9">
    <w:name w:val="List Paragraph"/>
    <w:basedOn w:val="1"/>
    <w:qFormat/>
    <w:uiPriority w:val="34"/>
    <w:pPr>
      <w:ind w:firstLine="420" w:firstLineChars="200"/>
    </w:p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uiPriority w:val="99"/>
    <w:rPr>
      <w:sz w:val="18"/>
      <w:szCs w:val="18"/>
    </w:rPr>
  </w:style>
  <w:style w:type="character" w:customStyle="1" w:styleId="12">
    <w:name w:val="日期 Char"/>
    <w:basedOn w:val="7"/>
    <w:link w:val="2"/>
    <w:semiHidden/>
    <w:qFormat/>
    <w:uiPriority w:val="99"/>
  </w:style>
  <w:style w:type="character" w:customStyle="1" w:styleId="13">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12</Pages>
  <Words>3543</Words>
  <Characters>3928</Characters>
  <Lines>17</Lines>
  <Paragraphs>4</Paragraphs>
  <TotalTime>0</TotalTime>
  <ScaleCrop>false</ScaleCrop>
  <LinksUpToDate>false</LinksUpToDate>
  <CharactersWithSpaces>3950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2020-04-15T01:48:00Z</dcterms:created>
  <dc:creator>lir</dc:creator>
  <cp:lastModifiedBy>Administrator</cp:lastModifiedBy>
  <cp:lastPrinted>2016-07-04T01:39:00Z</cp:lastPrinted>
  <dcterms:modified xsi:type="dcterms:W3CDTF">2026-07-10T03:33:16Z</dcterms:modified>
  <dc:title>朝天门街道项目支出/整体支出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CB766890C6A64F0EAFDA23DFBA2F3363_12</vt:lpwstr>
  </property>
  <property fmtid="{D5CDD505-2E9C-101B-9397-08002B2CF9AE}" pid="4" name="KSOTemplateDocerSaveRecord">
    <vt:lpwstr>eyJoZGlkIjoiZDBlZGRhMTQyYWM5YWQyNWUwM2VjYzAwYzFkMjZiNWUifQ==</vt:lpwstr>
  </property>
</Properties>
</file>