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color w:val="000000" w:themeColor="text1"/>
          <w14:textFill>
            <w14:solidFill>
              <w14:schemeClr w14:val="tx1"/>
            </w14:solidFill>
          </w14:textFill>
        </w:rPr>
      </w:pPr>
      <w:bookmarkStart w:id="0" w:name="_GoBack"/>
      <w:bookmarkEnd w:id="0"/>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tbl>
      <w:tblPr>
        <w:tblStyle w:val="10"/>
        <w:tblpPr w:leftFromText="180" w:rightFromText="180" w:vertAnchor="page" w:horzAnchor="margin" w:tblpXSpec="center" w:tblpY="3946"/>
        <w:tblW w:w="8275" w:type="dxa"/>
        <w:tblInd w:w="0" w:type="dxa"/>
        <w:tblLayout w:type="fixed"/>
        <w:tblCellMar>
          <w:top w:w="0" w:type="dxa"/>
          <w:left w:w="108" w:type="dxa"/>
          <w:bottom w:w="0" w:type="dxa"/>
          <w:right w:w="108" w:type="dxa"/>
        </w:tblCellMar>
      </w:tblPr>
      <w:tblGrid>
        <w:gridCol w:w="8275"/>
      </w:tblGrid>
      <w:tr>
        <w:tblPrEx>
          <w:tblCellMar>
            <w:top w:w="0" w:type="dxa"/>
            <w:left w:w="108" w:type="dxa"/>
            <w:bottom w:w="0" w:type="dxa"/>
            <w:right w:w="108" w:type="dxa"/>
          </w:tblCellMar>
        </w:tblPrEx>
        <w:trPr>
          <w:trHeight w:val="781" w:hRule="atLeast"/>
        </w:trPr>
        <w:tc>
          <w:tcPr>
            <w:tcW w:w="8275" w:type="dxa"/>
            <w:vAlign w:val="center"/>
          </w:tcPr>
          <w:p>
            <w:pPr>
              <w:snapToGrid w:val="0"/>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重庆市渝中区人民政府朝天门街道办事处</w:t>
            </w:r>
          </w:p>
          <w:p>
            <w:pPr>
              <w:snapToGrid w:val="0"/>
              <w:jc w:val="center"/>
              <w:rPr>
                <w:rFonts w:ascii="仿宋" w:hAnsi="仿宋" w:eastAsia="仿宋" w:cs="仿宋"/>
                <w:b/>
                <w:color w:val="000000" w:themeColor="text1"/>
                <w:sz w:val="32"/>
                <w:szCs w:val="32"/>
                <w14:textFill>
                  <w14:solidFill>
                    <w14:schemeClr w14:val="tx1"/>
                  </w14:solidFill>
                </w14:textFill>
              </w:rPr>
            </w:pPr>
            <w:r>
              <w:rPr>
                <w:rFonts w:ascii="仿宋" w:hAnsi="仿宋" w:eastAsia="仿宋" w:cs="仿宋"/>
                <w:b/>
                <w:color w:val="000000" w:themeColor="text1"/>
                <w:sz w:val="44"/>
                <w:szCs w:val="44"/>
                <w14:textFill>
                  <w14:solidFill>
                    <w14:schemeClr w14:val="tx1"/>
                  </w14:solidFill>
                </w14:textFill>
              </w:rPr>
              <w:t>老旧小区改造提升项目</w:t>
            </w:r>
          </w:p>
        </w:tc>
      </w:tr>
      <w:tr>
        <w:tblPrEx>
          <w:tblCellMar>
            <w:top w:w="0" w:type="dxa"/>
            <w:left w:w="108" w:type="dxa"/>
            <w:bottom w:w="0" w:type="dxa"/>
            <w:right w:w="108" w:type="dxa"/>
          </w:tblCellMar>
        </w:tblPrEx>
        <w:trPr>
          <w:trHeight w:val="781" w:hRule="atLeast"/>
        </w:trPr>
        <w:tc>
          <w:tcPr>
            <w:tcW w:w="8275" w:type="dxa"/>
            <w:vAlign w:val="center"/>
          </w:tcPr>
          <w:p>
            <w:pPr>
              <w:snapToGrid w:val="0"/>
              <w:jc w:val="center"/>
              <w:rPr>
                <w:rFonts w:ascii="仿宋" w:hAnsi="仿宋" w:eastAsia="仿宋" w:cs="仿宋"/>
                <w:b/>
                <w:color w:val="000000" w:themeColor="text1"/>
                <w:sz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绩效评价报告</w:t>
            </w:r>
          </w:p>
        </w:tc>
      </w:tr>
      <w:tr>
        <w:tblPrEx>
          <w:tblCellMar>
            <w:top w:w="0" w:type="dxa"/>
            <w:left w:w="108" w:type="dxa"/>
            <w:bottom w:w="0" w:type="dxa"/>
            <w:right w:w="108" w:type="dxa"/>
          </w:tblCellMar>
        </w:tblPrEx>
        <w:trPr>
          <w:trHeight w:val="781" w:hRule="atLeast"/>
        </w:trPr>
        <w:tc>
          <w:tcPr>
            <w:tcW w:w="8275" w:type="dxa"/>
            <w:vAlign w:val="center"/>
          </w:tcPr>
          <w:p>
            <w:pPr>
              <w:snapToGrid w:val="0"/>
              <w:jc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sz w:val="21"/>
                <w:szCs w:val="21"/>
              </w:rPr>
              <w:t>大华咨字</w:t>
            </w:r>
            <w:r>
              <w:rPr>
                <w:rFonts w:ascii="仿宋" w:hAnsi="仿宋" w:eastAsia="仿宋" w:cs="仿宋"/>
                <w:b/>
                <w:bCs/>
                <w:sz w:val="21"/>
                <w:szCs w:val="21"/>
              </w:rPr>
              <w:t>[2021]250021号</w:t>
            </w:r>
          </w:p>
        </w:tc>
      </w:tr>
    </w:tbl>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sz w:val="28"/>
          <w:szCs w:val="28"/>
          <w14:textFill>
            <w14:solidFill>
              <w14:schemeClr w14:val="tx1"/>
            </w14:solidFill>
          </w14:textFill>
        </w:rPr>
      </w:pPr>
    </w:p>
    <w:p>
      <w:pPr>
        <w:rPr>
          <w:rFonts w:ascii="仿宋" w:hAnsi="仿宋" w:eastAsia="仿宋" w:cs="仿宋"/>
          <w:color w:val="000000" w:themeColor="text1"/>
          <w:sz w:val="28"/>
          <w:szCs w:val="28"/>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snapToGrid w:val="0"/>
        <w:rPr>
          <w:rFonts w:ascii="仿宋" w:hAnsi="仿宋" w:eastAsia="仿宋" w:cs="仿宋"/>
          <w:b/>
          <w:color w:val="000000" w:themeColor="text1"/>
          <w:sz w:val="30"/>
          <w:szCs w:val="30"/>
          <w14:textFill>
            <w14:solidFill>
              <w14:schemeClr w14:val="tx1"/>
            </w14:solidFill>
          </w14:textFill>
        </w:rPr>
      </w:pPr>
    </w:p>
    <w:p>
      <w:pPr>
        <w:snapToGrid w:val="0"/>
        <w:jc w:val="center"/>
        <w:rPr>
          <w:rFonts w:ascii="仿宋" w:hAnsi="仿宋" w:eastAsia="仿宋" w:cs="仿宋"/>
          <w:b/>
          <w:color w:val="000000" w:themeColor="text1"/>
          <w:sz w:val="30"/>
          <w:szCs w:val="30"/>
          <w14:textFill>
            <w14:solidFill>
              <w14:schemeClr w14:val="tx1"/>
            </w14:solidFill>
          </w14:textFill>
        </w:rPr>
      </w:pPr>
    </w:p>
    <w:p>
      <w:pPr>
        <w:snapToGrid w:val="0"/>
        <w:jc w:val="center"/>
        <w:rPr>
          <w:rFonts w:ascii="仿宋" w:hAnsi="仿宋" w:eastAsia="仿宋" w:cs="仿宋"/>
          <w:b/>
          <w:color w:val="000000" w:themeColor="text1"/>
          <w:sz w:val="30"/>
          <w:szCs w:val="30"/>
          <w14:textFill>
            <w14:solidFill>
              <w14:schemeClr w14:val="tx1"/>
            </w14:solidFill>
          </w14:textFill>
        </w:rPr>
      </w:pPr>
    </w:p>
    <w:p>
      <w:pPr>
        <w:snapToGrid w:val="0"/>
        <w:jc w:val="center"/>
        <w:rPr>
          <w:rFonts w:ascii="仿宋" w:hAnsi="仿宋" w:eastAsia="仿宋" w:cs="仿宋"/>
          <w:b/>
          <w:color w:val="000000" w:themeColor="text1"/>
          <w:sz w:val="30"/>
          <w:szCs w:val="30"/>
          <w14:textFill>
            <w14:solidFill>
              <w14:schemeClr w14:val="tx1"/>
            </w14:solidFill>
          </w14:textFill>
        </w:rPr>
      </w:pPr>
    </w:p>
    <w:p>
      <w:pPr>
        <w:snapToGrid w:val="0"/>
        <w:jc w:val="center"/>
        <w:rPr>
          <w:rFonts w:ascii="仿宋" w:hAnsi="仿宋" w:eastAsia="仿宋" w:cs="仿宋"/>
          <w:b/>
          <w:kern w:val="2"/>
          <w:sz w:val="30"/>
          <w:szCs w:val="30"/>
        </w:rPr>
      </w:pPr>
      <w:r>
        <w:rPr>
          <w:rFonts w:hint="eastAsia" w:ascii="仿宋" w:hAnsi="仿宋" w:eastAsia="仿宋" w:cs="仿宋"/>
          <w:b/>
          <w:kern w:val="2"/>
          <w:sz w:val="30"/>
          <w:szCs w:val="30"/>
        </w:rPr>
        <w:t>大华会计师事务所(特殊普通合伙)</w:t>
      </w:r>
    </w:p>
    <w:p>
      <w:pPr>
        <w:rPr>
          <w:rFonts w:ascii="仿宋" w:hAnsi="仿宋" w:eastAsia="仿宋" w:cs="仿宋"/>
          <w:kern w:val="2"/>
          <w:sz w:val="21"/>
        </w:rPr>
      </w:pPr>
    </w:p>
    <w:p>
      <w:pPr>
        <w:snapToGrid w:val="0"/>
        <w:jc w:val="center"/>
        <w:rPr>
          <w:rFonts w:ascii="仿宋" w:hAnsi="仿宋" w:eastAsia="仿宋" w:cs="仿宋"/>
          <w:kern w:val="2"/>
        </w:rPr>
      </w:pPr>
      <w:r>
        <w:rPr>
          <w:rFonts w:ascii="仿宋" w:hAnsi="仿宋" w:eastAsia="仿宋" w:cs="仿宋"/>
          <w:kern w:val="2"/>
        </w:rPr>
        <w:t>DaHuaCertifiedPublicAccountants（SpecialGeneralPartnership）</w:t>
      </w:r>
    </w:p>
    <w:p>
      <w:pPr>
        <w:rPr>
          <w:rFonts w:ascii="仿宋" w:hAnsi="仿宋" w:eastAsia="仿宋" w:cs="仿宋"/>
          <w:color w:val="000000" w:themeColor="text1"/>
          <w14:textFill>
            <w14:solidFill>
              <w14:schemeClr w14:val="tx1"/>
            </w14:solidFill>
          </w14:textFill>
        </w:rPr>
      </w:pPr>
    </w:p>
    <w:p>
      <w:pPr>
        <w:rPr>
          <w:rFonts w:ascii="仿宋" w:hAnsi="仿宋" w:eastAsia="仿宋" w:cs="仿宋"/>
          <w:color w:val="000000" w:themeColor="text1"/>
          <w14:textFill>
            <w14:solidFill>
              <w14:schemeClr w14:val="tx1"/>
            </w14:solidFill>
          </w14:textFill>
        </w:rPr>
      </w:pPr>
    </w:p>
    <w:p>
      <w:pPr>
        <w:wordWrap w:val="0"/>
        <w:adjustRightInd w:val="0"/>
        <w:ind w:right="360"/>
        <w:rPr>
          <w:rFonts w:ascii="仿宋" w:hAnsi="仿宋" w:eastAsia="仿宋" w:cs="仿宋"/>
          <w:color w:val="000000" w:themeColor="text1"/>
          <w:sz w:val="18"/>
          <w:szCs w:val="18"/>
          <w14:textFill>
            <w14:solidFill>
              <w14:schemeClr w14:val="tx1"/>
            </w14:solidFill>
          </w14:textFill>
        </w:rPr>
        <w:sectPr>
          <w:headerReference r:id="rId4" w:type="first"/>
          <w:footerReference r:id="rId6" w:type="first"/>
          <w:headerReference r:id="rId3" w:type="default"/>
          <w:footerReference r:id="rId5" w:type="default"/>
          <w:pgSz w:w="11906" w:h="16838"/>
          <w:pgMar w:top="1723" w:right="1797" w:bottom="1440" w:left="1797" w:header="851" w:footer="992" w:gutter="0"/>
          <w:pgNumType w:start="1"/>
          <w:cols w:space="0" w:num="1"/>
          <w:titlePg/>
          <w:docGrid w:type="lines" w:linePitch="318" w:charSpace="0"/>
        </w:sectPr>
      </w:pPr>
    </w:p>
    <w:p>
      <w:pPr>
        <w:snapToGrid w:val="0"/>
        <w:jc w:val="center"/>
        <w:rPr>
          <w:rFonts w:ascii="仿宋" w:hAnsi="仿宋" w:eastAsia="仿宋" w:cs="仿宋"/>
          <w:b/>
          <w:color w:val="000000" w:themeColor="text1"/>
          <w:sz w:val="32"/>
          <w:szCs w:val="32"/>
          <w14:textFill>
            <w14:solidFill>
              <w14:schemeClr w14:val="tx1"/>
            </w14:solidFill>
          </w14:textFill>
        </w:rPr>
      </w:pPr>
    </w:p>
    <w:p>
      <w:pPr>
        <w:snapToGrid w:val="0"/>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重庆市渝中区人民政府朝天门街道办事处</w:t>
      </w:r>
    </w:p>
    <w:p>
      <w:pPr>
        <w:snapToGrid w:val="0"/>
        <w:jc w:val="center"/>
        <w:rPr>
          <w:rFonts w:ascii="仿宋" w:hAnsi="仿宋" w:eastAsia="仿宋" w:cs="仿宋"/>
          <w:b/>
          <w:color w:val="000000" w:themeColor="text1"/>
          <w:sz w:val="44"/>
          <w:szCs w:val="44"/>
          <w14:textFill>
            <w14:solidFill>
              <w14:schemeClr w14:val="tx1"/>
            </w14:solidFill>
          </w14:textFill>
        </w:rPr>
      </w:pPr>
      <w:r>
        <w:rPr>
          <w:rFonts w:ascii="仿宋" w:hAnsi="仿宋" w:eastAsia="仿宋" w:cs="仿宋"/>
          <w:b/>
          <w:color w:val="000000" w:themeColor="text1"/>
          <w:sz w:val="44"/>
          <w:szCs w:val="44"/>
          <w14:textFill>
            <w14:solidFill>
              <w14:schemeClr w14:val="tx1"/>
            </w14:solidFill>
          </w14:textFill>
        </w:rPr>
        <w:t>老旧小区改造提升项目</w:t>
      </w:r>
    </w:p>
    <w:p>
      <w:pPr>
        <w:snapToGrid w:val="0"/>
        <w:spacing w:line="360" w:lineRule="auto"/>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绩效评价报告</w:t>
      </w:r>
    </w:p>
    <w:p>
      <w:pPr>
        <w:snapToGrid w:val="0"/>
        <w:spacing w:line="360" w:lineRule="auto"/>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（绩效评价期间：</w:t>
      </w:r>
      <w:r>
        <w:rPr>
          <w:rFonts w:ascii="仿宋" w:hAnsi="仿宋" w:eastAsia="仿宋" w:cs="仿宋"/>
          <w:color w:val="000000" w:themeColor="text1"/>
          <w14:textFill>
            <w14:solidFill>
              <w14:schemeClr w14:val="tx1"/>
            </w14:solidFill>
          </w14:textFill>
        </w:rPr>
        <w:t>2020年1月1日至2020年12月31日）</w:t>
      </w:r>
    </w:p>
    <w:p>
      <w:pPr>
        <w:adjustRightInd w:val="0"/>
        <w:snapToGrid w:val="0"/>
        <w:spacing w:line="360" w:lineRule="auto"/>
        <w:jc w:val="center"/>
        <w:rPr>
          <w:rFonts w:ascii="仿宋" w:hAnsi="仿宋" w:eastAsia="仿宋" w:cs="仿宋"/>
          <w:b/>
          <w:color w:val="000000" w:themeColor="text1"/>
          <w14:textFill>
            <w14:solidFill>
              <w14:schemeClr w14:val="tx1"/>
            </w14:solidFill>
          </w14:textFill>
        </w:rPr>
      </w:pPr>
    </w:p>
    <w:p>
      <w:pPr>
        <w:adjustRightInd w:val="0"/>
        <w:snapToGrid w:val="0"/>
        <w:spacing w:line="360" w:lineRule="auto"/>
        <w:jc w:val="center"/>
        <w:rPr>
          <w:rFonts w:ascii="仿宋" w:hAnsi="仿宋" w:eastAsia="仿宋" w:cs="仿宋"/>
          <w:b/>
          <w:color w:val="000000" w:themeColor="text1"/>
          <w14:textFill>
            <w14:solidFill>
              <w14:schemeClr w14:val="tx1"/>
            </w14:solidFill>
          </w14:textFill>
        </w:rPr>
      </w:pPr>
    </w:p>
    <w:p>
      <w:pPr>
        <w:adjustRightInd w:val="0"/>
        <w:snapToGrid w:val="0"/>
        <w:spacing w:line="360" w:lineRule="auto"/>
        <w:jc w:val="center"/>
        <w:rPr>
          <w:rFonts w:ascii="仿宋" w:hAnsi="仿宋" w:eastAsia="仿宋" w:cs="仿宋"/>
          <w:b/>
          <w:color w:val="000000" w:themeColor="text1"/>
          <w14:textFill>
            <w14:solidFill>
              <w14:schemeClr w14:val="tx1"/>
            </w14:solidFill>
          </w14:textFill>
        </w:rPr>
      </w:pPr>
    </w:p>
    <w:tbl>
      <w:tblPr>
        <w:tblStyle w:val="10"/>
        <w:tblW w:w="8874" w:type="dxa"/>
        <w:tblInd w:w="0" w:type="dxa"/>
        <w:tblLayout w:type="fixed"/>
        <w:tblCellMar>
          <w:top w:w="0" w:type="dxa"/>
          <w:left w:w="108" w:type="dxa"/>
          <w:bottom w:w="0" w:type="dxa"/>
          <w:right w:w="108" w:type="dxa"/>
        </w:tblCellMar>
      </w:tblPr>
      <w:tblGrid>
        <w:gridCol w:w="994"/>
        <w:gridCol w:w="5828"/>
        <w:gridCol w:w="373"/>
        <w:gridCol w:w="1679"/>
      </w:tblGrid>
      <w:tr>
        <w:tblPrEx>
          <w:tblCellMar>
            <w:top w:w="0" w:type="dxa"/>
            <w:left w:w="108" w:type="dxa"/>
            <w:bottom w:w="0" w:type="dxa"/>
            <w:right w:w="108" w:type="dxa"/>
          </w:tblCellMar>
        </w:tblPrEx>
        <w:tc>
          <w:tcPr>
            <w:tcW w:w="994" w:type="dxa"/>
          </w:tcPr>
          <w:p>
            <w:pPr>
              <w:keepLines/>
              <w:tabs>
                <w:tab w:val="right" w:pos="8280"/>
              </w:tabs>
              <w:spacing w:line="400" w:lineRule="exact"/>
              <w:jc w:val="center"/>
              <w:rPr>
                <w:rFonts w:ascii="仿宋" w:hAnsi="仿宋" w:eastAsia="仿宋" w:cs="仿宋"/>
                <w:color w:val="000000" w:themeColor="text1"/>
                <w:sz w:val="28"/>
                <w:szCs w:val="28"/>
                <w14:textFill>
                  <w14:solidFill>
                    <w14:schemeClr w14:val="tx1"/>
                  </w14:solidFill>
                </w14:textFill>
              </w:rPr>
            </w:pPr>
          </w:p>
        </w:tc>
        <w:tc>
          <w:tcPr>
            <w:tcW w:w="5828" w:type="dxa"/>
          </w:tcPr>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目录</w:t>
            </w:r>
          </w:p>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p>
        </w:tc>
        <w:tc>
          <w:tcPr>
            <w:tcW w:w="373" w:type="dxa"/>
          </w:tcPr>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p>
        </w:tc>
        <w:tc>
          <w:tcPr>
            <w:tcW w:w="1679" w:type="dxa"/>
          </w:tcPr>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页次</w:t>
            </w:r>
          </w:p>
        </w:tc>
      </w:tr>
      <w:tr>
        <w:tblPrEx>
          <w:tblCellMar>
            <w:top w:w="0" w:type="dxa"/>
            <w:left w:w="108" w:type="dxa"/>
            <w:bottom w:w="0" w:type="dxa"/>
            <w:right w:w="108" w:type="dxa"/>
          </w:tblCellMar>
        </w:tblPrEx>
        <w:tc>
          <w:tcPr>
            <w:tcW w:w="994" w:type="dxa"/>
          </w:tcPr>
          <w:p>
            <w:pPr>
              <w:keepLines/>
              <w:tabs>
                <w:tab w:val="right" w:pos="8280"/>
              </w:tabs>
              <w:spacing w:line="40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w:t>
            </w:r>
          </w:p>
        </w:tc>
        <w:tc>
          <w:tcPr>
            <w:tcW w:w="5828" w:type="dxa"/>
          </w:tcPr>
          <w:p>
            <w:pPr>
              <w:keepLines/>
              <w:tabs>
                <w:tab w:val="right" w:pos="8280"/>
              </w:tabs>
              <w:spacing w:line="40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重庆市渝中区人民政府朝天门街道办事处</w:t>
            </w:r>
            <w:r>
              <w:rPr>
                <w:rFonts w:ascii="仿宋" w:hAnsi="仿宋" w:eastAsia="仿宋" w:cs="仿宋"/>
                <w:b/>
                <w:color w:val="000000" w:themeColor="text1"/>
                <w:sz w:val="28"/>
                <w:szCs w:val="28"/>
                <w14:textFill>
                  <w14:solidFill>
                    <w14:schemeClr w14:val="tx1"/>
                  </w14:solidFill>
                </w14:textFill>
              </w:rPr>
              <w:t>老旧小区改造提升项目绩效评价报告</w:t>
            </w:r>
          </w:p>
        </w:tc>
        <w:tc>
          <w:tcPr>
            <w:tcW w:w="373" w:type="dxa"/>
          </w:tcPr>
          <w:p>
            <w:pPr>
              <w:keepLines/>
              <w:tabs>
                <w:tab w:val="right" w:pos="8280"/>
              </w:tabs>
              <w:spacing w:line="400" w:lineRule="exact"/>
              <w:jc w:val="right"/>
              <w:rPr>
                <w:rFonts w:ascii="仿宋" w:hAnsi="仿宋" w:eastAsia="仿宋" w:cs="仿宋"/>
                <w:b/>
                <w:color w:val="000000" w:themeColor="text1"/>
                <w:sz w:val="28"/>
                <w:szCs w:val="28"/>
                <w14:textFill>
                  <w14:solidFill>
                    <w14:schemeClr w14:val="tx1"/>
                  </w14:solidFill>
                </w14:textFill>
              </w:rPr>
            </w:pPr>
          </w:p>
        </w:tc>
        <w:tc>
          <w:tcPr>
            <w:tcW w:w="1679" w:type="dxa"/>
          </w:tcPr>
          <w:p>
            <w:pPr>
              <w:keepLines/>
              <w:tabs>
                <w:tab w:val="right" w:pos="8280"/>
              </w:tabs>
              <w:spacing w:line="400" w:lineRule="exact"/>
              <w:jc w:val="center"/>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38</w:t>
            </w:r>
          </w:p>
        </w:tc>
      </w:tr>
      <w:tr>
        <w:tblPrEx>
          <w:tblCellMar>
            <w:top w:w="0" w:type="dxa"/>
            <w:left w:w="108" w:type="dxa"/>
            <w:bottom w:w="0" w:type="dxa"/>
            <w:right w:w="108" w:type="dxa"/>
          </w:tblCellMar>
        </w:tblPrEx>
        <w:trPr>
          <w:trHeight w:val="451" w:hRule="atLeast"/>
        </w:trPr>
        <w:tc>
          <w:tcPr>
            <w:tcW w:w="994" w:type="dxa"/>
          </w:tcPr>
          <w:p>
            <w:pPr>
              <w:keepLines/>
              <w:tabs>
                <w:tab w:val="right" w:pos="8280"/>
              </w:tabs>
              <w:spacing w:line="40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w:t>
            </w:r>
          </w:p>
        </w:tc>
        <w:tc>
          <w:tcPr>
            <w:tcW w:w="5828" w:type="dxa"/>
          </w:tcPr>
          <w:p>
            <w:pPr>
              <w:keepLines/>
              <w:tabs>
                <w:tab w:val="right" w:pos="8280"/>
              </w:tabs>
              <w:snapToGrid w:val="0"/>
              <w:spacing w:line="400" w:lineRule="exact"/>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报告附表</w:t>
            </w:r>
          </w:p>
          <w:p>
            <w:pPr>
              <w:keepLines/>
              <w:tabs>
                <w:tab w:val="right" w:pos="8280"/>
              </w:tabs>
              <w:spacing w:line="400" w:lineRule="exact"/>
              <w:rPr>
                <w:rFonts w:ascii="仿宋" w:hAnsi="仿宋" w:eastAsia="仿宋" w:cs="仿宋"/>
                <w:b/>
                <w:color w:val="000000" w:themeColor="text1"/>
                <w:sz w:val="28"/>
                <w:szCs w:val="28"/>
                <w14:textFill>
                  <w14:solidFill>
                    <w14:schemeClr w14:val="tx1"/>
                  </w14:solidFill>
                </w14:textFill>
              </w:rPr>
            </w:pPr>
          </w:p>
        </w:tc>
        <w:tc>
          <w:tcPr>
            <w:tcW w:w="373" w:type="dxa"/>
          </w:tcPr>
          <w:p>
            <w:pPr>
              <w:keepLines/>
              <w:tabs>
                <w:tab w:val="right" w:pos="8280"/>
              </w:tabs>
              <w:spacing w:line="400" w:lineRule="exact"/>
              <w:jc w:val="right"/>
              <w:rPr>
                <w:rFonts w:ascii="仿宋" w:hAnsi="仿宋" w:eastAsia="仿宋" w:cs="仿宋"/>
                <w:b/>
                <w:color w:val="000000" w:themeColor="text1"/>
                <w:sz w:val="28"/>
                <w:szCs w:val="28"/>
                <w14:textFill>
                  <w14:solidFill>
                    <w14:schemeClr w14:val="tx1"/>
                  </w14:solidFill>
                </w14:textFill>
              </w:rPr>
            </w:pPr>
          </w:p>
        </w:tc>
        <w:tc>
          <w:tcPr>
            <w:tcW w:w="1679" w:type="dxa"/>
          </w:tcPr>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p>
        </w:tc>
      </w:tr>
      <w:tr>
        <w:tblPrEx>
          <w:tblCellMar>
            <w:top w:w="0" w:type="dxa"/>
            <w:left w:w="108" w:type="dxa"/>
            <w:bottom w:w="0" w:type="dxa"/>
            <w:right w:w="108" w:type="dxa"/>
          </w:tblCellMar>
        </w:tblPrEx>
        <w:trPr>
          <w:trHeight w:val="668" w:hRule="atLeast"/>
        </w:trPr>
        <w:tc>
          <w:tcPr>
            <w:tcW w:w="994" w:type="dxa"/>
          </w:tcPr>
          <w:p>
            <w:pPr>
              <w:keepLines/>
              <w:tabs>
                <w:tab w:val="right" w:pos="8280"/>
              </w:tabs>
              <w:spacing w:line="400" w:lineRule="exac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w:t>
            </w:r>
          </w:p>
        </w:tc>
        <w:tc>
          <w:tcPr>
            <w:tcW w:w="5828" w:type="dxa"/>
          </w:tcPr>
          <w:p>
            <w:pPr>
              <w:keepLines/>
              <w:tabs>
                <w:tab w:val="right" w:pos="8280"/>
              </w:tabs>
              <w:snapToGrid w:val="0"/>
              <w:spacing w:line="40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重庆市渝中区人民政府朝天门街道办事处老旧小区改造提升项目绩效指标评分表</w:t>
            </w:r>
          </w:p>
          <w:p>
            <w:pPr>
              <w:keepLines/>
              <w:tabs>
                <w:tab w:val="right" w:pos="8280"/>
              </w:tabs>
              <w:snapToGrid w:val="0"/>
              <w:spacing w:line="400" w:lineRule="exact"/>
              <w:rPr>
                <w:rFonts w:ascii="仿宋" w:hAnsi="仿宋" w:eastAsia="仿宋" w:cs="仿宋"/>
                <w:color w:val="000000" w:themeColor="text1"/>
                <w:sz w:val="28"/>
                <w:szCs w:val="28"/>
                <w14:textFill>
                  <w14:solidFill>
                    <w14:schemeClr w14:val="tx1"/>
                  </w14:solidFill>
                </w14:textFill>
              </w:rPr>
            </w:pPr>
          </w:p>
        </w:tc>
        <w:tc>
          <w:tcPr>
            <w:tcW w:w="373" w:type="dxa"/>
          </w:tcPr>
          <w:p>
            <w:pPr>
              <w:keepLines/>
              <w:tabs>
                <w:tab w:val="right" w:pos="8280"/>
              </w:tabs>
              <w:spacing w:line="400" w:lineRule="exact"/>
              <w:jc w:val="right"/>
              <w:rPr>
                <w:rFonts w:ascii="仿宋" w:hAnsi="仿宋" w:eastAsia="仿宋" w:cs="仿宋"/>
                <w:color w:val="000000" w:themeColor="text1"/>
                <w:sz w:val="28"/>
                <w:szCs w:val="28"/>
                <w14:textFill>
                  <w14:solidFill>
                    <w14:schemeClr w14:val="tx1"/>
                  </w14:solidFill>
                </w14:textFill>
              </w:rPr>
            </w:pPr>
          </w:p>
        </w:tc>
        <w:tc>
          <w:tcPr>
            <w:tcW w:w="1679" w:type="dxa"/>
          </w:tcPr>
          <w:p>
            <w:pPr>
              <w:keepLines/>
              <w:tabs>
                <w:tab w:val="right" w:pos="8280"/>
              </w:tabs>
              <w:spacing w:line="400" w:lineRule="exact"/>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1-3</w:t>
            </w:r>
          </w:p>
        </w:tc>
      </w:tr>
    </w:tbl>
    <w:p>
      <w:pPr>
        <w:adjustRightInd w:val="0"/>
        <w:ind w:right="540"/>
        <w:jc w:val="right"/>
        <w:rPr>
          <w:rFonts w:ascii="仿宋" w:hAnsi="仿宋" w:eastAsia="仿宋" w:cs="仿宋"/>
          <w:color w:val="000000" w:themeColor="text1"/>
          <w:sz w:val="18"/>
          <w:szCs w:val="18"/>
          <w14:textFill>
            <w14:solidFill>
              <w14:schemeClr w14:val="tx1"/>
            </w14:solidFill>
          </w14:textFill>
        </w:rPr>
        <w:sectPr>
          <w:headerReference r:id="rId7" w:type="first"/>
          <w:footerReference r:id="rId9" w:type="first"/>
          <w:footerReference r:id="rId8" w:type="default"/>
          <w:pgSz w:w="11906" w:h="16838"/>
          <w:pgMar w:top="1701" w:right="1474" w:bottom="1474" w:left="1588" w:header="851" w:footer="992" w:gutter="0"/>
          <w:cols w:space="720" w:num="1"/>
          <w:titlePg/>
          <w:docGrid w:type="lines" w:linePitch="312" w:charSpace="0"/>
        </w:sectPr>
      </w:pPr>
    </w:p>
    <w:p>
      <w:pPr>
        <w:adjustRightInd w:val="0"/>
        <w:spacing w:line="360" w:lineRule="auto"/>
        <w:jc w:val="center"/>
        <w:rPr>
          <w:rFonts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重庆市渝中区人民政府朝天门街道办事处</w:t>
      </w:r>
    </w:p>
    <w:p>
      <w:pPr>
        <w:snapToGrid w:val="0"/>
        <w:jc w:val="center"/>
        <w:rPr>
          <w:rFonts w:ascii="仿宋" w:hAnsi="仿宋" w:eastAsia="仿宋" w:cs="仿宋"/>
          <w:b/>
          <w:color w:val="000000" w:themeColor="text1"/>
          <w:sz w:val="44"/>
          <w:szCs w:val="44"/>
          <w14:textFill>
            <w14:solidFill>
              <w14:schemeClr w14:val="tx1"/>
            </w14:solidFill>
          </w14:textFill>
        </w:rPr>
      </w:pPr>
      <w:r>
        <w:rPr>
          <w:rFonts w:hint="eastAsia" w:ascii="仿宋" w:hAnsi="仿宋" w:eastAsia="仿宋" w:cs="仿宋"/>
          <w:b/>
          <w:color w:val="000000" w:themeColor="text1"/>
          <w:sz w:val="44"/>
          <w:szCs w:val="44"/>
          <w14:textFill>
            <w14:solidFill>
              <w14:schemeClr w14:val="tx1"/>
            </w14:solidFill>
          </w14:textFill>
        </w:rPr>
        <w:t>老旧小区改造提升项目</w:t>
      </w:r>
    </w:p>
    <w:p>
      <w:pPr>
        <w:adjustRightInd w:val="0"/>
        <w:spacing w:line="360" w:lineRule="auto"/>
        <w:jc w:val="center"/>
        <w:rPr>
          <w:rFonts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绩效评价报告</w:t>
      </w:r>
    </w:p>
    <w:p>
      <w:pPr>
        <w:autoSpaceDE w:val="0"/>
        <w:autoSpaceDN w:val="0"/>
        <w:adjustRightInd w:val="0"/>
        <w:spacing w:line="360" w:lineRule="auto"/>
        <w:rPr>
          <w:rFonts w:ascii="仿宋" w:hAnsi="仿宋" w:eastAsia="仿宋" w:cs="仿宋"/>
          <w:b/>
          <w:color w:val="000000" w:themeColor="text1"/>
          <w14:textFill>
            <w14:solidFill>
              <w14:schemeClr w14:val="tx1"/>
            </w14:solidFill>
          </w14:textFill>
        </w:rPr>
      </w:pPr>
    </w:p>
    <w:p>
      <w:pPr>
        <w:autoSpaceDE w:val="0"/>
        <w:autoSpaceDN w:val="0"/>
        <w:adjustRightInd w:val="0"/>
        <w:spacing w:line="360" w:lineRule="auto"/>
        <w:jc w:val="right"/>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大华咨字[2021]250</w:t>
      </w:r>
      <w:r>
        <w:rPr>
          <w:rFonts w:ascii="仿宋" w:hAnsi="仿宋" w:eastAsia="仿宋" w:cs="仿宋"/>
          <w:b/>
          <w:bCs/>
          <w:color w:val="000000" w:themeColor="text1"/>
          <w:sz w:val="21"/>
          <w:szCs w:val="21"/>
          <w14:textFill>
            <w14:solidFill>
              <w14:schemeClr w14:val="tx1"/>
            </w14:solidFill>
          </w14:textFill>
        </w:rPr>
        <w:t>021</w:t>
      </w:r>
      <w:r>
        <w:rPr>
          <w:rFonts w:hint="eastAsia" w:ascii="仿宋" w:hAnsi="仿宋" w:eastAsia="仿宋" w:cs="仿宋"/>
          <w:b/>
          <w:bCs/>
          <w:color w:val="000000" w:themeColor="text1"/>
          <w:sz w:val="21"/>
          <w:szCs w:val="21"/>
          <w14:textFill>
            <w14:solidFill>
              <w14:schemeClr w14:val="tx1"/>
            </w14:solidFill>
          </w14:textFill>
        </w:rPr>
        <w:t>号</w:t>
      </w:r>
    </w:p>
    <w:p>
      <w:pPr>
        <w:adjustRightInd w:val="0"/>
        <w:rPr>
          <w:rFonts w:ascii="仿宋" w:hAnsi="仿宋" w:eastAsia="仿宋" w:cs="仿宋"/>
          <w:b/>
          <w:bCs/>
          <w:color w:val="000000" w:themeColor="text1"/>
          <w:sz w:val="32"/>
          <w:szCs w:val="32"/>
          <w14:textFill>
            <w14:solidFill>
              <w14:schemeClr w14:val="tx1"/>
            </w14:solidFill>
          </w14:textFill>
        </w:rPr>
      </w:pPr>
    </w:p>
    <w:p>
      <w:pPr>
        <w:pStyle w:val="38"/>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我们接受重庆市渝中区财政局委托，于2021年3月</w:t>
      </w:r>
      <w:r>
        <w:rPr>
          <w:rFonts w:ascii="仿宋" w:hAnsi="仿宋" w:eastAsia="仿宋" w:cs="仿宋"/>
          <w:color w:val="000000" w:themeColor="text1"/>
          <w:sz w:val="28"/>
          <w:szCs w:val="28"/>
          <w14:textFill>
            <w14:solidFill>
              <w14:schemeClr w14:val="tx1"/>
            </w14:solidFill>
          </w14:textFill>
        </w:rPr>
        <w:t>22日至2021年5月24日</w:t>
      </w:r>
      <w:r>
        <w:rPr>
          <w:rFonts w:hint="eastAsia" w:ascii="仿宋" w:hAnsi="仿宋" w:eastAsia="仿宋" w:cs="仿宋"/>
          <w:color w:val="000000" w:themeColor="text1"/>
          <w:sz w:val="28"/>
          <w:szCs w:val="28"/>
          <w14:textFill>
            <w14:solidFill>
              <w14:schemeClr w14:val="tx1"/>
            </w14:solidFill>
          </w14:textFill>
        </w:rPr>
        <w:t>对重庆市渝中区人民政府朝天门街道办事处（以下简称“朝天门街道”）实施的老旧小区改造提升项目（以下简称“老旧小区改造提升项目”）进行了绩效评价。现将评价工作报告如下：</w:t>
      </w:r>
    </w:p>
    <w:p>
      <w:pPr>
        <w:adjustRightInd w:val="0"/>
        <w:rPr>
          <w:rFonts w:ascii="仿宋" w:hAnsi="仿宋" w:eastAsia="仿宋" w:cs="仿宋"/>
          <w:b/>
          <w:bCs/>
          <w:color w:val="000000" w:themeColor="text1"/>
          <w:sz w:val="32"/>
          <w:szCs w:val="32"/>
          <w14:textFill>
            <w14:solidFill>
              <w14:schemeClr w14:val="tx1"/>
            </w14:solidFill>
          </w14:textFill>
        </w:rPr>
      </w:pPr>
    </w:p>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摘要</w:t>
      </w:r>
    </w:p>
    <w:p>
      <w:pPr>
        <w:adjustRightInd w:val="0"/>
        <w:rPr>
          <w:rFonts w:ascii="仿宋" w:hAnsi="仿宋" w:eastAsia="仿宋" w:cs="仿宋"/>
          <w:b/>
          <w:bCs/>
          <w:color w:val="000000" w:themeColor="text1"/>
          <w:sz w:val="32"/>
          <w:szCs w:val="32"/>
          <w14:textFill>
            <w14:solidFill>
              <w14:schemeClr w14:val="tx1"/>
            </w14:solidFill>
          </w14:textFill>
        </w:rPr>
      </w:pP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一、项目基本情况</w:t>
      </w:r>
    </w:p>
    <w:p>
      <w:pPr>
        <w:pStyle w:val="38"/>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根据《重庆市渝中区住房和城市建设委员会重庆市渝中区发展和改革委员会重庆市渝中区财政局关于印发</w:t>
      </w:r>
      <w:r>
        <w:rPr>
          <w:rFonts w:ascii="仿宋" w:hAnsi="仿宋" w:eastAsia="仿宋" w:cs="仿宋"/>
          <w:color w:val="000000" w:themeColor="text1"/>
          <w:sz w:val="28"/>
          <w:szCs w:val="28"/>
          <w14:textFill>
            <w14:solidFill>
              <w14:schemeClr w14:val="tx1"/>
            </w14:solidFill>
          </w14:textFill>
        </w:rPr>
        <w:t>&lt;</w:t>
      </w:r>
      <w:r>
        <w:rPr>
          <w:rFonts w:hint="eastAsia" w:ascii="仿宋" w:hAnsi="仿宋" w:eastAsia="仿宋" w:cs="仿宋"/>
          <w:color w:val="000000" w:themeColor="text1"/>
          <w:sz w:val="28"/>
          <w:szCs w:val="28"/>
          <w14:textFill>
            <w14:solidFill>
              <w14:schemeClr w14:val="tx1"/>
            </w14:solidFill>
          </w14:textFill>
        </w:rPr>
        <w:t>渝中区老旧小区改造提升实施方案</w:t>
      </w:r>
      <w:r>
        <w:rPr>
          <w:rFonts w:ascii="仿宋" w:hAnsi="仿宋" w:eastAsia="仿宋" w:cs="仿宋"/>
          <w:color w:val="000000" w:themeColor="text1"/>
          <w:sz w:val="28"/>
          <w:szCs w:val="28"/>
          <w14:textFill>
            <w14:solidFill>
              <w14:schemeClr w14:val="tx1"/>
            </w14:solidFill>
          </w14:textFill>
        </w:rPr>
        <w:t>&gt;</w:t>
      </w:r>
      <w:r>
        <w:rPr>
          <w:rFonts w:hint="eastAsia" w:ascii="仿宋" w:hAnsi="仿宋" w:eastAsia="仿宋" w:cs="仿宋"/>
          <w:color w:val="000000" w:themeColor="text1"/>
          <w:sz w:val="28"/>
          <w:szCs w:val="28"/>
          <w14:textFill>
            <w14:solidFill>
              <w14:schemeClr w14:val="tx1"/>
            </w14:solidFill>
          </w14:textFill>
        </w:rPr>
        <w:t>的通知》（渝中住建</w:t>
      </w:r>
      <w:r>
        <w:rPr>
          <w:rFonts w:ascii="仿宋" w:hAnsi="仿宋" w:eastAsia="仿宋" w:cs="仿宋"/>
          <w:color w:val="000000" w:themeColor="text1"/>
          <w:sz w:val="28"/>
          <w:szCs w:val="28"/>
          <w14:textFill>
            <w14:solidFill>
              <w14:schemeClr w14:val="tx1"/>
            </w14:solidFill>
          </w14:textFill>
        </w:rPr>
        <w:t>[2020]12号）、2021年4月30日渝中区住房城市建委出具的《重庆市渝中区城市提升领导小组关于印发&lt;</w:t>
      </w:r>
      <w:r>
        <w:rPr>
          <w:rFonts w:hint="eastAsia" w:ascii="仿宋" w:hAnsi="仿宋" w:eastAsia="仿宋" w:cs="仿宋"/>
          <w:color w:val="000000" w:themeColor="text1"/>
          <w:sz w:val="28"/>
          <w:szCs w:val="28"/>
          <w14:textFill>
            <w14:solidFill>
              <w14:schemeClr w14:val="tx1"/>
            </w14:solidFill>
          </w14:textFill>
        </w:rPr>
        <w:t>渝中区老旧小区改造提升工作规程（试行）</w:t>
      </w:r>
      <w:r>
        <w:rPr>
          <w:rFonts w:ascii="仿宋" w:hAnsi="仿宋" w:eastAsia="仿宋" w:cs="仿宋"/>
          <w:color w:val="000000" w:themeColor="text1"/>
          <w:sz w:val="28"/>
          <w:szCs w:val="28"/>
          <w14:textFill>
            <w14:solidFill>
              <w14:schemeClr w14:val="tx1"/>
            </w14:solidFill>
          </w14:textFill>
        </w:rPr>
        <w:t>&gt;</w:t>
      </w:r>
      <w:r>
        <w:rPr>
          <w:rFonts w:hint="eastAsia" w:ascii="仿宋" w:hAnsi="仿宋" w:eastAsia="仿宋" w:cs="仿宋"/>
          <w:color w:val="000000" w:themeColor="text1"/>
          <w:sz w:val="28"/>
          <w:szCs w:val="28"/>
          <w14:textFill>
            <w14:solidFill>
              <w14:schemeClr w14:val="tx1"/>
            </w14:solidFill>
          </w14:textFill>
        </w:rPr>
        <w:t>的通知》等文件精神，老旧小区改造提升按照“消隐患、补功能、提环境、留记忆、强管理”的五大原则，有序推进渝中区城市修补和有机更新，不断提升老旧小区居住品质。</w:t>
      </w:r>
    </w:p>
    <w:p>
      <w:pPr>
        <w:pStyle w:val="38"/>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朝天门街道负责实施的老旧小区改造提升项目</w:t>
      </w:r>
      <w:r>
        <w:rPr>
          <w:rFonts w:ascii="仿宋" w:hAnsi="仿宋" w:eastAsia="仿宋" w:cs="仿宋"/>
          <w:color w:val="000000" w:themeColor="text1"/>
          <w:sz w:val="28"/>
          <w:szCs w:val="28"/>
          <w14:textFill>
            <w14:solidFill>
              <w14:schemeClr w14:val="tx1"/>
            </w14:solidFill>
          </w14:textFill>
        </w:rPr>
        <w:t>，包含朝千路、棉花街、</w:t>
      </w:r>
      <w:r>
        <w:rPr>
          <w:rFonts w:hint="eastAsia" w:ascii="仿宋" w:hAnsi="仿宋" w:eastAsia="仿宋" w:cs="仿宋"/>
          <w:color w:val="000000" w:themeColor="text1"/>
          <w:sz w:val="28"/>
          <w:szCs w:val="28"/>
          <w14:textFill>
            <w14:solidFill>
              <w14:schemeClr w14:val="tx1"/>
            </w14:solidFill>
          </w14:textFill>
        </w:rPr>
        <w:t>沧白路沿线环境综合整治（以下简称“朝千路、棉花街、沧白路”）；白象居综合整治改造工程（以下简称“白象居”）；东升楼</w:t>
      </w:r>
      <w:r>
        <w:rPr>
          <w:rFonts w:ascii="仿宋" w:hAnsi="仿宋" w:eastAsia="仿宋" w:cs="仿宋"/>
          <w:color w:val="000000" w:themeColor="text1"/>
          <w:sz w:val="28"/>
          <w:szCs w:val="28"/>
          <w14:textFill>
            <w14:solidFill>
              <w14:schemeClr w14:val="tx1"/>
            </w14:solidFill>
          </w14:textFill>
        </w:rPr>
        <w:t>5号L</w:t>
      </w:r>
      <w:r>
        <w:rPr>
          <w:rFonts w:hint="eastAsia" w:ascii="仿宋" w:hAnsi="仿宋" w:eastAsia="仿宋" w:cs="仿宋"/>
          <w:color w:val="000000" w:themeColor="text1"/>
          <w:sz w:val="28"/>
          <w:szCs w:val="28"/>
          <w14:textFill>
            <w14:solidFill>
              <w14:schemeClr w14:val="tx1"/>
            </w14:solidFill>
          </w14:textFill>
        </w:rPr>
        <w:t>型房周边环境综合整治（以下简称“东升楼”）；解放东路老旧小区综合整治工程（以下简称“解放东路”）</w:t>
      </w:r>
      <w:r>
        <w:rPr>
          <w:rFonts w:ascii="仿宋" w:hAnsi="仿宋" w:eastAsia="仿宋" w:cs="仿宋"/>
          <w:color w:val="000000" w:themeColor="text1"/>
          <w:sz w:val="28"/>
          <w:szCs w:val="28"/>
          <w14:textFill>
            <w14:solidFill>
              <w14:schemeClr w14:val="tx1"/>
            </w14:solidFill>
          </w14:textFill>
        </w:rPr>
        <w:t>4个子项目。根据渝中区发展和改革委员会批复性文件：2020年6月16日出具《重庆市渝中区发展和改革委员会关于东升楼5号“L”型房周边环境综合整治项目投资概算的批复》(渝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[2020]90号)、2020年8月10日出具《重庆市渝中区发展和改革委员会关于朝千路、棉花街、沧白路沿线环境综合整治项目投资概算的批复》(渝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[2020]176号)、2020年8月12日出具《重庆市渝中区发展和改革委员会关于白象居综合整治改造工程投资概算的批复》(渝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[2020]194号)、2020年10月29日出具《重庆市渝中区发展和改革委员会关于解放东路片区老旧小区改造提升项目投资概算的批复》(渝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[2020]305号)实施该4个子项目。其中朝千路、棉花街、</w:t>
      </w:r>
      <w:r>
        <w:rPr>
          <w:rFonts w:hint="eastAsia" w:ascii="仿宋" w:hAnsi="仿宋" w:eastAsia="仿宋" w:cs="仿宋"/>
          <w:color w:val="000000" w:themeColor="text1"/>
          <w:sz w:val="28"/>
          <w:szCs w:val="28"/>
          <w14:textFill>
            <w14:solidFill>
              <w14:schemeClr w14:val="tx1"/>
            </w14:solidFill>
          </w14:textFill>
        </w:rPr>
        <w:t>沧白路；东升楼子项目已验收，</w:t>
      </w:r>
      <w:r>
        <w:rPr>
          <w:rFonts w:hint="eastAsia" w:ascii="仿宋" w:hAnsi="仿宋" w:eastAsia="仿宋" w:cs="仿宋"/>
          <w:color w:val="000000" w:themeColor="text1"/>
          <w:sz w:val="28"/>
          <w:szCs w:val="28"/>
          <w:lang w:eastAsia="zh-CN"/>
          <w14:textFill>
            <w14:solidFill>
              <w14:schemeClr w14:val="tx1"/>
            </w14:solidFill>
          </w14:textFill>
        </w:rPr>
        <w:t>截至</w:t>
      </w:r>
      <w:r>
        <w:rPr>
          <w:rFonts w:hint="eastAsia" w:ascii="仿宋" w:hAnsi="仿宋" w:eastAsia="仿宋" w:cs="仿宋"/>
          <w:color w:val="000000" w:themeColor="text1"/>
          <w:sz w:val="28"/>
          <w:szCs w:val="28"/>
          <w14:textFill>
            <w14:solidFill>
              <w14:schemeClr w14:val="tx1"/>
            </w14:solidFill>
          </w14:textFill>
        </w:rPr>
        <w:t>审核报告日，未办理竣工结算；白象居、解放东路子项目在实施过程中。</w:t>
      </w:r>
    </w:p>
    <w:p>
      <w:pPr>
        <w:pStyle w:val="38"/>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朝天门街道负责老旧小区改造提升项目独立建账核算。项目合计概算金额为</w:t>
      </w:r>
      <w:r>
        <w:rPr>
          <w:rFonts w:ascii="仿宋" w:hAnsi="仿宋" w:eastAsia="仿宋" w:cs="仿宋"/>
          <w:color w:val="000000" w:themeColor="text1"/>
          <w:sz w:val="28"/>
          <w:szCs w:val="28"/>
          <w14:textFill>
            <w14:solidFill>
              <w14:schemeClr w14:val="tx1"/>
            </w14:solidFill>
          </w14:textFill>
        </w:rPr>
        <w:t>5,963.56万元，</w:t>
      </w:r>
      <w:r>
        <w:rPr>
          <w:rFonts w:hint="eastAsia" w:ascii="仿宋" w:hAnsi="仿宋" w:eastAsia="仿宋" w:cs="仿宋"/>
          <w:color w:val="000000" w:themeColor="text1"/>
          <w:sz w:val="28"/>
          <w:szCs w:val="28"/>
          <w:lang w:eastAsia="zh-CN"/>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2020年12月31日，项目合计支出金额2,617.47万元。2020年实际收到资金3,496.245万元，其中中央资金861.00万元，专项债2,635.245万元，</w:t>
      </w:r>
      <w:r>
        <w:rPr>
          <w:rFonts w:hint="eastAsia" w:ascii="仿宋" w:hAnsi="仿宋" w:eastAsia="仿宋" w:cs="仿宋"/>
          <w:color w:val="000000" w:themeColor="text1"/>
          <w:sz w:val="28"/>
          <w:szCs w:val="28"/>
          <w:lang w:eastAsia="zh-CN"/>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2020年末，支出2,617.47万元，结余878.775万元。</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二、绩效评价结果</w:t>
      </w:r>
    </w:p>
    <w:p>
      <w:pPr>
        <w:pStyle w:val="38"/>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经对产出、效果、满意度、管理四个方面进行综合评价，老旧小区改造提升项目绩效评价得分为76</w:t>
      </w:r>
      <w:r>
        <w:rPr>
          <w:rFonts w:ascii="仿宋" w:hAnsi="仿宋" w:eastAsia="仿宋" w:cs="仿宋"/>
          <w:color w:val="000000" w:themeColor="text1"/>
          <w:sz w:val="28"/>
          <w:szCs w:val="28"/>
          <w14:textFill>
            <w14:solidFill>
              <w14:schemeClr w14:val="tx1"/>
            </w14:solidFill>
          </w14:textFill>
        </w:rPr>
        <w:t>.27</w:t>
      </w:r>
      <w:r>
        <w:rPr>
          <w:rFonts w:hint="eastAsia" w:ascii="仿宋" w:hAnsi="仿宋" w:eastAsia="仿宋" w:cs="仿宋"/>
          <w:color w:val="000000" w:themeColor="text1"/>
          <w:sz w:val="28"/>
          <w:szCs w:val="28"/>
          <w14:textFill>
            <w14:solidFill>
              <w14:schemeClr w14:val="tx1"/>
            </w14:solidFill>
          </w14:textFill>
        </w:rPr>
        <w:t>分，评定等级为“中”。</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三、发现的主要问题及建议</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（一）项目建设过程中缺乏对居民意见的反馈</w:t>
      </w:r>
    </w:p>
    <w:p>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问题：经现场访谈，项目实施内容与受益对象需求存在部分偏差的情况，如：白象居公共楼道楼梯间窗户外安装雨棚的需求；项目实施过程中，针对居民反馈意见缺乏及时处理，如：白象居雨棚拆除，产生其他的安全问题</w:t>
      </w:r>
      <w:r>
        <w:rPr>
          <w:rFonts w:ascii="仿宋" w:hAnsi="仿宋" w:eastAsia="仿宋" w:cs="仿宋"/>
          <w:color w:val="000000" w:themeColor="text1"/>
          <w:sz w:val="28"/>
          <w:szCs w:val="28"/>
          <w14:textFill>
            <w14:solidFill>
              <w14:schemeClr w14:val="tx1"/>
            </w14:solidFill>
          </w14:textFill>
        </w:rPr>
        <w:t>。</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（二）项目建设管理中存在的问题</w:t>
      </w:r>
    </w:p>
    <w:p>
      <w:pPr>
        <w:adjustRightInd w:val="0"/>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sz w:val="28"/>
          <w:szCs w:val="28"/>
        </w:rPr>
        <w:t>1.</w:t>
      </w:r>
      <w:r>
        <w:rPr>
          <w:rFonts w:hint="eastAsia" w:ascii="仿宋" w:hAnsi="仿宋" w:eastAsia="仿宋" w:cs="仿宋"/>
          <w:color w:val="000000" w:themeColor="text1"/>
          <w:sz w:val="28"/>
          <w:szCs w:val="28"/>
          <w14:textFill>
            <w14:solidFill>
              <w14:schemeClr w14:val="tx1"/>
            </w14:solidFill>
          </w14:textFill>
        </w:rPr>
        <w:t>项目过程管理方面：未完全按照重庆市文明施工管理要求建立相应制度，导致个别不文明施工的情况，如：施工单位人员正式施工前未与居民联系，出现多次强行施工的现象；项目施工过程中，根据施工单位的工程周报、监理例会会议纪要安排施工，未单独编制项目计划；项目完工后，东升楼项目因客观原因未进行交付使用。</w:t>
      </w:r>
    </w:p>
    <w:p>
      <w:pPr>
        <w:adjustRightInd w:val="0"/>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sz w:val="28"/>
          <w:szCs w:val="28"/>
        </w:rPr>
        <w:t>2.</w:t>
      </w:r>
      <w:r>
        <w:rPr>
          <w:rFonts w:hint="eastAsia" w:ascii="仿宋" w:hAnsi="仿宋" w:eastAsia="仿宋" w:cs="仿宋"/>
          <w:color w:val="000000" w:themeColor="text1"/>
          <w:sz w:val="28"/>
          <w:szCs w:val="28"/>
          <w14:textFill>
            <w14:solidFill>
              <w14:schemeClr w14:val="tx1"/>
            </w14:solidFill>
          </w14:textFill>
        </w:rPr>
        <w:t>项目质量管控方面：朝千路、棉花街、沧白路；东升楼已完工，各方已验收，但在现场勘察时，发现存在个别质量问题，如：人行道不平整、楼梯间扶手仍为损坏状态等。</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（三）建议</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针对本次绩效评价中发现的主要问题和扣分点，建议从以下方面加强老旧小区改造的管理：</w:t>
      </w:r>
    </w:p>
    <w:p>
      <w:pPr>
        <w:pStyle w:val="42"/>
        <w:numPr>
          <w:ilvl w:val="0"/>
          <w:numId w:val="1"/>
        </w:numPr>
        <w:adjustRightInd w:val="0"/>
        <w:snapToGrid w:val="0"/>
        <w:spacing w:line="360" w:lineRule="auto"/>
        <w:ind w:firstLineChars="0"/>
        <w:outlineLvl w:val="0"/>
        <w:rPr>
          <w:rFonts w:ascii="仿宋" w:hAnsi="仿宋" w:eastAsia="仿宋" w:cs="仿宋"/>
          <w:color w:val="000000" w:themeColor="text1"/>
          <w:sz w:val="28"/>
          <w:szCs w:val="28"/>
          <w14:textFill>
            <w14:solidFill>
              <w14:schemeClr w14:val="tx1"/>
            </w14:solidFill>
          </w14:textFill>
        </w:rPr>
      </w:pPr>
      <w:r>
        <w:rPr>
          <w:rFonts w:ascii="仿宋" w:hAnsi="仿宋" w:eastAsia="仿宋" w:cs="仿宋"/>
          <w:b/>
          <w:sz w:val="28"/>
          <w:szCs w:val="28"/>
        </w:rPr>
        <w:t>完善改造项目审批流程</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鉴于老旧老区改造工程有别于新建工程项目，建议构建</w:t>
      </w:r>
      <w:r>
        <w:rPr>
          <w:rFonts w:hint="eastAsia" w:ascii="仿宋" w:hAnsi="仿宋" w:eastAsia="仿宋" w:cs="仿宋"/>
          <w:color w:val="000000" w:themeColor="text1"/>
          <w:sz w:val="28"/>
          <w:szCs w:val="28"/>
          <w14:textFill>
            <w14:solidFill>
              <w14:schemeClr w14:val="tx1"/>
            </w14:solidFill>
          </w14:textFill>
        </w:rPr>
        <w:t>精简改造工程审批事项和环节，构建快速审批流程，提高项目审批效率。如：根据相关</w:t>
      </w:r>
      <w:r>
        <w:rPr>
          <w:rFonts w:hint="eastAsia" w:ascii="仿宋" w:hAnsi="仿宋" w:eastAsia="仿宋"/>
          <w:color w:val="000000" w:themeColor="text1"/>
          <w:sz w:val="28"/>
          <w:szCs w:val="28"/>
          <w14:textFill>
            <w14:solidFill>
              <w14:schemeClr w14:val="tx1"/>
            </w14:solidFill>
          </w14:textFill>
        </w:rPr>
        <w:t>部门</w:t>
      </w:r>
      <w:r>
        <w:rPr>
          <w:rFonts w:hint="eastAsia" w:ascii="仿宋" w:hAnsi="仿宋" w:eastAsia="仿宋" w:cs="仿宋"/>
          <w:color w:val="000000" w:themeColor="text1"/>
          <w:sz w:val="28"/>
          <w:szCs w:val="28"/>
          <w14:textFill>
            <w14:solidFill>
              <w14:schemeClr w14:val="tx1"/>
            </w14:solidFill>
          </w14:textFill>
        </w:rPr>
        <w:t>联合审查的改造方案，简化相关审批手续，相关部门直接办理立项等审批，避免出现项目无立项审批的情况、开工日期早于概算批复日期的情况。</w:t>
      </w:r>
    </w:p>
    <w:p>
      <w:pPr>
        <w:pStyle w:val="42"/>
        <w:numPr>
          <w:ilvl w:val="0"/>
          <w:numId w:val="1"/>
        </w:numPr>
        <w:adjustRightInd w:val="0"/>
        <w:snapToGrid w:val="0"/>
        <w:spacing w:line="360" w:lineRule="auto"/>
        <w:ind w:firstLineChars="0"/>
        <w:outlineLvl w:val="0"/>
        <w:rPr>
          <w:rFonts w:ascii="仿宋" w:hAnsi="仿宋" w:eastAsia="仿宋" w:cs="仿宋"/>
          <w:b/>
          <w:sz w:val="28"/>
          <w:szCs w:val="28"/>
        </w:rPr>
      </w:pPr>
      <w:r>
        <w:rPr>
          <w:rFonts w:hint="eastAsia" w:ascii="仿宋" w:hAnsi="仿宋" w:eastAsia="仿宋" w:cs="仿宋"/>
          <w:b/>
          <w:sz w:val="28"/>
          <w:szCs w:val="28"/>
        </w:rPr>
        <w:t>健全居民参与机制，坚持以人为本，把握改造重点为原则</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从受益对象最关心最直接最现实的利益问题出发，建议项目实施前应当加大政策的宣传力度，并搭建沟通议事平台，运用</w:t>
      </w:r>
      <w:r>
        <w:rPr>
          <w:rFonts w:ascii="仿宋" w:hAnsi="仿宋" w:eastAsia="仿宋" w:cs="仿宋"/>
          <w:color w:val="000000" w:themeColor="text1"/>
          <w:sz w:val="28"/>
          <w:szCs w:val="28"/>
          <w14:textFill>
            <w14:solidFill>
              <w14:schemeClr w14:val="tx1"/>
            </w14:solidFill>
          </w14:textFill>
        </w:rPr>
        <w:t>实地走访、</w:t>
      </w:r>
      <w:r>
        <w:rPr>
          <w:rFonts w:hint="eastAsia" w:ascii="仿宋" w:hAnsi="仿宋" w:eastAsia="仿宋" w:cs="仿宋"/>
          <w:color w:val="000000" w:themeColor="text1"/>
          <w:sz w:val="28"/>
          <w:szCs w:val="28"/>
          <w14:textFill>
            <w14:solidFill>
              <w14:schemeClr w14:val="tx1"/>
            </w14:solidFill>
          </w14:textFill>
        </w:rPr>
        <w:t>公众号、</w:t>
      </w:r>
      <w:r>
        <w:rPr>
          <w:rFonts w:ascii="仿宋" w:hAnsi="仿宋" w:eastAsia="仿宋" w:cs="仿宋"/>
          <w:color w:val="000000" w:themeColor="text1"/>
          <w:sz w:val="28"/>
          <w:szCs w:val="28"/>
          <w14:textFill>
            <w14:solidFill>
              <w14:schemeClr w14:val="tx1"/>
            </w14:solidFill>
          </w14:textFill>
        </w:rPr>
        <w:t>电话、宣传栏等多种方式，</w:t>
      </w:r>
      <w:r>
        <w:rPr>
          <w:rFonts w:hint="eastAsia" w:ascii="仿宋" w:hAnsi="仿宋" w:eastAsia="仿宋" w:cs="仿宋"/>
          <w:color w:val="000000" w:themeColor="text1"/>
          <w:sz w:val="28"/>
          <w:szCs w:val="28"/>
          <w14:textFill>
            <w14:solidFill>
              <w14:schemeClr w14:val="tx1"/>
            </w14:solidFill>
          </w14:textFill>
        </w:rPr>
        <w:t>主动了解居民诉求，促进居民形成共识，确定存在隐患、亟待提升的区域等，充分发动居民积极参与改造方案制定。从而</w:t>
      </w:r>
      <w:r>
        <w:rPr>
          <w:rFonts w:ascii="仿宋" w:hAnsi="仿宋" w:eastAsia="仿宋" w:cs="仿宋"/>
          <w:color w:val="000000" w:themeColor="text1"/>
          <w:sz w:val="28"/>
          <w:szCs w:val="28"/>
          <w14:textFill>
            <w14:solidFill>
              <w14:schemeClr w14:val="tx1"/>
            </w14:solidFill>
          </w14:textFill>
        </w:rPr>
        <w:t>提升直接受益对象的参与度与满意度，提高</w:t>
      </w:r>
      <w:r>
        <w:rPr>
          <w:rFonts w:hint="eastAsia" w:ascii="仿宋" w:hAnsi="仿宋" w:eastAsia="仿宋" w:cs="仿宋"/>
          <w:color w:val="000000" w:themeColor="text1"/>
          <w:sz w:val="28"/>
          <w:szCs w:val="28"/>
          <w14:textFill>
            <w14:solidFill>
              <w14:schemeClr w14:val="tx1"/>
            </w14:solidFill>
          </w14:textFill>
        </w:rPr>
        <w:t>整体改造成果的效益</w:t>
      </w:r>
      <w:r>
        <w:rPr>
          <w:rFonts w:ascii="仿宋" w:hAnsi="仿宋" w:eastAsia="仿宋" w:cs="仿宋"/>
          <w:color w:val="000000" w:themeColor="text1"/>
          <w:sz w:val="28"/>
          <w:szCs w:val="28"/>
          <w14:textFill>
            <w14:solidFill>
              <w14:schemeClr w14:val="tx1"/>
            </w14:solidFill>
          </w14:textFill>
        </w:rPr>
        <w:t>。</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3.加强项目建设过程管理</w:t>
      </w:r>
    </w:p>
    <w:p>
      <w:pPr>
        <w:pStyle w:val="38"/>
        <w:snapToGrid w:val="0"/>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①完善项目管理机制，推进项目有序实施。完善文明施工相关制度、改造施工管理制度、专用资金监督管理制度等相关管理制度，并有效执行。确保项目实施过程中不扰民、文明施工，针对不文明施工现象，造成居民上访的，应予以相应处罚；施工按计划管理，并加强施工进度检查；按项目收支独立核算。避免出现不文明施工、无施工计划施工、</w:t>
      </w:r>
      <w:r>
        <w:rPr>
          <w:rFonts w:hint="eastAsia" w:ascii="仿宋" w:hAnsi="仿宋" w:eastAsia="仿宋" w:cs="仿宋"/>
          <w:color w:val="000000" w:themeColor="text1"/>
          <w:sz w:val="28"/>
          <w:szCs w:val="28"/>
          <w14:textFill>
            <w14:solidFill>
              <w14:schemeClr w14:val="tx1"/>
            </w14:solidFill>
          </w14:textFill>
        </w:rPr>
        <w:t>施工顺序不合理、</w:t>
      </w:r>
      <w:r>
        <w:rPr>
          <w:rFonts w:hint="eastAsia" w:ascii="仿宋" w:hAnsi="仿宋" w:eastAsia="仿宋"/>
          <w:color w:val="000000" w:themeColor="text1"/>
          <w:sz w:val="28"/>
          <w:szCs w:val="28"/>
          <w14:textFill>
            <w14:solidFill>
              <w14:schemeClr w14:val="tx1"/>
            </w14:solidFill>
          </w14:textFill>
        </w:rPr>
        <w:t>施工时间</w:t>
      </w:r>
      <w:r>
        <w:rPr>
          <w:rFonts w:hint="eastAsia" w:ascii="仿宋" w:hAnsi="仿宋" w:eastAsia="仿宋" w:cs="仿宋"/>
          <w:color w:val="000000" w:themeColor="text1"/>
          <w:sz w:val="28"/>
          <w:szCs w:val="28"/>
          <w14:textFill>
            <w14:solidFill>
              <w14:schemeClr w14:val="tx1"/>
            </w14:solidFill>
          </w14:textFill>
        </w:rPr>
        <w:t>拖沓延误的情况。</w:t>
      </w:r>
    </w:p>
    <w:p>
      <w:pPr>
        <w:pStyle w:val="38"/>
        <w:snapToGrid w:val="0"/>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②加强改造质量的管控。项目实施单位应根据相关改造项目文件要求，项目施工过程中加强对质量的管控。通过居民的反馈、监理方监督，施工过程跟踪，了解施工单位实际状态，确保项目改造质量；对已验收的项目，持续关注易产生质量问题的事项，有问题的事项应当及时处理，确保改造项目质量的有效性。</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4.完善小区长效管理机制</w:t>
      </w:r>
    </w:p>
    <w:p>
      <w:pPr>
        <w:adjustRightInd w:val="0"/>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结合</w:t>
      </w:r>
      <w:r>
        <w:rPr>
          <w:rFonts w:hint="eastAsia" w:ascii="仿宋" w:hAnsi="仿宋" w:eastAsia="仿宋" w:cs="仿宋"/>
          <w:color w:val="000000" w:themeColor="text1"/>
          <w:sz w:val="28"/>
          <w:szCs w:val="28"/>
          <w14:textFill>
            <w14:solidFill>
              <w14:schemeClr w14:val="tx1"/>
            </w14:solidFill>
          </w14:textFill>
        </w:rPr>
        <w:t>老旧小区改造提升项目的实际情况和改造成果的情况，完善以社区居民委员会配合，业主、物业服务企业或社区物业服务中心等共同参与的联合管理机制，引导居民协商确定改造后小区的管理模式、管理规约及业主议事规则，共同维护改造成果。如：对于由企业物业或社区物业服务中心管理的小区，在改造完成后由街道移交物业公司、社区物业服务中心负责后期管理，并完善移交手续。完善老旧小区住宅专项维修资金归集、使用、续筹机制，促进小区改造后维护更新进入良性轨道。</w:t>
      </w:r>
    </w:p>
    <w:p>
      <w:pPr>
        <w:adjustRightInd w:val="0"/>
        <w:rPr>
          <w:rFonts w:ascii="仿宋" w:hAnsi="仿宋" w:eastAsia="仿宋" w:cs="仿宋"/>
          <w:b/>
          <w:bCs/>
          <w:color w:val="000000" w:themeColor="text1"/>
          <w:sz w:val="32"/>
          <w:szCs w:val="32"/>
          <w:highlight w:val="yellow"/>
          <w14:textFill>
            <w14:solidFill>
              <w14:schemeClr w14:val="tx1"/>
            </w14:solidFill>
          </w14:textFill>
        </w:rPr>
      </w:pPr>
    </w:p>
    <w:p>
      <w:pPr>
        <w:adjustRightInd w:val="0"/>
        <w:rPr>
          <w:rFonts w:ascii="仿宋" w:hAnsi="仿宋" w:eastAsia="仿宋" w:cs="仿宋"/>
          <w:b/>
          <w:bCs/>
          <w:color w:val="000000" w:themeColor="text1"/>
          <w:sz w:val="32"/>
          <w:szCs w:val="32"/>
          <w:highlight w:val="yellow"/>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color w:val="000000" w:themeColor="text1"/>
          <w:sz w:val="28"/>
          <w:szCs w:val="28"/>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rPr>
          <w:rFonts w:ascii="仿宋" w:hAnsi="仿宋" w:eastAsia="仿宋" w:cs="仿宋"/>
          <w:b/>
          <w:bCs/>
          <w:color w:val="000000" w:themeColor="text1"/>
          <w:sz w:val="32"/>
          <w:szCs w:val="32"/>
          <w14:textFill>
            <w14:solidFill>
              <w14:schemeClr w14:val="tx1"/>
            </w14:solidFill>
          </w14:textFill>
        </w:rPr>
      </w:pPr>
    </w:p>
    <w:p>
      <w:pPr>
        <w:adjustRightInd w:val="0"/>
        <w:spacing w:line="360" w:lineRule="auto"/>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重庆市渝中区人民政府朝天门街道办事处</w:t>
      </w:r>
    </w:p>
    <w:p>
      <w:pPr>
        <w:snapToGrid w:val="0"/>
        <w:jc w:val="center"/>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老旧小区改造提升项目</w:t>
      </w:r>
    </w:p>
    <w:p>
      <w:pPr>
        <w:adjustRightInd w:val="0"/>
        <w:spacing w:line="360" w:lineRule="auto"/>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绩效评价报告</w:t>
      </w:r>
    </w:p>
    <w:p>
      <w:pPr>
        <w:autoSpaceDE w:val="0"/>
        <w:autoSpaceDN w:val="0"/>
        <w:adjustRightInd w:val="0"/>
        <w:spacing w:line="360" w:lineRule="auto"/>
        <w:rPr>
          <w:rFonts w:ascii="仿宋" w:hAnsi="仿宋" w:eastAsia="仿宋" w:cs="仿宋"/>
          <w:b/>
          <w:color w:val="000000" w:themeColor="text1"/>
          <w14:textFill>
            <w14:solidFill>
              <w14:schemeClr w14:val="tx1"/>
            </w14:solidFill>
          </w14:textFill>
        </w:rPr>
      </w:pPr>
    </w:p>
    <w:p>
      <w:pPr>
        <w:autoSpaceDE w:val="0"/>
        <w:autoSpaceDN w:val="0"/>
        <w:adjustRightInd w:val="0"/>
        <w:spacing w:line="360" w:lineRule="auto"/>
        <w:jc w:val="right"/>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大华咨字[2021]250021号</w:t>
      </w:r>
    </w:p>
    <w:p>
      <w:pPr>
        <w:autoSpaceDE w:val="0"/>
        <w:autoSpaceDN w:val="0"/>
        <w:adjustRightInd w:val="0"/>
        <w:spacing w:line="360" w:lineRule="auto"/>
        <w:rPr>
          <w:rFonts w:ascii="仿宋" w:hAnsi="仿宋" w:eastAsia="仿宋" w:cs="仿宋"/>
          <w:b/>
          <w:color w:val="000000" w:themeColor="text1"/>
          <w14:textFill>
            <w14:solidFill>
              <w14:schemeClr w14:val="tx1"/>
            </w14:solidFill>
          </w14:textFill>
        </w:rPr>
      </w:pPr>
    </w:p>
    <w:p>
      <w:pPr>
        <w:autoSpaceDE w:val="0"/>
        <w:autoSpaceDN w:val="0"/>
        <w:adjustRightInd w:val="0"/>
        <w:spacing w:line="360" w:lineRule="auto"/>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重庆市渝中区财政局：</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我们接受委托，</w:t>
      </w:r>
      <w:r>
        <w:rPr>
          <w:rFonts w:hint="eastAsia" w:ascii="仿宋" w:hAnsi="仿宋" w:eastAsia="仿宋" w:cs="仿宋"/>
          <w:color w:val="auto"/>
          <w:sz w:val="28"/>
          <w:szCs w:val="28"/>
        </w:rPr>
        <w:t>对重庆市渝中区人民政府朝天门街道办事处（以下简称“朝天门街道”）负责组织及实施的</w:t>
      </w:r>
      <w:r>
        <w:rPr>
          <w:rFonts w:ascii="仿宋" w:hAnsi="仿宋" w:eastAsia="仿宋" w:cs="仿宋"/>
          <w:color w:val="auto"/>
          <w:sz w:val="28"/>
          <w:szCs w:val="28"/>
        </w:rPr>
        <w:t>老旧小区改造提升项目进行绩效评价。我们按照《会计师事务所财政支出绩效评价业务指引》和</w:t>
      </w:r>
      <w:r>
        <w:rPr>
          <w:rFonts w:hint="eastAsia" w:ascii="仿宋" w:hAnsi="仿宋" w:eastAsia="仿宋" w:cs="仿宋"/>
          <w:color w:val="000000" w:themeColor="text1"/>
          <w:sz w:val="28"/>
          <w:szCs w:val="28"/>
          <w14:textFill>
            <w14:solidFill>
              <w14:schemeClr w14:val="tx1"/>
            </w14:solidFill>
          </w14:textFill>
        </w:rPr>
        <w:t>《重庆市渝中区财政局关于开展</w:t>
      </w:r>
      <w:r>
        <w:rPr>
          <w:rFonts w:ascii="仿宋" w:hAnsi="仿宋" w:eastAsia="仿宋" w:cs="仿宋"/>
          <w:color w:val="000000" w:themeColor="text1"/>
          <w:sz w:val="28"/>
          <w:szCs w:val="28"/>
          <w14:textFill>
            <w14:solidFill>
              <w14:schemeClr w14:val="tx1"/>
            </w14:solidFill>
          </w14:textFill>
        </w:rPr>
        <w:t>2020年度预算绩效评价工作的通知》的规定执行了绩效评价工作。我们相信，我们获取的证据是充分、适当的，为发表绩效评价意见提供了基础。我们经过对项目的产出、管理的调查了解后，形成绩效评价报告，具体情况如下：</w:t>
      </w:r>
    </w:p>
    <w:p>
      <w:pPr>
        <w:pStyle w:val="42"/>
        <w:numPr>
          <w:ilvl w:val="0"/>
          <w:numId w:val="2"/>
        </w:numPr>
        <w:autoSpaceDE w:val="0"/>
        <w:autoSpaceDN w:val="0"/>
        <w:adjustRightInd w:val="0"/>
        <w:snapToGrid w:val="0"/>
        <w:spacing w:before="312" w:beforeLines="100" w:line="360" w:lineRule="auto"/>
        <w:ind w:firstLineChars="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项目基本概况</w:t>
      </w:r>
    </w:p>
    <w:p>
      <w:pPr>
        <w:autoSpaceDE w:val="0"/>
        <w:autoSpaceDN w:val="0"/>
        <w:adjustRightInd w:val="0"/>
        <w:snapToGrid w:val="0"/>
        <w:spacing w:before="312" w:beforeLines="100" w:line="360" w:lineRule="auto"/>
        <w:ind w:left="562"/>
        <w:outlineLvl w:val="0"/>
        <w:rPr>
          <w:rFonts w:ascii="仿宋" w:hAnsi="仿宋" w:eastAsia="仿宋" w:cs="仿宋"/>
          <w:b/>
          <w:color w:val="000000" w:themeColor="text1"/>
          <w:sz w:val="28"/>
          <w:szCs w:val="28"/>
          <w14:textFill>
            <w14:solidFill>
              <w14:schemeClr w14:val="tx1"/>
            </w14:solidFill>
          </w14:textFill>
        </w:rPr>
      </w:pPr>
      <w:r>
        <w:rPr>
          <w:rFonts w:ascii="仿宋" w:hAnsi="仿宋" w:eastAsia="仿宋" w:cs="仿宋"/>
          <w:b/>
          <w:color w:val="000000" w:themeColor="text1"/>
          <w:sz w:val="28"/>
          <w:szCs w:val="28"/>
          <w14:textFill>
            <w14:solidFill>
              <w14:schemeClr w14:val="tx1"/>
            </w14:solidFill>
          </w14:textFill>
        </w:rPr>
        <w:t>1.项目背景</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城镇老旧小区改造关乎百姓幸福，是一项重要民生工程。老旧小区改造不仅是小区硬件的简单提升，更是夯实居民自治基础、服务社区长远发展、提升城市治理水平的突破口。重庆市委、市政府高度重视老旧小区改造提升工作，并将其作为重要内容纳入我市城市提升行动计划。为了重塑重庆母城的门户形象，渝中区启动朝天门片区环境综合整治和品质提升工作，重点推进市容环境综合整治、老旧楼宇立面整治、道路交通秩序优化整治等九大任务，提出城市市容环境综合整治行动，开展社区微整治，突出“一街一景”特点，统筹规划，高标准设计，高质量整治，改善城区环境，不断提升城市颜值，努力打造全域旅游城区，让居民群众有获得感。</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近两年，随着重庆旅游持续走红，洪崖洞、长江索道、贰厂文创园、李子坝轻轨站、朝天门两江游等异常火爆，占据重庆网红景点半壁江山，渝中区成为了全国知名的旅游目的地。朝天门是重庆的城市名片，是渝中重要的发展板块，也是社会各界广泛关注的区域。解放碑</w:t>
      </w:r>
      <w:r>
        <w:rPr>
          <w:rFonts w:ascii="仿宋" w:hAnsi="仿宋" w:eastAsia="仿宋" w:cs="仿宋"/>
          <w:color w:val="000000" w:themeColor="text1"/>
          <w:sz w:val="28"/>
          <w:szCs w:val="28"/>
          <w14:textFill>
            <w14:solidFill>
              <w14:schemeClr w14:val="tx1"/>
            </w14:solidFill>
          </w14:textFill>
        </w:rPr>
        <w:t>-朝天门步行大道作为“两江四岸”核心区的重要节点项目，将串联解放碑和朝天门沿线28个历史文化景点，对贯通解放碑、朝天门片区起到积极作用。本项目的建设充分整合碎片化空间，进行综合改造，对提升朝天门城市街道品质，激发城市空间活力，推动解放碑-朝天门一体化发展有着十分重要的意义。</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近期，重庆市全面启动两江四岸核心区整体提升工作，两江四岸核心区将迎来“蝶变”升级。渝中区贯彻落实市委两江四岸核心区整体提升专题会议精神，将一体化建设解放碑一朝天门片区，串联朝天门至菜园坝的老城墙遗址公园、湖广会馆、十八梯、白象街风貌区等沿线景点，将珍珠串成项链。</w:t>
      </w:r>
    </w:p>
    <w:p>
      <w:pPr>
        <w:autoSpaceDE w:val="0"/>
        <w:autoSpaceDN w:val="0"/>
        <w:adjustRightInd w:val="0"/>
        <w:snapToGrid w:val="0"/>
        <w:spacing w:before="312" w:beforeLines="100" w:line="360" w:lineRule="auto"/>
        <w:ind w:left="562"/>
        <w:outlineLvl w:val="0"/>
        <w:rPr>
          <w:rFonts w:ascii="仿宋" w:hAnsi="仿宋" w:eastAsia="仿宋" w:cs="仿宋"/>
          <w:b/>
          <w:color w:val="000000" w:themeColor="text1"/>
          <w:sz w:val="28"/>
          <w:szCs w:val="28"/>
          <w14:textFill>
            <w14:solidFill>
              <w14:schemeClr w14:val="tx1"/>
            </w14:solidFill>
          </w14:textFill>
        </w:rPr>
      </w:pPr>
      <w:r>
        <w:rPr>
          <w:rFonts w:ascii="仿宋" w:hAnsi="仿宋" w:eastAsia="仿宋" w:cs="仿宋"/>
          <w:b/>
          <w:color w:val="000000" w:themeColor="text1"/>
          <w:sz w:val="28"/>
          <w:szCs w:val="28"/>
          <w14:textFill>
            <w14:solidFill>
              <w14:schemeClr w14:val="tx1"/>
            </w14:solidFill>
          </w14:textFill>
        </w:rPr>
        <w:t>2.项目内容</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朝天门街道负责实施的</w:t>
      </w:r>
      <w:r>
        <w:rPr>
          <w:rFonts w:ascii="仿宋" w:hAnsi="仿宋" w:eastAsia="仿宋" w:cs="仿宋"/>
          <w:color w:val="000000" w:themeColor="text1"/>
          <w:sz w:val="28"/>
          <w:szCs w:val="28"/>
          <w14:textFill>
            <w14:solidFill>
              <w14:schemeClr w14:val="tx1"/>
            </w14:solidFill>
          </w14:textFill>
        </w:rPr>
        <w:t>2020年老旧小区改造提升项目，包含朝千路、棉花街、</w:t>
      </w:r>
      <w:r>
        <w:rPr>
          <w:rFonts w:hint="eastAsia" w:ascii="仿宋" w:hAnsi="仿宋" w:eastAsia="仿宋" w:cs="仿宋"/>
          <w:color w:val="000000" w:themeColor="text1"/>
          <w:sz w:val="28"/>
          <w:szCs w:val="28"/>
          <w14:textFill>
            <w14:solidFill>
              <w14:schemeClr w14:val="tx1"/>
            </w14:solidFill>
          </w14:textFill>
        </w:rPr>
        <w:t>沧白路沿线环境综合整治（以下简称“朝千路、棉花街、沧白路”）；白象居综合整治改造工程（以下简称“白象居”）；东升楼</w:t>
      </w:r>
      <w:r>
        <w:rPr>
          <w:rFonts w:ascii="仿宋" w:hAnsi="仿宋" w:eastAsia="仿宋" w:cs="仿宋"/>
          <w:color w:val="000000" w:themeColor="text1"/>
          <w:sz w:val="28"/>
          <w:szCs w:val="28"/>
          <w14:textFill>
            <w14:solidFill>
              <w14:schemeClr w14:val="tx1"/>
            </w14:solidFill>
          </w14:textFill>
        </w:rPr>
        <w:t>5号L</w:t>
      </w:r>
      <w:r>
        <w:rPr>
          <w:rFonts w:hint="eastAsia" w:ascii="仿宋" w:hAnsi="仿宋" w:eastAsia="仿宋" w:cs="仿宋"/>
          <w:color w:val="000000" w:themeColor="text1"/>
          <w:sz w:val="28"/>
          <w:szCs w:val="28"/>
          <w14:textFill>
            <w14:solidFill>
              <w14:schemeClr w14:val="tx1"/>
            </w14:solidFill>
          </w14:textFill>
        </w:rPr>
        <w:t>型房周边环境综合整治（以下简称“东升楼”）；解放东路老旧小区综合整治工程（下简称“解放东路”）</w:t>
      </w:r>
      <w:r>
        <w:rPr>
          <w:rFonts w:ascii="仿宋" w:hAnsi="仿宋" w:eastAsia="仿宋" w:cs="仿宋"/>
          <w:color w:val="000000" w:themeColor="text1"/>
          <w:sz w:val="28"/>
          <w:szCs w:val="28"/>
          <w14:textFill>
            <w14:solidFill>
              <w14:schemeClr w14:val="tx1"/>
            </w14:solidFill>
          </w14:textFill>
        </w:rPr>
        <w:t>4个子项目。</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朝天门街道根据渝中区发展和改革委员会批复性文件：</w:t>
      </w:r>
      <w:r>
        <w:rPr>
          <w:rFonts w:ascii="仿宋" w:hAnsi="仿宋" w:eastAsia="仿宋" w:cs="仿宋"/>
          <w:color w:val="000000" w:themeColor="text1"/>
          <w:sz w:val="28"/>
          <w:szCs w:val="28"/>
          <w14:textFill>
            <w14:solidFill>
              <w14:schemeClr w14:val="tx1"/>
            </w14:solidFill>
          </w14:textFill>
        </w:rPr>
        <w:t>2020年6月16日出具《重庆市渝中区发展和改革委员会关于东升楼5号“L”型房周边环境综合整治项目投资概算的批复》(渝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[2020]90号)、2020年8月10日出具《重庆市渝中区发展和改革委员会关于朝千路、棉花街、沧白路沿线环境综合整治项目投资概算的批复》(渝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[2020]176号)、2020年8月12日出具《重庆市渝中区发展和改革委员会关于白象居综合整治改造工程投资概算的批复》(渝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[2020]194号)、2020年10月29日出具《重庆市渝中区发展和改革委员会关于解放东路片区老旧小区改造提升项目投资概算的批复》(渝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[2020]305号)实施该4个子项目。其中朝千路、棉花街、</w:t>
      </w:r>
      <w:r>
        <w:rPr>
          <w:rFonts w:hint="eastAsia" w:ascii="仿宋" w:hAnsi="仿宋" w:eastAsia="仿宋" w:cs="仿宋"/>
          <w:color w:val="000000" w:themeColor="text1"/>
          <w:sz w:val="28"/>
          <w:szCs w:val="28"/>
          <w14:textFill>
            <w14:solidFill>
              <w14:schemeClr w14:val="tx1"/>
            </w14:solidFill>
          </w14:textFill>
        </w:rPr>
        <w:t>沧白路；东升楼子项目已验收，</w:t>
      </w:r>
      <w:r>
        <w:rPr>
          <w:rFonts w:hint="eastAsia" w:ascii="仿宋" w:hAnsi="仿宋" w:eastAsia="仿宋" w:cs="仿宋"/>
          <w:color w:val="000000" w:themeColor="text1"/>
          <w:sz w:val="28"/>
          <w:szCs w:val="28"/>
          <w:lang w:eastAsia="zh-CN"/>
          <w14:textFill>
            <w14:solidFill>
              <w14:schemeClr w14:val="tx1"/>
            </w14:solidFill>
          </w14:textFill>
        </w:rPr>
        <w:t>截至</w:t>
      </w:r>
      <w:r>
        <w:rPr>
          <w:rFonts w:hint="eastAsia" w:ascii="仿宋" w:hAnsi="仿宋" w:eastAsia="仿宋" w:cs="仿宋"/>
          <w:color w:val="000000" w:themeColor="text1"/>
          <w:sz w:val="28"/>
          <w:szCs w:val="28"/>
          <w14:textFill>
            <w14:solidFill>
              <w14:schemeClr w14:val="tx1"/>
            </w14:solidFill>
          </w14:textFill>
        </w:rPr>
        <w:t>审核报告日，未办理竣工结算；白象居、解放东路子项目在实施过程中。</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朝天门街道负责老旧小区改造提升项目独立建账核算。项目合计概算金额为</w:t>
      </w:r>
      <w:r>
        <w:rPr>
          <w:rFonts w:ascii="仿宋" w:hAnsi="仿宋" w:eastAsia="仿宋" w:cs="仿宋"/>
          <w:color w:val="000000" w:themeColor="text1"/>
          <w:sz w:val="28"/>
          <w:szCs w:val="28"/>
          <w14:textFill>
            <w14:solidFill>
              <w14:schemeClr w14:val="tx1"/>
            </w14:solidFill>
          </w14:textFill>
        </w:rPr>
        <w:t>5,963.56万元，</w:t>
      </w:r>
      <w:r>
        <w:rPr>
          <w:rFonts w:hint="eastAsia" w:ascii="仿宋" w:hAnsi="仿宋" w:eastAsia="仿宋" w:cs="仿宋"/>
          <w:color w:val="000000" w:themeColor="text1"/>
          <w:sz w:val="28"/>
          <w:szCs w:val="28"/>
          <w:lang w:eastAsia="zh-CN"/>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2020年12月31日，项目合计支出金额2,617.47万元。2020年实际收到资金3,496.245万元，其中中央资金861.00万元，专项债2,635.245万元，</w:t>
      </w:r>
      <w:r>
        <w:rPr>
          <w:rFonts w:hint="eastAsia" w:ascii="仿宋" w:hAnsi="仿宋" w:eastAsia="仿宋" w:cs="仿宋"/>
          <w:color w:val="000000" w:themeColor="text1"/>
          <w:sz w:val="28"/>
          <w:szCs w:val="28"/>
          <w:lang w:eastAsia="zh-CN"/>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2020年末，项目合计支出金额2,617.47万元，结余878.775万元。</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子项目概算金额、项目支出明细表如下：</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383"/>
        <w:gridCol w:w="2127"/>
        <w:gridCol w:w="1561"/>
        <w:gridCol w:w="1700"/>
        <w:gridCol w:w="175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11" w:type="pct"/>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项目名称</w:t>
            </w:r>
          </w:p>
        </w:tc>
        <w:tc>
          <w:tcPr>
            <w:tcW w:w="1247" w:type="pct"/>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发改委文号</w:t>
            </w:r>
          </w:p>
        </w:tc>
        <w:tc>
          <w:tcPr>
            <w:tcW w:w="915" w:type="pct"/>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概算金额</w:t>
            </w:r>
          </w:p>
        </w:tc>
        <w:tc>
          <w:tcPr>
            <w:tcW w:w="997" w:type="pct"/>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项目支出金额</w:t>
            </w:r>
          </w:p>
        </w:tc>
        <w:tc>
          <w:tcPr>
            <w:tcW w:w="1030" w:type="pct"/>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项目支出占比权重</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11" w:type="pct"/>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朝千路、棉花街、沧白路</w:t>
            </w:r>
          </w:p>
        </w:tc>
        <w:tc>
          <w:tcPr>
            <w:tcW w:w="1247" w:type="pct"/>
            <w:shd w:val="clear" w:color="auto" w:fill="auto"/>
            <w:vAlign w:val="center"/>
          </w:tcPr>
          <w:p>
            <w:pPr>
              <w:spacing w:line="360" w:lineRule="exact"/>
              <w:jc w:val="center"/>
              <w:rPr>
                <w:rFonts w:ascii="仿宋" w:hAnsi="仿宋" w:eastAsia="仿宋" w:cs="仿宋"/>
                <w:sz w:val="18"/>
                <w:szCs w:val="18"/>
              </w:rPr>
            </w:pPr>
            <w:r>
              <w:rPr>
                <w:rFonts w:hint="eastAsia" w:ascii="仿宋" w:hAnsi="仿宋" w:eastAsia="仿宋" w:cs="仿宋"/>
                <w:sz w:val="18"/>
                <w:szCs w:val="18"/>
              </w:rPr>
              <w:t>渝中发改</w:t>
            </w:r>
            <w:r>
              <w:rPr>
                <w:rFonts w:ascii="仿宋" w:hAnsi="仿宋" w:eastAsia="仿宋" w:cs="仿宋"/>
                <w:sz w:val="18"/>
                <w:szCs w:val="18"/>
              </w:rPr>
              <w:t>[2020]176号</w:t>
            </w:r>
          </w:p>
        </w:tc>
        <w:tc>
          <w:tcPr>
            <w:tcW w:w="915"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11,292,200.00</w:t>
            </w:r>
          </w:p>
        </w:tc>
        <w:tc>
          <w:tcPr>
            <w:tcW w:w="997"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7,970,826.00</w:t>
            </w:r>
          </w:p>
        </w:tc>
        <w:tc>
          <w:tcPr>
            <w:tcW w:w="1030"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30.45%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11"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东升楼</w:t>
            </w:r>
          </w:p>
        </w:tc>
        <w:tc>
          <w:tcPr>
            <w:tcW w:w="1247"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渝中发改</w:t>
            </w:r>
            <w:r>
              <w:rPr>
                <w:rFonts w:ascii="仿宋" w:hAnsi="仿宋" w:eastAsia="仿宋" w:cs="仿宋"/>
                <w:color w:val="000000"/>
                <w:sz w:val="18"/>
                <w:szCs w:val="22"/>
              </w:rPr>
              <w:t>[2020]90号</w:t>
            </w:r>
          </w:p>
        </w:tc>
        <w:tc>
          <w:tcPr>
            <w:tcW w:w="915"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3,004,000.00</w:t>
            </w:r>
          </w:p>
        </w:tc>
        <w:tc>
          <w:tcPr>
            <w:tcW w:w="997"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2,458,085.00</w:t>
            </w:r>
          </w:p>
        </w:tc>
        <w:tc>
          <w:tcPr>
            <w:tcW w:w="1030"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9.39%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11"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白象居</w:t>
            </w:r>
          </w:p>
        </w:tc>
        <w:tc>
          <w:tcPr>
            <w:tcW w:w="1247"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渝中发改</w:t>
            </w:r>
            <w:r>
              <w:rPr>
                <w:rFonts w:ascii="仿宋" w:hAnsi="仿宋" w:eastAsia="仿宋" w:cs="仿宋"/>
                <w:color w:val="000000"/>
                <w:sz w:val="18"/>
                <w:szCs w:val="22"/>
              </w:rPr>
              <w:t>[2020]194号</w:t>
            </w:r>
          </w:p>
        </w:tc>
        <w:tc>
          <w:tcPr>
            <w:tcW w:w="915"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28,803,100.00</w:t>
            </w:r>
          </w:p>
        </w:tc>
        <w:tc>
          <w:tcPr>
            <w:tcW w:w="997"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13,105,221.00</w:t>
            </w:r>
          </w:p>
        </w:tc>
        <w:tc>
          <w:tcPr>
            <w:tcW w:w="1030"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50.07%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811"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解放东路</w:t>
            </w:r>
          </w:p>
        </w:tc>
        <w:tc>
          <w:tcPr>
            <w:tcW w:w="1247"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渝中发改</w:t>
            </w:r>
            <w:r>
              <w:rPr>
                <w:rFonts w:ascii="仿宋" w:hAnsi="仿宋" w:eastAsia="仿宋" w:cs="仿宋"/>
                <w:color w:val="000000"/>
                <w:sz w:val="18"/>
                <w:szCs w:val="22"/>
              </w:rPr>
              <w:t>[2020]305号</w:t>
            </w:r>
          </w:p>
        </w:tc>
        <w:tc>
          <w:tcPr>
            <w:tcW w:w="915"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16,536,300.00</w:t>
            </w:r>
          </w:p>
        </w:tc>
        <w:tc>
          <w:tcPr>
            <w:tcW w:w="997"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2,640,563.00</w:t>
            </w:r>
          </w:p>
        </w:tc>
        <w:tc>
          <w:tcPr>
            <w:tcW w:w="1030"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10.09%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058" w:type="pct"/>
            <w:gridSpan w:val="2"/>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合计金额</w:t>
            </w:r>
          </w:p>
        </w:tc>
        <w:tc>
          <w:tcPr>
            <w:tcW w:w="915"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59,635,600.00</w:t>
            </w:r>
          </w:p>
        </w:tc>
        <w:tc>
          <w:tcPr>
            <w:tcW w:w="997" w:type="pct"/>
            <w:shd w:val="clear" w:color="auto" w:fill="auto"/>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26,174,695.00</w:t>
            </w:r>
          </w:p>
        </w:tc>
        <w:tc>
          <w:tcPr>
            <w:tcW w:w="1030" w:type="pct"/>
            <w:shd w:val="clear" w:color="auto" w:fill="auto"/>
            <w:vAlign w:val="center"/>
          </w:tcPr>
          <w:p>
            <w:pPr>
              <w:spacing w:line="360" w:lineRule="exact"/>
              <w:jc w:val="right"/>
              <w:rPr>
                <w:rFonts w:ascii="仿宋" w:hAnsi="仿宋" w:eastAsia="仿宋" w:cs="仿宋"/>
                <w:sz w:val="18"/>
                <w:szCs w:val="18"/>
              </w:rPr>
            </w:pPr>
            <w:r>
              <w:rPr>
                <w:rFonts w:ascii="仿宋" w:hAnsi="仿宋" w:eastAsia="仿宋" w:cs="仿宋"/>
                <w:sz w:val="18"/>
                <w:szCs w:val="18"/>
              </w:rPr>
              <w:t>100.00%</w:t>
            </w:r>
          </w:p>
        </w:tc>
      </w:tr>
    </w:tbl>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二、绩效评价工作情况</w:t>
      </w:r>
    </w:p>
    <w:p>
      <w:pPr>
        <w:autoSpaceDE w:val="0"/>
        <w:autoSpaceDN w:val="0"/>
        <w:adjustRightInd w:val="0"/>
        <w:snapToGrid w:val="0"/>
        <w:spacing w:before="156" w:beforeLines="5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（一）绩效评价目的、范围</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本次绩效评价目的是为贯彻落实区委、区政府《关于推进预算绩效管理工作实施意见》和区人大《关于全面推进财政预算绩效管理的决议》精神，加快推进项目支出绩效评价工作，提高财政资金使用效益。</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本次绩效评价范围是朝天门街道</w:t>
      </w:r>
      <w:r>
        <w:rPr>
          <w:rFonts w:ascii="仿宋" w:hAnsi="仿宋" w:eastAsia="仿宋" w:cs="仿宋"/>
          <w:color w:val="000000" w:themeColor="text1"/>
          <w:sz w:val="28"/>
          <w:szCs w:val="28"/>
          <w14:textFill>
            <w14:solidFill>
              <w14:schemeClr w14:val="tx1"/>
            </w14:solidFill>
          </w14:textFill>
        </w:rPr>
        <w:t>老旧小区改造提升项目。</w:t>
      </w:r>
    </w:p>
    <w:p>
      <w:pPr>
        <w:autoSpaceDE w:val="0"/>
        <w:autoSpaceDN w:val="0"/>
        <w:adjustRightInd w:val="0"/>
        <w:snapToGrid w:val="0"/>
        <w:spacing w:before="156" w:beforeLines="5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（二）绩效评价原则依据、评价指标体系、评价方法</w:t>
      </w:r>
    </w:p>
    <w:p>
      <w:pPr>
        <w:adjustRightInd w:val="0"/>
        <w:snapToGrid w:val="0"/>
        <w:spacing w:line="360" w:lineRule="auto"/>
        <w:ind w:firstLine="562" w:firstLineChars="200"/>
        <w:outlineLvl w:val="0"/>
        <w:rPr>
          <w:rFonts w:ascii="仿宋" w:hAnsi="仿宋" w:eastAsia="仿宋" w:cs="仿宋"/>
          <w:b/>
          <w:sz w:val="28"/>
          <w:szCs w:val="28"/>
        </w:rPr>
      </w:pPr>
      <w:r>
        <w:rPr>
          <w:rFonts w:ascii="仿宋" w:hAnsi="仿宋" w:eastAsia="仿宋" w:cs="仿宋"/>
          <w:b/>
          <w:sz w:val="28"/>
          <w:szCs w:val="28"/>
        </w:rPr>
        <w:t>1.评价原则</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本次绩效评价遵循了客观、可行、制度化、多层次评估、反馈原则，以相关法律、法规、规章以及渝中区有关文件等为依据，使此次绩效评价得以公开、公平、公正的展开。</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绩效评价方法上遵循了科学规范原则，经过了规范的程序，采用定性与定量相结合的评价方法，科学、合理地进行。</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绩效评价过程中遵循了依据充分原则，收集了相关文件及资料，并要通过现场调研，为评价结论提供充分的依据支持。</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绩效评价指标确定上遵循了相关性、重要性、系统性、经济性等原则，指标设定上直接与资金支出范围高度相关，重点选择了项目产出、项目效果、项目管理等工作设定评价指标，将定性指标与定量指标相结合，系统反应财政专项资金支出所产生的效果，并充分考虑了评价指标的通俗易懂、简便易行，数据获取具有现实条件和可操作性，符合成本效益原则。</w:t>
      </w:r>
    </w:p>
    <w:p>
      <w:pPr>
        <w:adjustRightInd w:val="0"/>
        <w:snapToGrid w:val="0"/>
        <w:spacing w:line="360" w:lineRule="auto"/>
        <w:ind w:firstLine="562" w:firstLineChars="200"/>
        <w:outlineLvl w:val="0"/>
        <w:rPr>
          <w:rFonts w:ascii="仿宋" w:hAnsi="仿宋" w:eastAsia="仿宋" w:cs="仿宋"/>
          <w:b/>
          <w:sz w:val="28"/>
          <w:szCs w:val="28"/>
        </w:rPr>
      </w:pPr>
      <w:r>
        <w:rPr>
          <w:rFonts w:ascii="仿宋" w:hAnsi="仿宋" w:eastAsia="仿宋" w:cs="仿宋"/>
          <w:b/>
          <w:sz w:val="28"/>
          <w:szCs w:val="28"/>
        </w:rPr>
        <w:t>2.绩效评价的依据</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1）《中共中央国务院关于全面实施预算绩效管理的意见》；</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2）《财政部关于印发&lt;</w:t>
      </w:r>
      <w:r>
        <w:rPr>
          <w:rFonts w:hint="eastAsia" w:ascii="仿宋" w:hAnsi="仿宋" w:eastAsia="仿宋" w:cs="仿宋"/>
          <w:color w:val="000000" w:themeColor="text1"/>
          <w:sz w:val="28"/>
          <w:szCs w:val="28"/>
          <w14:textFill>
            <w14:solidFill>
              <w14:schemeClr w14:val="tx1"/>
            </w14:solidFill>
          </w14:textFill>
        </w:rPr>
        <w:t>项目支出绩效评价管理办法</w:t>
      </w:r>
      <w:r>
        <w:rPr>
          <w:rFonts w:ascii="仿宋" w:hAnsi="仿宋" w:eastAsia="仿宋" w:cs="仿宋"/>
          <w:color w:val="000000" w:themeColor="text1"/>
          <w:sz w:val="28"/>
          <w:szCs w:val="28"/>
          <w14:textFill>
            <w14:solidFill>
              <w14:schemeClr w14:val="tx1"/>
            </w14:solidFill>
          </w14:textFill>
        </w:rPr>
        <w:t>&gt;</w:t>
      </w:r>
      <w:r>
        <w:rPr>
          <w:rFonts w:hint="eastAsia" w:ascii="仿宋" w:hAnsi="仿宋" w:eastAsia="仿宋" w:cs="仿宋"/>
          <w:color w:val="000000" w:themeColor="text1"/>
          <w:sz w:val="28"/>
          <w:szCs w:val="28"/>
          <w14:textFill>
            <w14:solidFill>
              <w14:schemeClr w14:val="tx1"/>
            </w14:solidFill>
          </w14:textFill>
        </w:rPr>
        <w:t>的通知》（财预</w:t>
      </w:r>
      <w:r>
        <w:rPr>
          <w:rFonts w:ascii="仿宋" w:hAnsi="仿宋" w:eastAsia="仿宋" w:cs="仿宋"/>
          <w:color w:val="000000" w:themeColor="text1"/>
          <w:sz w:val="28"/>
          <w:szCs w:val="28"/>
          <w14:textFill>
            <w14:solidFill>
              <w14:schemeClr w14:val="tx1"/>
            </w14:solidFill>
          </w14:textFill>
        </w:rPr>
        <w:t>[2020]10号）；</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3）《重庆市财政专项资金绩效评价管理暂行办法》(</w:t>
      </w:r>
      <w:r>
        <w:rPr>
          <w:rFonts w:hint="eastAsia" w:ascii="仿宋" w:hAnsi="仿宋" w:eastAsia="仿宋" w:cs="仿宋"/>
          <w:color w:val="000000" w:themeColor="text1"/>
          <w:sz w:val="28"/>
          <w:szCs w:val="28"/>
          <w14:textFill>
            <w14:solidFill>
              <w14:schemeClr w14:val="tx1"/>
            </w14:solidFill>
          </w14:textFill>
        </w:rPr>
        <w:t>渝办发</w:t>
      </w:r>
      <w:r>
        <w:rPr>
          <w:rFonts w:ascii="仿宋" w:hAnsi="仿宋" w:eastAsia="仿宋" w:cs="仿宋"/>
          <w:color w:val="000000" w:themeColor="text1"/>
          <w:sz w:val="28"/>
          <w:szCs w:val="28"/>
          <w14:textFill>
            <w14:solidFill>
              <w14:schemeClr w14:val="tx1"/>
            </w14:solidFill>
          </w14:textFill>
        </w:rPr>
        <w:t>[2011]233号)；</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4）《重庆市财政局关于印发&lt;</w:t>
      </w:r>
      <w:r>
        <w:rPr>
          <w:rFonts w:hint="eastAsia" w:ascii="仿宋" w:hAnsi="仿宋" w:eastAsia="仿宋" w:cs="仿宋"/>
          <w:color w:val="000000" w:themeColor="text1"/>
          <w:sz w:val="28"/>
          <w:szCs w:val="28"/>
          <w14:textFill>
            <w14:solidFill>
              <w14:schemeClr w14:val="tx1"/>
            </w14:solidFill>
          </w14:textFill>
        </w:rPr>
        <w:t>重庆市市级政策和项目预算绩效管理办法（试行）</w:t>
      </w:r>
      <w:r>
        <w:rPr>
          <w:rFonts w:ascii="仿宋" w:hAnsi="仿宋" w:eastAsia="仿宋" w:cs="仿宋"/>
          <w:color w:val="000000" w:themeColor="text1"/>
          <w:sz w:val="28"/>
          <w:szCs w:val="28"/>
          <w14:textFill>
            <w14:solidFill>
              <w14:schemeClr w14:val="tx1"/>
            </w14:solidFill>
          </w14:textFill>
        </w:rPr>
        <w:t>&gt;</w:t>
      </w:r>
      <w:r>
        <w:rPr>
          <w:rFonts w:hint="eastAsia" w:ascii="仿宋" w:hAnsi="仿宋" w:eastAsia="仿宋" w:cs="仿宋"/>
          <w:color w:val="000000" w:themeColor="text1"/>
          <w:sz w:val="28"/>
          <w:szCs w:val="28"/>
          <w14:textFill>
            <w14:solidFill>
              <w14:schemeClr w14:val="tx1"/>
            </w14:solidFill>
          </w14:textFill>
        </w:rPr>
        <w:t>的通知》（渝财绩</w:t>
      </w:r>
      <w:r>
        <w:rPr>
          <w:rFonts w:ascii="仿宋" w:hAnsi="仿宋" w:eastAsia="仿宋" w:cs="仿宋"/>
          <w:color w:val="000000" w:themeColor="text1"/>
          <w:sz w:val="28"/>
          <w:szCs w:val="28"/>
          <w14:textFill>
            <w14:solidFill>
              <w14:schemeClr w14:val="tx1"/>
            </w14:solidFill>
          </w14:textFill>
        </w:rPr>
        <w:t>[2019]19号）；</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5）《重庆市渝中区财政局关于开展2020年度预算绩效重点评价工作的通知》（渝</w:t>
      </w:r>
      <w:r>
        <w:rPr>
          <w:rFonts w:hint="eastAsia" w:ascii="仿宋" w:hAnsi="仿宋" w:eastAsia="仿宋" w:cs="仿宋"/>
          <w:color w:val="000000" w:themeColor="text1"/>
          <w:sz w:val="28"/>
          <w:szCs w:val="28"/>
          <w14:textFill>
            <w14:solidFill>
              <w14:schemeClr w14:val="tx1"/>
            </w14:solidFill>
          </w14:textFill>
        </w:rPr>
        <w:t>中财绩</w:t>
      </w:r>
      <w:r>
        <w:rPr>
          <w:rFonts w:ascii="仿宋" w:hAnsi="仿宋" w:eastAsia="仿宋" w:cs="仿宋"/>
          <w:color w:val="000000" w:themeColor="text1"/>
          <w:sz w:val="28"/>
          <w:szCs w:val="28"/>
          <w14:textFill>
            <w14:solidFill>
              <w14:schemeClr w14:val="tx1"/>
            </w14:solidFill>
          </w14:textFill>
        </w:rPr>
        <w:t>[2021]2号）；</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6）其他国家相关法律、法规和规章制度。</w:t>
      </w:r>
    </w:p>
    <w:p>
      <w:pPr>
        <w:adjustRightInd w:val="0"/>
        <w:snapToGrid w:val="0"/>
        <w:spacing w:line="360" w:lineRule="auto"/>
        <w:ind w:firstLine="562" w:firstLineChars="200"/>
        <w:outlineLvl w:val="0"/>
        <w:rPr>
          <w:rFonts w:ascii="仿宋" w:hAnsi="仿宋" w:eastAsia="仿宋" w:cs="仿宋"/>
          <w:b/>
          <w:sz w:val="28"/>
          <w:szCs w:val="28"/>
        </w:rPr>
      </w:pPr>
      <w:r>
        <w:rPr>
          <w:rFonts w:ascii="仿宋" w:hAnsi="仿宋" w:eastAsia="仿宋" w:cs="仿宋"/>
          <w:b/>
          <w:sz w:val="28"/>
          <w:szCs w:val="28"/>
        </w:rPr>
        <w:t>3.绩效评价指标体系</w:t>
      </w:r>
    </w:p>
    <w:p>
      <w:pPr>
        <w:adjustRightInd w:val="0"/>
        <w:snapToGrid w:val="0"/>
        <w:spacing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经过充分的调研和讨论，本次绩效评价指标体系设计如下：一级指标</w:t>
      </w:r>
      <w:r>
        <w:rPr>
          <w:rFonts w:ascii="仿宋" w:hAnsi="仿宋" w:eastAsia="仿宋" w:cs="仿宋"/>
          <w:sz w:val="28"/>
          <w:szCs w:val="28"/>
        </w:rPr>
        <w:t>3个，分别为：产出、效益、管理；二级指标10个，分别是：实际产出量、完成及时率、质量达标度、社会效益、生态效益、可持续影响、满意度、资金管理、项目管理、组织管理；参照2021年4月30日渝中区住房城市建委（以下简称“区住建委”）出具的《重庆市渝中区城市提升领导小组关于印发&lt;</w:t>
      </w:r>
      <w:r>
        <w:rPr>
          <w:rFonts w:hint="eastAsia" w:ascii="仿宋" w:hAnsi="仿宋" w:eastAsia="仿宋" w:cs="仿宋"/>
          <w:sz w:val="28"/>
          <w:szCs w:val="28"/>
        </w:rPr>
        <w:t>渝中区老旧小区改造提升工作规程（试行）</w:t>
      </w:r>
      <w:r>
        <w:rPr>
          <w:rFonts w:ascii="仿宋" w:hAnsi="仿宋" w:eastAsia="仿宋" w:cs="仿宋"/>
          <w:sz w:val="28"/>
          <w:szCs w:val="28"/>
        </w:rPr>
        <w:t>&gt;</w:t>
      </w:r>
      <w:r>
        <w:rPr>
          <w:rFonts w:hint="eastAsia" w:ascii="仿宋" w:hAnsi="仿宋" w:eastAsia="仿宋" w:cs="仿宋"/>
          <w:sz w:val="28"/>
          <w:szCs w:val="28"/>
        </w:rPr>
        <w:t>的通知》文件中</w:t>
      </w:r>
      <w:r>
        <w:rPr>
          <w:rFonts w:ascii="仿宋" w:hAnsi="仿宋" w:eastAsia="仿宋" w:cs="仿宋"/>
          <w:color w:val="000000"/>
          <w:sz w:val="28"/>
          <w:szCs w:val="28"/>
        </w:rPr>
        <w:t>52条改造提升清单、概算批复文件、主要建设内容、现场勘察等综合考虑，设计了三、四级指标</w:t>
      </w:r>
      <w:r>
        <w:rPr>
          <w:rFonts w:hint="eastAsia" w:ascii="仿宋" w:hAnsi="仿宋" w:eastAsia="仿宋" w:cs="仿宋"/>
          <w:sz w:val="28"/>
          <w:szCs w:val="28"/>
        </w:rPr>
        <w:t>，三级指标</w:t>
      </w:r>
      <w:r>
        <w:rPr>
          <w:rFonts w:ascii="仿宋" w:hAnsi="仿宋" w:eastAsia="仿宋" w:cs="仿宋"/>
          <w:sz w:val="28"/>
          <w:szCs w:val="28"/>
        </w:rPr>
        <w:t>26个，分别为：消除消防安全整改量、消除环境安全隐患整改量、房屋住用基本功能增加量、小区硬件环境整改量、建筑立面形态整改量、雨污管网整改量、垃圾分类整改量、完成及时率、消除消防安全质量优良度、消除环境安全隐患质量优良度、房屋住用基本功能质量优良度、小区硬件环境质量优良度、建筑立面形态质量优良度、雨污管网质量优良度、垃圾分类质量优良度、消除消防安全、消除环境安全隐患、完善房屋住用基本功能、完善小区硬件环境、优化建筑立面形态、改善卫生环境、可持续影响、受益对象满意度、资金管理、项目管理、组织管理；四级指标51个，详见附表:重庆市渝中区人民政</w:t>
      </w:r>
      <w:r>
        <w:rPr>
          <w:rFonts w:hint="eastAsia" w:ascii="仿宋" w:hAnsi="仿宋" w:eastAsia="仿宋" w:cs="仿宋"/>
          <w:sz w:val="28"/>
          <w:szCs w:val="28"/>
        </w:rPr>
        <w:t>府朝天门街道办事处</w:t>
      </w:r>
      <w:r>
        <w:rPr>
          <w:rFonts w:ascii="仿宋" w:hAnsi="仿宋" w:eastAsia="仿宋" w:cs="仿宋"/>
          <w:sz w:val="28"/>
          <w:szCs w:val="28"/>
        </w:rPr>
        <w:t>老旧小区改造提升项目绩效指标评分表。</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评价结果分为优、良、中、差四等，根据计分结果的分值，确定评价结果对象最后达到的档次，具体见下表：</w:t>
      </w:r>
    </w:p>
    <w:tbl>
      <w:tblPr>
        <w:tblStyle w:val="10"/>
        <w:tblW w:w="7938" w:type="dxa"/>
        <w:tblInd w:w="25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559"/>
        <w:gridCol w:w="1560"/>
        <w:gridCol w:w="1559"/>
        <w:gridCol w:w="1701"/>
        <w:gridCol w:w="155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559" w:type="dxa"/>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档次</w:t>
            </w:r>
          </w:p>
        </w:tc>
        <w:tc>
          <w:tcPr>
            <w:tcW w:w="1560" w:type="dxa"/>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优</w:t>
            </w:r>
          </w:p>
        </w:tc>
        <w:tc>
          <w:tcPr>
            <w:tcW w:w="1559" w:type="dxa"/>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良</w:t>
            </w:r>
          </w:p>
        </w:tc>
        <w:tc>
          <w:tcPr>
            <w:tcW w:w="1701" w:type="dxa"/>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中</w:t>
            </w:r>
          </w:p>
        </w:tc>
        <w:tc>
          <w:tcPr>
            <w:tcW w:w="1559" w:type="dxa"/>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差</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559" w:type="dxa"/>
            <w:shd w:val="clear" w:color="auto" w:fill="auto"/>
            <w:vAlign w:val="center"/>
          </w:tcPr>
          <w:p>
            <w:pPr>
              <w:snapToGrid w:val="0"/>
              <w:spacing w:line="360" w:lineRule="exact"/>
              <w:jc w:val="center"/>
              <w:rPr>
                <w:rFonts w:ascii="仿宋" w:hAnsi="仿宋" w:eastAsia="仿宋" w:cs="仿宋"/>
                <w:kern w:val="2"/>
                <w:sz w:val="18"/>
                <w:szCs w:val="18"/>
              </w:rPr>
            </w:pPr>
            <w:r>
              <w:rPr>
                <w:rFonts w:hint="eastAsia" w:ascii="仿宋" w:hAnsi="仿宋" w:eastAsia="仿宋" w:cs="仿宋"/>
                <w:kern w:val="2"/>
                <w:sz w:val="18"/>
                <w:szCs w:val="18"/>
              </w:rPr>
              <w:t>分值</w:t>
            </w:r>
          </w:p>
        </w:tc>
        <w:tc>
          <w:tcPr>
            <w:tcW w:w="1560" w:type="dxa"/>
            <w:shd w:val="clear" w:color="auto" w:fill="auto"/>
            <w:vAlign w:val="center"/>
          </w:tcPr>
          <w:p>
            <w:pPr>
              <w:spacing w:line="36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90</w:t>
            </w:r>
          </w:p>
        </w:tc>
        <w:tc>
          <w:tcPr>
            <w:tcW w:w="1559" w:type="dxa"/>
            <w:shd w:val="clear" w:color="auto" w:fill="auto"/>
            <w:vAlign w:val="center"/>
          </w:tcPr>
          <w:p>
            <w:pPr>
              <w:spacing w:line="360" w:lineRule="exact"/>
              <w:jc w:val="center"/>
              <w:rPr>
                <w:rFonts w:ascii="仿宋" w:hAnsi="仿宋" w:eastAsia="仿宋" w:cs="仿宋"/>
                <w:sz w:val="18"/>
                <w:szCs w:val="18"/>
              </w:rPr>
            </w:pPr>
            <w:r>
              <w:rPr>
                <w:rFonts w:ascii="仿宋" w:hAnsi="仿宋" w:eastAsia="仿宋" w:cs="仿宋"/>
                <w:sz w:val="18"/>
                <w:szCs w:val="18"/>
              </w:rPr>
              <w:t>80≤得分﹤90</w:t>
            </w:r>
          </w:p>
        </w:tc>
        <w:tc>
          <w:tcPr>
            <w:tcW w:w="1701" w:type="dxa"/>
            <w:shd w:val="clear" w:color="auto" w:fill="auto"/>
            <w:vAlign w:val="center"/>
          </w:tcPr>
          <w:p>
            <w:pPr>
              <w:spacing w:line="360" w:lineRule="exact"/>
              <w:jc w:val="center"/>
              <w:rPr>
                <w:rFonts w:ascii="仿宋" w:hAnsi="仿宋" w:eastAsia="仿宋" w:cs="仿宋"/>
                <w:sz w:val="18"/>
                <w:szCs w:val="18"/>
              </w:rPr>
            </w:pPr>
            <w:r>
              <w:rPr>
                <w:rFonts w:ascii="仿宋" w:hAnsi="仿宋" w:eastAsia="仿宋" w:cs="仿宋"/>
                <w:sz w:val="18"/>
                <w:szCs w:val="18"/>
              </w:rPr>
              <w:t>60≤得分﹤80</w:t>
            </w:r>
          </w:p>
        </w:tc>
        <w:tc>
          <w:tcPr>
            <w:tcW w:w="1559" w:type="dxa"/>
            <w:shd w:val="clear" w:color="auto" w:fill="auto"/>
            <w:vAlign w:val="center"/>
          </w:tcPr>
          <w:p>
            <w:pPr>
              <w:spacing w:line="360" w:lineRule="exact"/>
              <w:jc w:val="center"/>
              <w:rPr>
                <w:rFonts w:ascii="仿宋" w:hAnsi="仿宋" w:eastAsia="仿宋" w:cs="仿宋"/>
                <w:sz w:val="18"/>
                <w:szCs w:val="18"/>
              </w:rPr>
            </w:pPr>
            <w:r>
              <w:rPr>
                <w:rFonts w:hint="eastAsia" w:ascii="仿宋" w:hAnsi="仿宋" w:eastAsia="仿宋" w:cs="仿宋"/>
                <w:sz w:val="18"/>
                <w:szCs w:val="18"/>
              </w:rPr>
              <w:t>得分＜</w:t>
            </w:r>
            <w:r>
              <w:rPr>
                <w:rFonts w:ascii="仿宋" w:hAnsi="仿宋" w:eastAsia="仿宋" w:cs="仿宋"/>
                <w:sz w:val="18"/>
                <w:szCs w:val="18"/>
              </w:rPr>
              <w:t>60</w:t>
            </w:r>
          </w:p>
        </w:tc>
      </w:tr>
    </w:tbl>
    <w:p>
      <w:pPr>
        <w:spacing w:before="156" w:beforeLines="50" w:line="360" w:lineRule="auto"/>
        <w:ind w:firstLine="562" w:firstLineChars="200"/>
        <w:outlineLvl w:val="0"/>
        <w:rPr>
          <w:rFonts w:ascii="仿宋" w:hAnsi="仿宋" w:eastAsia="仿宋" w:cs="仿宋"/>
          <w:b/>
          <w:sz w:val="28"/>
          <w:szCs w:val="28"/>
        </w:rPr>
      </w:pPr>
      <w:r>
        <w:rPr>
          <w:rFonts w:ascii="仿宋" w:hAnsi="仿宋" w:eastAsia="仿宋" w:cs="仿宋"/>
          <w:b/>
          <w:sz w:val="28"/>
          <w:szCs w:val="28"/>
        </w:rPr>
        <w:t>4.评价方法</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绩效评价采用现场和非现场评价相结合的方式</w:t>
      </w:r>
      <w:r>
        <w:rPr>
          <w:rFonts w:ascii="仿宋" w:hAnsi="仿宋" w:eastAsia="仿宋" w:cs="仿宋"/>
          <w:color w:val="000000" w:themeColor="text1"/>
          <w:sz w:val="28"/>
          <w:szCs w:val="28"/>
          <w14:textFill>
            <w14:solidFill>
              <w14:schemeClr w14:val="tx1"/>
            </w14:solidFill>
          </w14:textFill>
        </w:rPr>
        <w:t>,具体采用以下评价方法：</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1）座谈法:组织相关各方集中访谈或座谈,能有效掌握政策实施过程情况以及项目的效果或不足,进而讨论相关各方如何改进不足,并提出确保项目长效运行的各种意见和建议,并将这些情况,整理反映到评价报告中。</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2）查证法:通过书面及口头方式,现场询问相关人员,核查相关资料是否真实、合理,从而对项目做出初步的判断和评价。</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3）比较法:通过对绩效目标与实施效果、历史与当期情况进行比较,综合分析绩效目标实现程度。</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4）其他评价方法。</w:t>
      </w:r>
    </w:p>
    <w:p>
      <w:pPr>
        <w:autoSpaceDE w:val="0"/>
        <w:autoSpaceDN w:val="0"/>
        <w:adjustRightInd w:val="0"/>
        <w:spacing w:before="156" w:beforeLines="5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（三）绩效评价工作过程</w:t>
      </w:r>
    </w:p>
    <w:p>
      <w:pPr>
        <w:spacing w:line="360" w:lineRule="auto"/>
        <w:ind w:firstLine="562" w:firstLineChars="200"/>
        <w:outlineLvl w:val="0"/>
        <w:rPr>
          <w:rFonts w:ascii="仿宋" w:hAnsi="仿宋" w:eastAsia="仿宋" w:cs="仿宋"/>
          <w:b/>
          <w:sz w:val="28"/>
          <w:szCs w:val="28"/>
        </w:rPr>
      </w:pPr>
      <w:r>
        <w:rPr>
          <w:rFonts w:ascii="仿宋" w:hAnsi="仿宋" w:eastAsia="仿宋" w:cs="仿宋"/>
          <w:b/>
          <w:sz w:val="28"/>
          <w:szCs w:val="28"/>
        </w:rPr>
        <w:t>1.前期准备</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1）确定绩效评价对象。根据《重庆市渝中区财政局关于开展2020年度预算绩效重点评价工作的通知》（渝</w:t>
      </w:r>
      <w:r>
        <w:rPr>
          <w:rFonts w:hint="eastAsia" w:ascii="仿宋" w:hAnsi="仿宋" w:eastAsia="仿宋" w:cs="仿宋"/>
          <w:color w:val="000000" w:themeColor="text1"/>
          <w:sz w:val="28"/>
          <w:szCs w:val="28"/>
          <w14:textFill>
            <w14:solidFill>
              <w14:schemeClr w14:val="tx1"/>
            </w14:solidFill>
          </w14:textFill>
        </w:rPr>
        <w:t>中财绩</w:t>
      </w:r>
      <w:r>
        <w:rPr>
          <w:rFonts w:ascii="仿宋" w:hAnsi="仿宋" w:eastAsia="仿宋" w:cs="仿宋"/>
          <w:color w:val="000000" w:themeColor="text1"/>
          <w:sz w:val="28"/>
          <w:szCs w:val="28"/>
          <w14:textFill>
            <w14:solidFill>
              <w14:schemeClr w14:val="tx1"/>
            </w14:solidFill>
          </w14:textFill>
        </w:rPr>
        <w:t>[2021]2号）规定，本次评价对象为朝天门街道老旧小区改造提升项目。</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制定绩效评价工作方案。本次经过初步调研，在区财政局的指导下根据有关规定和评价对象的特点，拟定详细的绩效评价工作方案。主要内容包括：评价依据、评价工作计划，拟采用的绩效评价指标、评价标准、评价方法及有关工作条件。</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3）下达绩效评价通知书。通知书由区财政局向朝天门街道下达。基本内容包括评价目的、评价范围、评价方式、评价时间和有关要求等事项，并附绩效评价指标、绩效（评价）报告参考格式等内容。</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2.组织实施</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1）审核资料。在</w:t>
      </w:r>
      <w:r>
        <w:rPr>
          <w:rFonts w:hint="eastAsia" w:ascii="仿宋" w:hAnsi="仿宋" w:eastAsia="仿宋" w:cs="仿宋"/>
          <w:color w:val="000000" w:themeColor="text1"/>
          <w:sz w:val="28"/>
          <w:szCs w:val="28"/>
          <w14:textFill>
            <w14:solidFill>
              <w14:schemeClr w14:val="tx1"/>
            </w14:solidFill>
          </w14:textFill>
        </w:rPr>
        <w:t>朝天门街道</w:t>
      </w:r>
      <w:r>
        <w:rPr>
          <w:rFonts w:ascii="仿宋" w:hAnsi="仿宋" w:eastAsia="仿宋" w:cs="仿宋"/>
          <w:color w:val="000000" w:themeColor="text1"/>
          <w:sz w:val="28"/>
          <w:szCs w:val="28"/>
          <w14:textFill>
            <w14:solidFill>
              <w14:schemeClr w14:val="tx1"/>
            </w14:solidFill>
          </w14:textFill>
        </w:rPr>
        <w:t>上报基础资料的基础上，我们组织人员对资料进行审核，并经人大代表、专家等专家团队进行指导。</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2）对项目进行现场检查，并对资金的支付情况进行检查。</w:t>
      </w:r>
    </w:p>
    <w:p>
      <w:pPr>
        <w:adjustRightInd w:val="0"/>
        <w:snapToGrid w:val="0"/>
        <w:spacing w:line="360" w:lineRule="auto"/>
        <w:ind w:firstLine="560"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3）深入项目单位及工作现场，通过听取情况介绍、实地考察、询问、对照查证复核等方式，对项目有关情况和基础材料进行核实。</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3.分析评价</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对评价对象的绩效情况进行全面的定量、定性分析和综合评价，形成绩效评价结论。</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三、指标评价分析及结论</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（一）项目产出情况分析</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涉及项目产出情况的指标主要为：实际完成量、完成及时率、质量达标度。具体情况如下：</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1）实际完成量标准分值为17分。朝天门街道实施的老旧小区改造提升项目：朝千路、棉花街、</w:t>
      </w:r>
      <w:r>
        <w:rPr>
          <w:rFonts w:hint="eastAsia" w:ascii="仿宋" w:hAnsi="仿宋" w:eastAsia="仿宋" w:cs="仿宋"/>
          <w:color w:val="000000" w:themeColor="text1"/>
          <w:sz w:val="28"/>
          <w:szCs w:val="28"/>
          <w14:textFill>
            <w14:solidFill>
              <w14:schemeClr w14:val="tx1"/>
            </w14:solidFill>
          </w14:textFill>
        </w:rPr>
        <w:t>沧白路；东升楼子项目已验收，</w:t>
      </w:r>
      <w:r>
        <w:rPr>
          <w:rFonts w:hint="eastAsia" w:ascii="仿宋" w:hAnsi="仿宋" w:eastAsia="仿宋" w:cs="仿宋"/>
          <w:color w:val="000000" w:themeColor="text1"/>
          <w:sz w:val="28"/>
          <w:szCs w:val="28"/>
          <w:lang w:eastAsia="zh-CN"/>
          <w14:textFill>
            <w14:solidFill>
              <w14:schemeClr w14:val="tx1"/>
            </w14:solidFill>
          </w14:textFill>
        </w:rPr>
        <w:t>截至</w:t>
      </w:r>
      <w:r>
        <w:rPr>
          <w:rFonts w:hint="eastAsia" w:ascii="仿宋" w:hAnsi="仿宋" w:eastAsia="仿宋" w:cs="仿宋"/>
          <w:color w:val="000000" w:themeColor="text1"/>
          <w:sz w:val="28"/>
          <w:szCs w:val="28"/>
          <w14:textFill>
            <w14:solidFill>
              <w14:schemeClr w14:val="tx1"/>
            </w14:solidFill>
          </w14:textFill>
        </w:rPr>
        <w:t>审核报告日，未办理竣工结算；白象居、解放东路子项目在实施过程中。参照区住建委的</w:t>
      </w:r>
      <w:r>
        <w:rPr>
          <w:rFonts w:ascii="仿宋" w:hAnsi="仿宋" w:eastAsia="仿宋" w:cs="仿宋"/>
          <w:color w:val="000000" w:themeColor="text1"/>
          <w:sz w:val="28"/>
          <w:szCs w:val="28"/>
          <w14:textFill>
            <w14:solidFill>
              <w14:schemeClr w14:val="tx1"/>
            </w14:solidFill>
          </w14:textFill>
        </w:rPr>
        <w:t>52条改造提升清单，以及“消隐患、补功能、提环境、留记忆、强管理”五大原则、4个子项目概算批复的主要建设内容、现场勘察情况综合设计产出指标。</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实际完成量设置了</w:t>
      </w:r>
      <w:r>
        <w:rPr>
          <w:rFonts w:ascii="仿宋" w:hAnsi="仿宋" w:eastAsia="仿宋" w:cs="仿宋"/>
          <w:color w:val="000000" w:themeColor="text1"/>
          <w:sz w:val="28"/>
          <w:szCs w:val="28"/>
          <w14:textFill>
            <w14:solidFill>
              <w14:schemeClr w14:val="tx1"/>
            </w14:solidFill>
          </w14:textFill>
        </w:rPr>
        <w:t>7个三级指标，13个具体的评价标准，明细如下：</w:t>
      </w:r>
    </w:p>
    <w:tbl>
      <w:tblPr>
        <w:tblStyle w:val="10"/>
        <w:tblW w:w="5000" w:type="pct"/>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304"/>
        <w:gridCol w:w="633"/>
        <w:gridCol w:w="517"/>
        <w:gridCol w:w="464"/>
        <w:gridCol w:w="666"/>
        <w:gridCol w:w="4008"/>
        <w:gridCol w:w="936"/>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258" w:hRule="atLeast"/>
          <w:tblHeader/>
        </w:trPr>
        <w:tc>
          <w:tcPr>
            <w:tcW w:w="765"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明细指标</w:t>
            </w:r>
          </w:p>
        </w:tc>
        <w:tc>
          <w:tcPr>
            <w:tcW w:w="371"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性质</w:t>
            </w:r>
          </w:p>
        </w:tc>
        <w:tc>
          <w:tcPr>
            <w:tcW w:w="303"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指标值</w:t>
            </w:r>
          </w:p>
        </w:tc>
        <w:tc>
          <w:tcPr>
            <w:tcW w:w="27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计量</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单位</w:t>
            </w:r>
          </w:p>
        </w:tc>
        <w:tc>
          <w:tcPr>
            <w:tcW w:w="39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权重</w:t>
            </w:r>
          </w:p>
        </w:tc>
        <w:tc>
          <w:tcPr>
            <w:tcW w:w="23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评价标准</w:t>
            </w:r>
          </w:p>
        </w:tc>
        <w:tc>
          <w:tcPr>
            <w:tcW w:w="5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2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拆改可燃、易燃雨棚整改量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653</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个</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1.00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拆改可燃、易燃雨棚以雨棚整改量为评价标准。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1、朝千路、棉花街、沧白路雨棚整改数量≥40个；</w:t>
            </w:r>
            <w:r>
              <w:rPr>
                <w:rFonts w:ascii="仿宋" w:hAnsi="仿宋" w:eastAsia="仿宋" w:cs="仿宋"/>
                <w:sz w:val="20"/>
                <w:szCs w:val="20"/>
                <w:lang w:bidi="ar"/>
              </w:rPr>
              <w:br w:type="textWrapping"/>
            </w:r>
            <w:r>
              <w:rPr>
                <w:rFonts w:ascii="仿宋" w:hAnsi="仿宋" w:eastAsia="仿宋" w:cs="仿宋"/>
                <w:sz w:val="20"/>
                <w:szCs w:val="20"/>
                <w:lang w:bidi="ar"/>
              </w:rPr>
              <w:t>2、白象居雨棚整改数量≥576个；</w:t>
            </w:r>
            <w:r>
              <w:rPr>
                <w:rFonts w:ascii="仿宋" w:hAnsi="仿宋" w:eastAsia="仿宋" w:cs="仿宋"/>
                <w:sz w:val="20"/>
                <w:szCs w:val="20"/>
                <w:lang w:bidi="ar"/>
              </w:rPr>
              <w:br w:type="textWrapping"/>
            </w:r>
            <w:r>
              <w:rPr>
                <w:rFonts w:ascii="仿宋" w:hAnsi="仿宋" w:eastAsia="仿宋" w:cs="仿宋"/>
                <w:sz w:val="20"/>
                <w:szCs w:val="20"/>
                <w:lang w:bidi="ar"/>
              </w:rPr>
              <w:t>3、东升楼雨棚整改数量≥37个；</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1例，扣0.2分，扣完为止。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1.00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36"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修复公共楼梯整改量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22</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单元</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2.50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修复公共楼梯以楼道栏杆整改数量、墙面整改数量为评价标准。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1、楼道栏杆整改数量：朝千路、棉花街、沧白路完成数量：11单元</w:t>
            </w:r>
            <w:r>
              <w:rPr>
                <w:rFonts w:hint="eastAsia" w:ascii="仿宋" w:hAnsi="仿宋" w:eastAsia="仿宋" w:cs="仿宋"/>
                <w:sz w:val="20"/>
                <w:szCs w:val="20"/>
                <w:lang w:bidi="ar"/>
              </w:rPr>
              <w:t>，东升楼完成数量：</w:t>
            </w:r>
            <w:r>
              <w:rPr>
                <w:rFonts w:ascii="仿宋" w:hAnsi="仿宋" w:eastAsia="仿宋" w:cs="仿宋"/>
                <w:sz w:val="20"/>
                <w:szCs w:val="20"/>
                <w:lang w:bidi="ar"/>
              </w:rPr>
              <w:t>2</w:t>
            </w:r>
            <w:r>
              <w:rPr>
                <w:rFonts w:hint="eastAsia" w:ascii="仿宋" w:hAnsi="仿宋" w:eastAsia="仿宋" w:cs="仿宋"/>
                <w:sz w:val="20"/>
                <w:szCs w:val="20"/>
                <w:lang w:bidi="ar"/>
              </w:rPr>
              <w:t>单元，白象居完成数量：</w:t>
            </w:r>
            <w:r>
              <w:rPr>
                <w:rFonts w:ascii="仿宋" w:hAnsi="仿宋" w:eastAsia="仿宋" w:cs="仿宋"/>
                <w:sz w:val="20"/>
                <w:szCs w:val="20"/>
                <w:lang w:bidi="ar"/>
              </w:rPr>
              <w:t>6单元，解放东路完成数量：3单元；</w:t>
            </w:r>
            <w:r>
              <w:rPr>
                <w:rFonts w:ascii="仿宋" w:hAnsi="仿宋" w:eastAsia="仿宋" w:cs="仿宋"/>
                <w:sz w:val="20"/>
                <w:szCs w:val="20"/>
                <w:lang w:bidi="ar"/>
              </w:rPr>
              <w:br w:type="textWrapping"/>
            </w:r>
            <w:r>
              <w:rPr>
                <w:rFonts w:ascii="仿宋" w:hAnsi="仿宋" w:eastAsia="仿宋" w:cs="仿宋"/>
                <w:sz w:val="20"/>
                <w:szCs w:val="20"/>
                <w:lang w:bidi="ar"/>
              </w:rPr>
              <w:t>2、墙面整改数量：朝千路、棉花街、沧白路完成数量：11单元，东升楼完成数量：2</w:t>
            </w:r>
            <w:r>
              <w:rPr>
                <w:rFonts w:hint="eastAsia" w:ascii="仿宋" w:hAnsi="仿宋" w:eastAsia="仿宋" w:cs="仿宋"/>
                <w:sz w:val="20"/>
                <w:szCs w:val="20"/>
                <w:lang w:bidi="ar"/>
              </w:rPr>
              <w:t>单元，白象居完成数量：</w:t>
            </w:r>
            <w:r>
              <w:rPr>
                <w:rFonts w:ascii="仿宋" w:hAnsi="仿宋" w:eastAsia="仿宋" w:cs="仿宋"/>
                <w:sz w:val="20"/>
                <w:szCs w:val="20"/>
                <w:lang w:bidi="ar"/>
              </w:rPr>
              <w:t>6单元</w:t>
            </w:r>
            <w:r>
              <w:rPr>
                <w:rFonts w:hint="eastAsia" w:ascii="仿宋" w:hAnsi="仿宋" w:eastAsia="仿宋" w:cs="仿宋"/>
                <w:sz w:val="20"/>
                <w:szCs w:val="20"/>
                <w:lang w:bidi="ar"/>
              </w:rPr>
              <w:t>，解放东路完成数量：</w:t>
            </w:r>
            <w:r>
              <w:rPr>
                <w:rFonts w:ascii="仿宋" w:hAnsi="仿宋" w:eastAsia="仿宋" w:cs="仿宋"/>
                <w:sz w:val="20"/>
                <w:szCs w:val="20"/>
                <w:lang w:bidi="ar"/>
              </w:rPr>
              <w:t>3单元</w:t>
            </w:r>
            <w:r>
              <w:rPr>
                <w:rFonts w:hint="eastAsia" w:ascii="仿宋" w:hAnsi="仿宋" w:eastAsia="仿宋" w:cs="仿宋"/>
                <w:sz w:val="20"/>
                <w:szCs w:val="20"/>
                <w:lang w:bidi="ar"/>
              </w:rPr>
              <w:t>；</w:t>
            </w:r>
            <w:r>
              <w:rPr>
                <w:rFonts w:ascii="仿宋" w:hAnsi="仿宋" w:eastAsia="仿宋" w:cs="仿宋"/>
                <w:sz w:val="20"/>
                <w:szCs w:val="20"/>
                <w:lang w:bidi="ar"/>
              </w:rPr>
              <w:br w:type="textWrapping"/>
            </w:r>
            <w:r>
              <w:rPr>
                <w:rFonts w:hint="eastAsia" w:ascii="仿宋" w:hAnsi="仿宋" w:eastAsia="仿宋" w:cs="仿宋"/>
                <w:sz w:val="20"/>
                <w:szCs w:val="20"/>
                <w:lang w:bidi="ar"/>
              </w:rPr>
              <w:t>发现一项未整治数量</w:t>
            </w:r>
            <w:r>
              <w:rPr>
                <w:rFonts w:ascii="仿宋" w:hAnsi="仿宋" w:eastAsia="仿宋" w:cs="仿宋"/>
                <w:sz w:val="20"/>
                <w:szCs w:val="20"/>
                <w:lang w:bidi="ar"/>
              </w:rPr>
              <w:t>1例，扣0.3分，扣完为止。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2.50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502"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化粪池整改量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17</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个</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化粪池整治以化粪池整改数量为评价标准。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1、朝千路、棉花街、沧白路化粪池整改数量：10个；</w:t>
            </w:r>
            <w:r>
              <w:rPr>
                <w:rFonts w:ascii="仿宋" w:hAnsi="仿宋" w:eastAsia="仿宋" w:cs="仿宋"/>
                <w:sz w:val="20"/>
                <w:szCs w:val="20"/>
                <w:lang w:bidi="ar"/>
              </w:rPr>
              <w:br w:type="textWrapping"/>
            </w:r>
            <w:r>
              <w:rPr>
                <w:rFonts w:ascii="仿宋" w:hAnsi="仿宋" w:eastAsia="仿宋" w:cs="仿宋"/>
                <w:sz w:val="20"/>
                <w:szCs w:val="20"/>
                <w:lang w:bidi="ar"/>
              </w:rPr>
              <w:t>2、解放东路化粪池整改数量：4个；</w:t>
            </w:r>
            <w:r>
              <w:rPr>
                <w:rFonts w:ascii="仿宋" w:hAnsi="仿宋" w:eastAsia="仿宋" w:cs="仿宋"/>
                <w:sz w:val="20"/>
                <w:szCs w:val="20"/>
                <w:lang w:bidi="ar"/>
              </w:rPr>
              <w:br w:type="textWrapping"/>
            </w:r>
            <w:r>
              <w:rPr>
                <w:rFonts w:ascii="仿宋" w:hAnsi="仿宋" w:eastAsia="仿宋" w:cs="仿宋"/>
                <w:sz w:val="20"/>
                <w:szCs w:val="20"/>
                <w:lang w:bidi="ar"/>
              </w:rPr>
              <w:t>3、白象居化粪池整改数量：1个；</w:t>
            </w:r>
            <w:r>
              <w:rPr>
                <w:rFonts w:ascii="仿宋" w:hAnsi="仿宋" w:eastAsia="仿宋" w:cs="仿宋"/>
                <w:sz w:val="20"/>
                <w:szCs w:val="20"/>
                <w:lang w:bidi="ar"/>
              </w:rPr>
              <w:br w:type="textWrapping"/>
            </w:r>
            <w:r>
              <w:rPr>
                <w:rFonts w:ascii="仿宋" w:hAnsi="仿宋" w:eastAsia="仿宋" w:cs="仿宋"/>
                <w:sz w:val="20"/>
                <w:szCs w:val="20"/>
                <w:lang w:bidi="ar"/>
              </w:rPr>
              <w:t>4、东升楼化粪池整改数量：2个；</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1例，扣0.1分，扣完为止。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404"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color w:val="000000"/>
                <w:sz w:val="18"/>
                <w:szCs w:val="18"/>
              </w:rPr>
              <w:t>明细指标</w:t>
            </w:r>
          </w:p>
        </w:tc>
        <w:tc>
          <w:tcPr>
            <w:tcW w:w="371"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sz w:val="20"/>
                <w:szCs w:val="20"/>
              </w:rPr>
            </w:pPr>
            <w:r>
              <w:rPr>
                <w:rFonts w:hint="eastAsia" w:ascii="仿宋" w:hAnsi="仿宋" w:eastAsia="仿宋" w:cs="仿宋"/>
                <w:color w:val="000000"/>
                <w:sz w:val="18"/>
                <w:szCs w:val="18"/>
              </w:rPr>
              <w:t>性质</w:t>
            </w:r>
          </w:p>
        </w:tc>
        <w:tc>
          <w:tcPr>
            <w:tcW w:w="303" w:type="pct"/>
            <w:shd w:val="clear" w:color="auto" w:fill="auto"/>
            <w:vAlign w:val="center"/>
          </w:tcPr>
          <w:p>
            <w:pPr>
              <w:jc w:val="center"/>
              <w:rPr>
                <w:rFonts w:ascii="仿宋" w:hAnsi="仿宋" w:eastAsia="仿宋" w:cs="仿宋"/>
                <w:sz w:val="20"/>
                <w:szCs w:val="20"/>
              </w:rPr>
            </w:pPr>
            <w:r>
              <w:rPr>
                <w:rFonts w:hint="eastAsia" w:ascii="仿宋" w:hAnsi="仿宋" w:eastAsia="仿宋" w:cs="仿宋"/>
                <w:color w:val="000000"/>
                <w:sz w:val="18"/>
                <w:szCs w:val="18"/>
              </w:rPr>
              <w:t>指标值</w:t>
            </w:r>
          </w:p>
        </w:tc>
        <w:tc>
          <w:tcPr>
            <w:tcW w:w="27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计量</w:t>
            </w:r>
          </w:p>
          <w:p>
            <w:pPr>
              <w:jc w:val="center"/>
              <w:rPr>
                <w:rFonts w:ascii="仿宋" w:hAnsi="仿宋" w:eastAsia="仿宋" w:cs="仿宋"/>
                <w:sz w:val="20"/>
                <w:szCs w:val="20"/>
              </w:rPr>
            </w:pPr>
            <w:r>
              <w:rPr>
                <w:rFonts w:hint="eastAsia" w:ascii="仿宋" w:hAnsi="仿宋" w:eastAsia="仿宋" w:cs="仿宋"/>
                <w:color w:val="000000"/>
                <w:sz w:val="18"/>
                <w:szCs w:val="18"/>
              </w:rPr>
              <w:t>单位</w:t>
            </w:r>
          </w:p>
        </w:tc>
        <w:tc>
          <w:tcPr>
            <w:tcW w:w="39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华文仿宋" w:hAnsi="华文仿宋" w:eastAsia="华文仿宋"/>
                <w:sz w:val="20"/>
                <w:szCs w:val="20"/>
              </w:rPr>
            </w:pPr>
            <w:r>
              <w:rPr>
                <w:rFonts w:hint="eastAsia" w:ascii="仿宋" w:hAnsi="仿宋" w:eastAsia="仿宋" w:cs="仿宋"/>
                <w:color w:val="000000"/>
                <w:sz w:val="18"/>
                <w:szCs w:val="18"/>
              </w:rPr>
              <w:t>权重</w:t>
            </w:r>
          </w:p>
        </w:tc>
        <w:tc>
          <w:tcPr>
            <w:tcW w:w="2350" w:type="pct"/>
            <w:shd w:val="clear" w:color="auto" w:fill="auto"/>
            <w:vAlign w:val="center"/>
          </w:tcPr>
          <w:p>
            <w:pPr>
              <w:jc w:val="center"/>
              <w:rPr>
                <w:rFonts w:ascii="仿宋" w:hAnsi="仿宋" w:eastAsia="仿宋" w:cs="仿宋"/>
                <w:sz w:val="20"/>
                <w:szCs w:val="20"/>
                <w:lang w:bidi="ar"/>
              </w:rPr>
            </w:pPr>
            <w:r>
              <w:rPr>
                <w:rFonts w:hint="eastAsia" w:ascii="仿宋" w:hAnsi="仿宋" w:eastAsia="仿宋" w:cs="仿宋"/>
                <w:color w:val="000000"/>
                <w:sz w:val="18"/>
                <w:szCs w:val="18"/>
              </w:rPr>
              <w:t>评价标准</w:t>
            </w:r>
          </w:p>
        </w:tc>
        <w:tc>
          <w:tcPr>
            <w:tcW w:w="5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w:t>
            </w:r>
          </w:p>
          <w:p>
            <w:pPr>
              <w:jc w:val="center"/>
              <w:rPr>
                <w:rFonts w:ascii="华文仿宋" w:hAnsi="华文仿宋" w:eastAsia="华文仿宋"/>
                <w:sz w:val="20"/>
                <w:szCs w:val="20"/>
              </w:rPr>
            </w:pPr>
            <w:r>
              <w:rPr>
                <w:rFonts w:hint="eastAsia" w:ascii="仿宋" w:hAnsi="仿宋" w:eastAsia="仿宋" w:cs="仿宋"/>
                <w:color w:val="000000"/>
                <w:sz w:val="18"/>
                <w:szCs w:val="18"/>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强电线路整改量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7</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处</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强电线路改造以强电线路整改数量为评价标准。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1、朝千路、棉花街、沧白路强电线路整改数量：7处；</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1例，扣0.1分，扣完为止。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危旧房整改量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1</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栋</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危旧房改造以东升楼结构加固整改数量为评价标准。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1、东升楼结构加固整改数量：1栋；</w:t>
            </w:r>
            <w:r>
              <w:rPr>
                <w:rFonts w:ascii="仿宋" w:hAnsi="仿宋" w:eastAsia="仿宋" w:cs="仿宋"/>
                <w:sz w:val="20"/>
                <w:szCs w:val="20"/>
                <w:lang w:bidi="ar"/>
              </w:rPr>
              <w:br w:type="textWrapping"/>
            </w:r>
            <w:r>
              <w:rPr>
                <w:rFonts w:hint="eastAsia" w:ascii="仿宋" w:hAnsi="仿宋" w:eastAsia="仿宋" w:cs="仿宋"/>
                <w:sz w:val="20"/>
                <w:szCs w:val="20"/>
                <w:lang w:bidi="ar"/>
              </w:rPr>
              <w:t>整改的满分，未整改不得分。</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公共烟道增设量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11</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单元</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3.00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公共烟道增设以烟道整改数量为评价标准。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1、朝千路、棉花街、沧白路烟道整改数量：11单元；</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1例，扣0.4分，扣完为止。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3.00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道路平整整改量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8</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处</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2.00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道路平整以人行道整改数量为评价标准。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1、朝千路、棉花街、沧白路人行道整改数量：5处；</w:t>
            </w:r>
            <w:r>
              <w:rPr>
                <w:rFonts w:ascii="仿宋" w:hAnsi="仿宋" w:eastAsia="仿宋" w:cs="仿宋"/>
                <w:sz w:val="20"/>
                <w:szCs w:val="20"/>
                <w:lang w:bidi="ar"/>
              </w:rPr>
              <w:br w:type="textWrapping"/>
            </w:r>
            <w:r>
              <w:rPr>
                <w:rFonts w:ascii="仿宋" w:hAnsi="仿宋" w:eastAsia="仿宋" w:cs="仿宋"/>
                <w:sz w:val="20"/>
                <w:szCs w:val="20"/>
                <w:lang w:bidi="ar"/>
              </w:rPr>
              <w:t>2、东升楼人行道整改数量：2处；</w:t>
            </w:r>
            <w:r>
              <w:rPr>
                <w:rFonts w:ascii="仿宋" w:hAnsi="仿宋" w:eastAsia="仿宋" w:cs="仿宋"/>
                <w:sz w:val="20"/>
                <w:szCs w:val="20"/>
                <w:lang w:bidi="ar"/>
              </w:rPr>
              <w:br w:type="textWrapping"/>
            </w:r>
            <w:r>
              <w:rPr>
                <w:rFonts w:ascii="仿宋" w:hAnsi="仿宋" w:eastAsia="仿宋" w:cs="仿宋"/>
                <w:sz w:val="20"/>
                <w:szCs w:val="20"/>
                <w:lang w:bidi="ar"/>
              </w:rPr>
              <w:t>3、白象居人行道整改数量：1处；</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1例，扣0.3分，扣完为止。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2.00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502"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公共照明整改量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22</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单元</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公共照明增设以照明系统整改数量为评价标准。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1、照明系统整改数量：朝千路、棉花街、沧白路完成数量：11单元，东升楼完成数量：2</w:t>
            </w:r>
            <w:r>
              <w:rPr>
                <w:rFonts w:hint="eastAsia" w:ascii="仿宋" w:hAnsi="仿宋" w:eastAsia="仿宋" w:cs="仿宋"/>
                <w:sz w:val="20"/>
                <w:szCs w:val="20"/>
                <w:lang w:bidi="ar"/>
              </w:rPr>
              <w:t>单元，白象居完成数量：</w:t>
            </w:r>
            <w:r>
              <w:rPr>
                <w:rFonts w:ascii="仿宋" w:hAnsi="仿宋" w:eastAsia="仿宋" w:cs="仿宋"/>
                <w:sz w:val="20"/>
                <w:szCs w:val="20"/>
                <w:lang w:bidi="ar"/>
              </w:rPr>
              <w:t>6单元</w:t>
            </w:r>
            <w:r>
              <w:rPr>
                <w:rFonts w:hint="eastAsia" w:ascii="仿宋" w:hAnsi="仿宋" w:eastAsia="仿宋" w:cs="仿宋"/>
                <w:sz w:val="20"/>
                <w:szCs w:val="20"/>
                <w:lang w:bidi="ar"/>
              </w:rPr>
              <w:t>，解放东路完成数量：</w:t>
            </w:r>
            <w:r>
              <w:rPr>
                <w:rFonts w:ascii="仿宋" w:hAnsi="仿宋" w:eastAsia="仿宋" w:cs="仿宋"/>
                <w:sz w:val="20"/>
                <w:szCs w:val="20"/>
                <w:lang w:bidi="ar"/>
              </w:rPr>
              <w:t>3单元</w:t>
            </w:r>
            <w:r>
              <w:rPr>
                <w:rFonts w:hint="eastAsia" w:ascii="仿宋" w:hAnsi="仿宋" w:eastAsia="仿宋" w:cs="仿宋"/>
                <w:sz w:val="20"/>
                <w:szCs w:val="20"/>
                <w:lang w:bidi="ar"/>
              </w:rPr>
              <w:t>；</w:t>
            </w:r>
            <w:r>
              <w:rPr>
                <w:rFonts w:ascii="仿宋" w:hAnsi="仿宋" w:eastAsia="仿宋" w:cs="仿宋"/>
                <w:sz w:val="20"/>
                <w:szCs w:val="20"/>
                <w:lang w:bidi="ar"/>
              </w:rPr>
              <w:br w:type="textWrapping"/>
            </w:r>
            <w:r>
              <w:rPr>
                <w:rFonts w:hint="eastAsia" w:ascii="仿宋" w:hAnsi="仿宋" w:eastAsia="仿宋" w:cs="仿宋"/>
                <w:sz w:val="20"/>
                <w:szCs w:val="20"/>
                <w:lang w:bidi="ar"/>
              </w:rPr>
              <w:t>发现一项未整治数量</w:t>
            </w:r>
            <w:r>
              <w:rPr>
                <w:rFonts w:ascii="仿宋" w:hAnsi="仿宋" w:eastAsia="仿宋" w:cs="仿宋"/>
                <w:sz w:val="20"/>
                <w:szCs w:val="20"/>
                <w:lang w:bidi="ar"/>
              </w:rPr>
              <w:t>1例，扣0.1分，扣完为止。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修缮破损围墙整改量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13</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面</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2.50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优化建筑立面形态以整改外墙数量、屋顶防水整改栋数为评价标准。</w:t>
            </w:r>
            <w:r>
              <w:rPr>
                <w:rFonts w:ascii="仿宋" w:hAnsi="仿宋" w:eastAsia="仿宋" w:cs="仿宋"/>
                <w:sz w:val="20"/>
                <w:szCs w:val="20"/>
                <w:lang w:bidi="ar"/>
              </w:rPr>
              <w:br w:type="textWrapping"/>
            </w:r>
            <w:r>
              <w:rPr>
                <w:rFonts w:ascii="仿宋" w:hAnsi="仿宋" w:eastAsia="仿宋" w:cs="仿宋"/>
                <w:sz w:val="20"/>
                <w:szCs w:val="20"/>
                <w:lang w:bidi="ar"/>
              </w:rPr>
              <w:t>1、白象居整改外墙数量：6面；</w:t>
            </w:r>
            <w:r>
              <w:rPr>
                <w:rFonts w:ascii="仿宋" w:hAnsi="仿宋" w:eastAsia="仿宋" w:cs="仿宋"/>
                <w:sz w:val="20"/>
                <w:szCs w:val="20"/>
                <w:lang w:bidi="ar"/>
              </w:rPr>
              <w:br w:type="textWrapping"/>
            </w:r>
            <w:r>
              <w:rPr>
                <w:rFonts w:ascii="仿宋" w:hAnsi="仿宋" w:eastAsia="仿宋" w:cs="仿宋"/>
                <w:sz w:val="20"/>
                <w:szCs w:val="20"/>
                <w:lang w:bidi="ar"/>
              </w:rPr>
              <w:t>2、东升楼整改外墙数量：7面；</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1例，扣0.3分，扣完为止。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2.50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146"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修缮破损屋顶整改量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12</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栋</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2.50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优化建筑立面形态以整改外墙数量、屋顶防水整改栋数为评价标准。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1、朝千路、棉花街、沧白路屋顶防水整改栋数：11栋；</w:t>
            </w:r>
            <w:r>
              <w:rPr>
                <w:rFonts w:ascii="仿宋" w:hAnsi="仿宋" w:eastAsia="仿宋" w:cs="仿宋"/>
                <w:sz w:val="20"/>
                <w:szCs w:val="20"/>
                <w:lang w:bidi="ar"/>
              </w:rPr>
              <w:br w:type="textWrapping"/>
            </w:r>
            <w:r>
              <w:rPr>
                <w:rFonts w:ascii="仿宋" w:hAnsi="仿宋" w:eastAsia="仿宋" w:cs="仿宋"/>
                <w:sz w:val="20"/>
                <w:szCs w:val="20"/>
                <w:lang w:bidi="ar"/>
              </w:rPr>
              <w:t>2、东升楼屋顶防水整改栋数：1栋；</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1例，扣0.3分，扣完为止。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2.20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688"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color w:val="000000"/>
                <w:sz w:val="18"/>
                <w:szCs w:val="18"/>
              </w:rPr>
              <w:t>明细指标</w:t>
            </w:r>
          </w:p>
        </w:tc>
        <w:tc>
          <w:tcPr>
            <w:tcW w:w="371"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sz w:val="20"/>
                <w:szCs w:val="20"/>
              </w:rPr>
            </w:pPr>
            <w:r>
              <w:rPr>
                <w:rFonts w:hint="eastAsia" w:ascii="仿宋" w:hAnsi="仿宋" w:eastAsia="仿宋" w:cs="仿宋"/>
                <w:color w:val="000000"/>
                <w:sz w:val="18"/>
                <w:szCs w:val="18"/>
              </w:rPr>
              <w:t>性质</w:t>
            </w:r>
          </w:p>
        </w:tc>
        <w:tc>
          <w:tcPr>
            <w:tcW w:w="303" w:type="pct"/>
            <w:shd w:val="clear" w:color="auto" w:fill="auto"/>
            <w:vAlign w:val="center"/>
          </w:tcPr>
          <w:p>
            <w:pPr>
              <w:jc w:val="center"/>
              <w:rPr>
                <w:rFonts w:ascii="仿宋" w:hAnsi="仿宋" w:eastAsia="仿宋" w:cs="仿宋"/>
                <w:sz w:val="20"/>
                <w:szCs w:val="20"/>
              </w:rPr>
            </w:pPr>
            <w:r>
              <w:rPr>
                <w:rFonts w:hint="eastAsia" w:ascii="仿宋" w:hAnsi="仿宋" w:eastAsia="仿宋" w:cs="仿宋"/>
                <w:color w:val="000000"/>
                <w:sz w:val="18"/>
                <w:szCs w:val="18"/>
              </w:rPr>
              <w:t>指标值</w:t>
            </w:r>
          </w:p>
        </w:tc>
        <w:tc>
          <w:tcPr>
            <w:tcW w:w="27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计量</w:t>
            </w:r>
          </w:p>
          <w:p>
            <w:pPr>
              <w:jc w:val="center"/>
              <w:rPr>
                <w:rFonts w:ascii="仿宋" w:hAnsi="仿宋" w:eastAsia="仿宋" w:cs="仿宋"/>
                <w:sz w:val="20"/>
                <w:szCs w:val="20"/>
              </w:rPr>
            </w:pPr>
            <w:r>
              <w:rPr>
                <w:rFonts w:hint="eastAsia" w:ascii="仿宋" w:hAnsi="仿宋" w:eastAsia="仿宋" w:cs="仿宋"/>
                <w:color w:val="000000"/>
                <w:sz w:val="18"/>
                <w:szCs w:val="18"/>
              </w:rPr>
              <w:t>单位</w:t>
            </w:r>
          </w:p>
        </w:tc>
        <w:tc>
          <w:tcPr>
            <w:tcW w:w="39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华文仿宋" w:hAnsi="华文仿宋" w:eastAsia="华文仿宋"/>
                <w:sz w:val="20"/>
                <w:szCs w:val="20"/>
              </w:rPr>
            </w:pPr>
            <w:r>
              <w:rPr>
                <w:rFonts w:hint="eastAsia" w:ascii="仿宋" w:hAnsi="仿宋" w:eastAsia="仿宋" w:cs="仿宋"/>
                <w:color w:val="000000"/>
                <w:sz w:val="18"/>
                <w:szCs w:val="18"/>
              </w:rPr>
              <w:t>权重</w:t>
            </w:r>
          </w:p>
        </w:tc>
        <w:tc>
          <w:tcPr>
            <w:tcW w:w="2350" w:type="pct"/>
            <w:shd w:val="clear" w:color="auto" w:fill="auto"/>
            <w:vAlign w:val="center"/>
          </w:tcPr>
          <w:p>
            <w:pPr>
              <w:jc w:val="center"/>
              <w:rPr>
                <w:rFonts w:ascii="仿宋" w:hAnsi="仿宋" w:eastAsia="仿宋" w:cs="仿宋"/>
                <w:sz w:val="20"/>
                <w:szCs w:val="20"/>
                <w:lang w:bidi="ar"/>
              </w:rPr>
            </w:pPr>
            <w:r>
              <w:rPr>
                <w:rFonts w:hint="eastAsia" w:ascii="仿宋" w:hAnsi="仿宋" w:eastAsia="仿宋" w:cs="仿宋"/>
                <w:color w:val="000000"/>
                <w:sz w:val="18"/>
                <w:szCs w:val="18"/>
              </w:rPr>
              <w:t>评价标准</w:t>
            </w:r>
          </w:p>
        </w:tc>
        <w:tc>
          <w:tcPr>
            <w:tcW w:w="5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w:t>
            </w:r>
          </w:p>
          <w:p>
            <w:pPr>
              <w:jc w:val="center"/>
              <w:rPr>
                <w:rFonts w:ascii="华文仿宋" w:hAnsi="华文仿宋" w:eastAsia="华文仿宋"/>
                <w:sz w:val="20"/>
                <w:szCs w:val="20"/>
              </w:rPr>
            </w:pPr>
            <w:r>
              <w:rPr>
                <w:rFonts w:hint="eastAsia" w:ascii="仿宋" w:hAnsi="仿宋" w:eastAsia="仿宋" w:cs="仿宋"/>
                <w:color w:val="000000"/>
                <w:sz w:val="18"/>
                <w:szCs w:val="18"/>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2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楼体外线缆规整量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2"/>
                <w:szCs w:val="22"/>
              </w:rPr>
            </w:pPr>
            <w:r>
              <w:rPr>
                <w:rFonts w:ascii="仿宋" w:hAnsi="仿宋" w:eastAsia="仿宋" w:cs="仿宋"/>
                <w:sz w:val="22"/>
                <w:szCs w:val="22"/>
              </w:rPr>
              <w:t>22</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单元</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楼体外线缆规整以弱电线路整改数量为评价标准。</w:t>
            </w:r>
            <w:r>
              <w:rPr>
                <w:rFonts w:ascii="仿宋" w:hAnsi="仿宋" w:eastAsia="仿宋" w:cs="仿宋"/>
                <w:sz w:val="20"/>
                <w:szCs w:val="20"/>
                <w:lang w:bidi="ar"/>
              </w:rPr>
              <w:br w:type="textWrapping"/>
            </w:r>
            <w:r>
              <w:rPr>
                <w:rFonts w:hint="eastAsia" w:ascii="仿宋" w:hAnsi="仿宋" w:eastAsia="仿宋" w:cs="仿宋"/>
                <w:sz w:val="20"/>
                <w:szCs w:val="20"/>
                <w:lang w:bidi="ar"/>
              </w:rPr>
              <w:t>朝千路、棉花街、沧白路完成数量：</w:t>
            </w:r>
            <w:r>
              <w:rPr>
                <w:rFonts w:ascii="仿宋" w:hAnsi="仿宋" w:eastAsia="仿宋" w:cs="仿宋"/>
                <w:sz w:val="20"/>
                <w:szCs w:val="20"/>
                <w:lang w:bidi="ar"/>
              </w:rPr>
              <w:t>11单元</w:t>
            </w:r>
            <w:r>
              <w:rPr>
                <w:rFonts w:hint="eastAsia" w:ascii="仿宋" w:hAnsi="仿宋" w:eastAsia="仿宋" w:cs="仿宋"/>
                <w:sz w:val="20"/>
                <w:szCs w:val="20"/>
                <w:lang w:bidi="ar"/>
              </w:rPr>
              <w:t>，东升楼完成数量：</w:t>
            </w:r>
            <w:r>
              <w:rPr>
                <w:rFonts w:ascii="仿宋" w:hAnsi="仿宋" w:eastAsia="仿宋" w:cs="仿宋"/>
                <w:sz w:val="20"/>
                <w:szCs w:val="20"/>
                <w:lang w:bidi="ar"/>
              </w:rPr>
              <w:t>2</w:t>
            </w:r>
            <w:r>
              <w:rPr>
                <w:rFonts w:hint="eastAsia" w:ascii="仿宋" w:hAnsi="仿宋" w:eastAsia="仿宋" w:cs="仿宋"/>
                <w:sz w:val="20"/>
                <w:szCs w:val="20"/>
                <w:lang w:bidi="ar"/>
              </w:rPr>
              <w:t>单元，白象居完成数量：</w:t>
            </w:r>
            <w:r>
              <w:rPr>
                <w:rFonts w:ascii="仿宋" w:hAnsi="仿宋" w:eastAsia="仿宋" w:cs="仿宋"/>
                <w:sz w:val="20"/>
                <w:szCs w:val="20"/>
                <w:lang w:bidi="ar"/>
              </w:rPr>
              <w:t>6单元，解放东路完成数量：3单元；</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1例，扣0.1分，扣完为止。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雨污管网整改量</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0"/>
                <w:szCs w:val="20"/>
              </w:rPr>
            </w:pPr>
            <w:r>
              <w:rPr>
                <w:rFonts w:ascii="仿宋" w:hAnsi="仿宋" w:eastAsia="仿宋" w:cs="仿宋"/>
                <w:sz w:val="20"/>
                <w:szCs w:val="20"/>
              </w:rPr>
              <w:t>18</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处</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雨污管网改造以雨污管网整改数量为评价标准。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1、朝千路、棉花街、沧白路雨污管网整改数量：11处；</w:t>
            </w:r>
            <w:r>
              <w:rPr>
                <w:rFonts w:ascii="仿宋" w:hAnsi="仿宋" w:eastAsia="仿宋" w:cs="仿宋"/>
                <w:sz w:val="20"/>
                <w:szCs w:val="20"/>
                <w:lang w:bidi="ar"/>
              </w:rPr>
              <w:br w:type="textWrapping"/>
            </w:r>
            <w:r>
              <w:rPr>
                <w:rFonts w:ascii="仿宋" w:hAnsi="仿宋" w:eastAsia="仿宋" w:cs="仿宋"/>
                <w:sz w:val="20"/>
                <w:szCs w:val="20"/>
                <w:lang w:bidi="ar"/>
              </w:rPr>
              <w:t>2、解放东路雨污管网整改数量：4处；</w:t>
            </w:r>
            <w:r>
              <w:rPr>
                <w:rFonts w:ascii="仿宋" w:hAnsi="仿宋" w:eastAsia="仿宋" w:cs="仿宋"/>
                <w:sz w:val="20"/>
                <w:szCs w:val="20"/>
                <w:lang w:bidi="ar"/>
              </w:rPr>
              <w:br w:type="textWrapping"/>
            </w:r>
            <w:r>
              <w:rPr>
                <w:rFonts w:ascii="仿宋" w:hAnsi="仿宋" w:eastAsia="仿宋" w:cs="仿宋"/>
                <w:sz w:val="20"/>
                <w:szCs w:val="20"/>
                <w:lang w:bidi="ar"/>
              </w:rPr>
              <w:t>3、东升楼雨污管网整改数量：3处；</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1例，扣0.1分，扣完为止。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20" w:hRule="atLeast"/>
          <w:tblHeader/>
        </w:trPr>
        <w:tc>
          <w:tcPr>
            <w:tcW w:w="765"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增设垃圾分类容器</w:t>
            </w:r>
          </w:p>
        </w:tc>
        <w:tc>
          <w:tcPr>
            <w:tcW w:w="371"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303" w:type="pct"/>
            <w:shd w:val="clear" w:color="auto" w:fill="auto"/>
            <w:vAlign w:val="center"/>
          </w:tcPr>
          <w:p>
            <w:pPr>
              <w:jc w:val="center"/>
              <w:rPr>
                <w:rFonts w:ascii="仿宋" w:hAnsi="仿宋" w:eastAsia="仿宋" w:cs="仿宋"/>
                <w:sz w:val="22"/>
                <w:szCs w:val="22"/>
              </w:rPr>
            </w:pPr>
            <w:r>
              <w:rPr>
                <w:rFonts w:ascii="仿宋" w:hAnsi="仿宋" w:eastAsia="仿宋" w:cs="仿宋"/>
                <w:sz w:val="22"/>
                <w:szCs w:val="22"/>
              </w:rPr>
              <w:t>10</w:t>
            </w:r>
          </w:p>
        </w:tc>
        <w:tc>
          <w:tcPr>
            <w:tcW w:w="272" w:type="pct"/>
            <w:shd w:val="clear" w:color="auto" w:fill="auto"/>
            <w:vAlign w:val="center"/>
          </w:tcPr>
          <w:p>
            <w:pPr>
              <w:jc w:val="center"/>
              <w:rPr>
                <w:rFonts w:ascii="仿宋" w:hAnsi="仿宋" w:eastAsia="仿宋" w:cs="仿宋"/>
                <w:sz w:val="20"/>
                <w:szCs w:val="20"/>
              </w:rPr>
            </w:pPr>
            <w:r>
              <w:rPr>
                <w:rFonts w:hint="eastAsia" w:ascii="仿宋" w:hAnsi="仿宋" w:eastAsia="仿宋" w:cs="仿宋"/>
                <w:sz w:val="20"/>
                <w:szCs w:val="20"/>
              </w:rPr>
              <w:t>单元</w:t>
            </w:r>
          </w:p>
        </w:tc>
        <w:tc>
          <w:tcPr>
            <w:tcW w:w="390" w:type="pct"/>
            <w:shd w:val="clear" w:color="auto" w:fill="auto"/>
            <w:vAlign w:val="center"/>
          </w:tcPr>
          <w:p>
            <w:pPr>
              <w:jc w:val="center"/>
              <w:rPr>
                <w:rFonts w:ascii="华文仿宋" w:hAnsi="华文仿宋" w:eastAsia="华文仿宋"/>
                <w:sz w:val="20"/>
                <w:szCs w:val="20"/>
              </w:rPr>
            </w:pPr>
            <w:r>
              <w:rPr>
                <w:rFonts w:ascii="华文仿宋" w:hAnsi="华文仿宋" w:eastAsia="华文仿宋"/>
                <w:sz w:val="20"/>
                <w:szCs w:val="20"/>
              </w:rPr>
              <w:t>0.50</w:t>
            </w:r>
          </w:p>
        </w:tc>
        <w:tc>
          <w:tcPr>
            <w:tcW w:w="2350" w:type="pct"/>
            <w:shd w:val="clear" w:color="auto" w:fill="auto"/>
          </w:tcPr>
          <w:p>
            <w:pPr>
              <w:rPr>
                <w:rFonts w:ascii="仿宋" w:hAnsi="仿宋" w:eastAsia="仿宋" w:cs="仿宋"/>
                <w:sz w:val="20"/>
                <w:szCs w:val="20"/>
              </w:rPr>
            </w:pPr>
            <w:r>
              <w:rPr>
                <w:rFonts w:hint="eastAsia" w:ascii="仿宋" w:hAnsi="仿宋" w:eastAsia="仿宋" w:cs="仿宋"/>
                <w:sz w:val="20"/>
                <w:szCs w:val="20"/>
                <w:lang w:bidi="ar"/>
              </w:rPr>
              <w:t>增设垃圾收分类容器以垃圾分类设施完善数量为评价标准。</w:t>
            </w:r>
            <w:r>
              <w:rPr>
                <w:rFonts w:ascii="仿宋" w:hAnsi="仿宋" w:eastAsia="仿宋" w:cs="仿宋"/>
                <w:sz w:val="20"/>
                <w:szCs w:val="20"/>
                <w:lang w:bidi="ar"/>
              </w:rPr>
              <w:br w:type="textWrapping"/>
            </w:r>
            <w:r>
              <w:rPr>
                <w:rFonts w:ascii="仿宋" w:hAnsi="仿宋" w:eastAsia="仿宋" w:cs="仿宋"/>
                <w:sz w:val="20"/>
                <w:szCs w:val="20"/>
                <w:lang w:bidi="ar"/>
              </w:rPr>
              <w:t>1、朝千路、棉花街、沧白路垃圾分类设施完善数量：4单元；</w:t>
            </w:r>
            <w:r>
              <w:rPr>
                <w:rFonts w:ascii="仿宋" w:hAnsi="仿宋" w:eastAsia="仿宋" w:cs="仿宋"/>
                <w:sz w:val="20"/>
                <w:szCs w:val="20"/>
                <w:lang w:bidi="ar"/>
              </w:rPr>
              <w:br w:type="textWrapping"/>
            </w:r>
            <w:r>
              <w:rPr>
                <w:rFonts w:ascii="仿宋" w:hAnsi="仿宋" w:eastAsia="仿宋" w:cs="仿宋"/>
                <w:sz w:val="20"/>
                <w:szCs w:val="20"/>
                <w:lang w:bidi="ar"/>
              </w:rPr>
              <w:t>2、白象居垃圾分类设施完善数量：6单元；</w:t>
            </w:r>
            <w:r>
              <w:rPr>
                <w:rFonts w:ascii="仿宋" w:hAnsi="仿宋" w:eastAsia="仿宋" w:cs="仿宋"/>
                <w:sz w:val="20"/>
                <w:szCs w:val="20"/>
                <w:lang w:bidi="ar"/>
              </w:rPr>
              <w:br w:type="textWrapping"/>
            </w:r>
            <w:r>
              <w:rPr>
                <w:rFonts w:hint="eastAsia" w:ascii="仿宋" w:hAnsi="仿宋" w:eastAsia="仿宋" w:cs="仿宋"/>
                <w:sz w:val="20"/>
                <w:szCs w:val="20"/>
                <w:lang w:bidi="ar"/>
              </w:rPr>
              <w:t>发现未整治数量</w:t>
            </w:r>
            <w:r>
              <w:rPr>
                <w:rFonts w:ascii="仿宋" w:hAnsi="仿宋" w:eastAsia="仿宋" w:cs="仿宋"/>
                <w:sz w:val="20"/>
                <w:szCs w:val="20"/>
                <w:lang w:bidi="ar"/>
              </w:rPr>
              <w:t>1例，扣0.1分，扣完为止。</w:t>
            </w:r>
          </w:p>
        </w:tc>
        <w:tc>
          <w:tcPr>
            <w:tcW w:w="549" w:type="pct"/>
            <w:shd w:val="clear" w:color="auto" w:fill="auto"/>
            <w:vAlign w:val="center"/>
          </w:tcPr>
          <w:p>
            <w:pPr>
              <w:jc w:val="center"/>
              <w:rPr>
                <w:rFonts w:ascii="华文仿宋" w:hAnsi="华文仿宋" w:eastAsia="华文仿宋"/>
                <w:sz w:val="20"/>
                <w:szCs w:val="20"/>
              </w:rPr>
            </w:pPr>
            <w:r>
              <w:rPr>
                <w:rFonts w:hint="eastAsia" w:ascii="华文仿宋" w:hAnsi="华文仿宋" w:eastAsia="华文仿宋"/>
                <w:sz w:val="20"/>
                <w:szCs w:val="20"/>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90" w:hRule="atLeast"/>
          <w:tblHeader/>
        </w:trPr>
        <w:tc>
          <w:tcPr>
            <w:tcW w:w="765"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合计</w:t>
            </w:r>
          </w:p>
        </w:tc>
        <w:tc>
          <w:tcPr>
            <w:tcW w:w="371"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303"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27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390"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rPr>
              <w:t>17.00</w:t>
            </w:r>
          </w:p>
        </w:tc>
        <w:tc>
          <w:tcPr>
            <w:tcW w:w="2350" w:type="pct"/>
            <w:shd w:val="clear" w:color="auto" w:fill="auto"/>
            <w:vAlign w:val="center"/>
          </w:tcPr>
          <w:p>
            <w:pPr>
              <w:jc w:val="center"/>
              <w:rPr>
                <w:rFonts w:ascii="仿宋" w:hAnsi="仿宋" w:eastAsia="仿宋" w:cs="仿宋"/>
                <w:color w:val="000000"/>
                <w:sz w:val="18"/>
                <w:szCs w:val="18"/>
              </w:rPr>
            </w:pPr>
          </w:p>
        </w:tc>
        <w:tc>
          <w:tcPr>
            <w:tcW w:w="549"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rPr>
              <w:t>16.70</w:t>
            </w:r>
          </w:p>
        </w:tc>
      </w:tr>
    </w:tbl>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消隐患方面，主要从以下方面体现：</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1）消除消防安全整改量：体现在拆改可燃、易燃雨棚整改量，主要涉及白象居1-6单元1、2号房及1、2单元3、4号房，白象居雨棚整改量576个；合计整改量为653个。</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2）消除环境安全隐患整改量：</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1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①</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修复公共楼梯整改量：主要涉及沧白路38、40、</w:t>
      </w:r>
      <w:r>
        <w:rPr>
          <w:rFonts w:ascii="仿宋" w:hAnsi="仿宋" w:eastAsia="仿宋" w:cs="仿宋"/>
          <w:color w:val="000000" w:themeColor="text1"/>
          <w:sz w:val="28"/>
          <w:szCs w:val="28"/>
          <w14:textFill>
            <w14:solidFill>
              <w14:schemeClr w14:val="tx1"/>
            </w14:solidFill>
          </w14:textFill>
        </w:rPr>
        <w:t>42号、下蔡家湾9号，朝千路51、53、55、97、8、7号等合计11单元；白象居1-6单元共6个单元；解放东路154号3个单元；东升楼5号2个单元；合计整改量为22个单元。</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2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②</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化粪池整改量：主要涉及沧白路40、42号、下蔡家湾</w:t>
      </w:r>
      <w:r>
        <w:rPr>
          <w:rFonts w:ascii="仿宋" w:hAnsi="仿宋" w:eastAsia="仿宋" w:cs="仿宋"/>
          <w:color w:val="000000" w:themeColor="text1"/>
          <w:sz w:val="28"/>
          <w:szCs w:val="28"/>
          <w14:textFill>
            <w14:solidFill>
              <w14:schemeClr w14:val="tx1"/>
            </w14:solidFill>
          </w14:textFill>
        </w:rPr>
        <w:t>9号，水巷子路口、朝千路51、53、55、97、8、7号合计10个；合计整改量为17</w:t>
      </w:r>
      <w:r>
        <w:rPr>
          <w:rFonts w:hint="eastAsia" w:ascii="仿宋" w:hAnsi="仿宋" w:eastAsia="仿宋" w:cs="仿宋"/>
          <w:color w:val="000000" w:themeColor="text1"/>
          <w:sz w:val="28"/>
          <w:szCs w:val="28"/>
          <w14:textFill>
            <w14:solidFill>
              <w14:schemeClr w14:val="tx1"/>
            </w14:solidFill>
          </w14:textFill>
        </w:rPr>
        <w:t>个。</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3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③</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强电线路整改量：主要涉及朝千路51、53、</w:t>
      </w:r>
      <w:r>
        <w:rPr>
          <w:rFonts w:ascii="仿宋" w:hAnsi="仿宋" w:eastAsia="仿宋" w:cs="仿宋"/>
          <w:color w:val="000000" w:themeColor="text1"/>
          <w:sz w:val="28"/>
          <w:szCs w:val="28"/>
          <w14:textFill>
            <w14:solidFill>
              <w14:schemeClr w14:val="tx1"/>
            </w14:solidFill>
          </w14:textFill>
        </w:rPr>
        <w:t>55号等合计4单元4处，51、53号室外强电线缆下地2处，8、7号外侧强电线路下地1处，合计整改量为7处。</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4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④</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危旧房整改量：东升楼1栋。</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补功能方面，主要从房屋住用基本功能增加量体现，公共烟道增设量：朝千路</w:t>
      </w:r>
      <w:r>
        <w:rPr>
          <w:rFonts w:ascii="仿宋" w:hAnsi="仿宋" w:eastAsia="仿宋" w:cs="仿宋"/>
          <w:color w:val="000000" w:themeColor="text1"/>
          <w:sz w:val="28"/>
          <w:szCs w:val="28"/>
          <w14:textFill>
            <w14:solidFill>
              <w14:schemeClr w14:val="tx1"/>
            </w14:solidFill>
          </w14:textFill>
        </w:rPr>
        <w:t>51、53、55、97、8、7号等合计增设量为11单元。</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提环境方面，主要从以下方面体现：</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1）小区硬件环境整改量：</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1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①</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道路平整整改量：主要涉及朝千路51号旁；53、</w:t>
      </w:r>
      <w:r>
        <w:rPr>
          <w:rFonts w:ascii="仿宋" w:hAnsi="仿宋" w:eastAsia="仿宋" w:cs="仿宋"/>
          <w:color w:val="000000" w:themeColor="text1"/>
          <w:sz w:val="28"/>
          <w:szCs w:val="28"/>
          <w14:textFill>
            <w14:solidFill>
              <w14:schemeClr w14:val="tx1"/>
            </w14:solidFill>
          </w14:textFill>
        </w:rPr>
        <w:t>55号旁；97旁；8、7号出口等5处；合计整改量为8处。</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2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②</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公共照明整改量：主要涉及苍白路40、42号、下蔡家湾</w:t>
      </w:r>
      <w:r>
        <w:rPr>
          <w:rFonts w:ascii="仿宋" w:hAnsi="仿宋" w:eastAsia="仿宋" w:cs="仿宋"/>
          <w:color w:val="000000" w:themeColor="text1"/>
          <w:sz w:val="28"/>
          <w:szCs w:val="28"/>
          <w14:textFill>
            <w14:solidFill>
              <w14:schemeClr w14:val="tx1"/>
            </w14:solidFill>
          </w14:textFill>
        </w:rPr>
        <w:t>9号、朝千路51、53、55、97、8、7号等合计11单元；白象居1-6号元6单元；东升楼5号2个单元；解放东路154号3个单元，合计整改量为22个单元。</w:t>
      </w:r>
    </w:p>
    <w:p>
      <w:pPr>
        <w:adjustRightInd w:val="0"/>
        <w:snapToGrid w:val="0"/>
        <w:spacing w:line="336" w:lineRule="auto"/>
        <w:ind w:firstLine="560" w:firstLineChars="200"/>
        <w:jc w:val="both"/>
        <w:rPr>
          <w:rFonts w:ascii="仿宋" w:hAnsi="仿宋" w:eastAsia="仿宋" w:cs="仿宋"/>
        </w:rPr>
      </w:pPr>
      <w:r>
        <w:rPr>
          <w:rFonts w:ascii="仿宋" w:hAnsi="仿宋" w:eastAsia="仿宋" w:cs="仿宋"/>
          <w:color w:val="000000" w:themeColor="text1"/>
          <w:sz w:val="28"/>
          <w:szCs w:val="28"/>
          <w14:textFill>
            <w14:solidFill>
              <w14:schemeClr w14:val="tx1"/>
            </w14:solidFill>
          </w14:textFill>
        </w:rPr>
        <w:t>2）建筑立面形态整改量：</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1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①</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修缮破损围墙整改量：主要涉及清洗白象居1-6单元面向索道外立面数：6面；合计整改量为</w:t>
      </w:r>
      <w:r>
        <w:rPr>
          <w:rFonts w:ascii="仿宋" w:hAnsi="仿宋" w:eastAsia="仿宋" w:cs="仿宋"/>
          <w:color w:val="000000" w:themeColor="text1"/>
          <w:sz w:val="28"/>
          <w:szCs w:val="28"/>
          <w14:textFill>
            <w14:solidFill>
              <w14:schemeClr w14:val="tx1"/>
            </w14:solidFill>
          </w14:textFill>
        </w:rPr>
        <w:t>13面。</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2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②</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修缮破损屋顶整改量：主要涉及沧白路38、40、</w:t>
      </w:r>
      <w:r>
        <w:rPr>
          <w:rFonts w:ascii="仿宋" w:hAnsi="仿宋" w:eastAsia="仿宋" w:cs="仿宋"/>
          <w:color w:val="000000" w:themeColor="text1"/>
          <w:sz w:val="28"/>
          <w:szCs w:val="28"/>
          <w14:textFill>
            <w14:solidFill>
              <w14:schemeClr w14:val="tx1"/>
            </w14:solidFill>
          </w14:textFill>
        </w:rPr>
        <w:t>42号，下蔡家湾9号，朝千路51、53、55、97号等合计11栋；东升楼1栋；合计整改量为12栋。</w:t>
      </w:r>
      <w:r>
        <w:rPr>
          <w:rFonts w:hint="eastAsia" w:ascii="仿宋" w:hAnsi="仿宋" w:eastAsia="仿宋" w:cs="仿宋"/>
          <w:color w:val="000000"/>
          <w:sz w:val="28"/>
          <w:szCs w:val="28"/>
        </w:rPr>
        <w:t>根据现场检查情况，存在</w:t>
      </w:r>
      <w:r>
        <w:rPr>
          <w:rFonts w:ascii="仿宋" w:hAnsi="仿宋" w:eastAsia="仿宋" w:cs="仿宋"/>
          <w:color w:val="000000"/>
          <w:sz w:val="28"/>
          <w:szCs w:val="28"/>
        </w:rPr>
        <w:t>1例屋顶防水未整治的情况，朝千路8号楼屋顶防水未整治。按标准，修缮破损屋顶整改量指标扣0.3分。</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3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③</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楼体外线缆规整量：主要涉及沧白路40、42号、下蔡家湾</w:t>
      </w:r>
      <w:r>
        <w:rPr>
          <w:rFonts w:ascii="仿宋" w:hAnsi="仿宋" w:eastAsia="仿宋" w:cs="仿宋"/>
          <w:color w:val="000000" w:themeColor="text1"/>
          <w:sz w:val="28"/>
          <w:szCs w:val="28"/>
          <w14:textFill>
            <w14:solidFill>
              <w14:schemeClr w14:val="tx1"/>
            </w14:solidFill>
          </w14:textFill>
        </w:rPr>
        <w:t>9号、朝千路51、53、55、97、8、7号等合计11单元；白象居1-6号元6单元；东升楼5号2个单元；解放东路154号3个单元；合计整改量为22个单元。</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3）雨污管网整改量：主要涉及朝千路、棉花街、</w:t>
      </w:r>
      <w:r>
        <w:rPr>
          <w:rFonts w:hint="eastAsia" w:ascii="仿宋" w:hAnsi="仿宋" w:eastAsia="仿宋" w:cs="仿宋"/>
          <w:color w:val="000000" w:themeColor="text1"/>
          <w:sz w:val="28"/>
          <w:szCs w:val="28"/>
          <w14:textFill>
            <w14:solidFill>
              <w14:schemeClr w14:val="tx1"/>
            </w14:solidFill>
          </w14:textFill>
        </w:rPr>
        <w:t>沧白路</w:t>
      </w:r>
      <w:r>
        <w:rPr>
          <w:rFonts w:ascii="仿宋" w:hAnsi="仿宋" w:eastAsia="仿宋" w:cs="仿宋"/>
          <w:color w:val="000000" w:themeColor="text1"/>
          <w:sz w:val="28"/>
          <w:szCs w:val="28"/>
          <w14:textFill>
            <w14:solidFill>
              <w14:schemeClr w14:val="tx1"/>
            </w14:solidFill>
          </w14:textFill>
        </w:rPr>
        <w:t>11处；解东路在西三街、庆丰巷、解东路154号背后等4处；合计整改量为18处。</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强管理方面，主要从垃圾分类整改量体现，增设垃圾分类容器：主要涉及朝千路、棉花街、沧白路</w:t>
      </w:r>
      <w:r>
        <w:rPr>
          <w:rFonts w:ascii="仿宋" w:hAnsi="仿宋" w:eastAsia="仿宋" w:cs="仿宋"/>
          <w:color w:val="000000" w:themeColor="text1"/>
          <w:sz w:val="28"/>
          <w:szCs w:val="28"/>
          <w14:textFill>
            <w14:solidFill>
              <w14:schemeClr w14:val="tx1"/>
            </w14:solidFill>
          </w14:textFill>
        </w:rPr>
        <w:t>4单元；白象居1-6单元；合计整改量为10单元。</w:t>
      </w:r>
    </w:p>
    <w:p>
      <w:pPr>
        <w:adjustRightInd w:val="0"/>
        <w:snapToGrid w:val="0"/>
        <w:spacing w:before="156" w:beforeLines="5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综上</w:t>
      </w:r>
      <w:r>
        <w:rPr>
          <w:rFonts w:hint="eastAsia" w:ascii="仿宋" w:hAnsi="仿宋" w:eastAsia="仿宋" w:cs="仿宋"/>
          <w:color w:val="000000"/>
          <w:sz w:val="28"/>
          <w:szCs w:val="28"/>
        </w:rPr>
        <w:t>，根据评分标准，实际扣分情况合计为</w:t>
      </w:r>
      <w:r>
        <w:rPr>
          <w:rFonts w:ascii="仿宋" w:hAnsi="仿宋" w:eastAsia="仿宋" w:cs="仿宋"/>
          <w:color w:val="000000"/>
          <w:sz w:val="28"/>
          <w:szCs w:val="28"/>
        </w:rPr>
        <w:t>0.30分，项目实际完成量本次绩效评价得16.70分。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2）完成及时率标准分值为</w:t>
      </w:r>
      <w:r>
        <w:rPr>
          <w:rFonts w:hint="eastAsia" w:ascii="仿宋" w:hAnsi="仿宋" w:eastAsia="仿宋" w:cs="仿宋"/>
          <w:color w:val="000000" w:themeColor="text1"/>
          <w:sz w:val="28"/>
          <w:szCs w:val="28"/>
          <w14:textFill>
            <w14:solidFill>
              <w14:schemeClr w14:val="tx1"/>
            </w14:solidFill>
          </w14:textFill>
        </w:rPr>
        <w:t>6.00</w:t>
      </w:r>
      <w:r>
        <w:rPr>
          <w:rFonts w:ascii="仿宋" w:hAnsi="仿宋" w:eastAsia="仿宋" w:cs="仿宋"/>
          <w:color w:val="000000" w:themeColor="text1"/>
          <w:sz w:val="28"/>
          <w:szCs w:val="28"/>
          <w14:textFill>
            <w14:solidFill>
              <w14:schemeClr w14:val="tx1"/>
            </w14:solidFill>
          </w14:textFill>
        </w:rPr>
        <w:t>分。</w:t>
      </w:r>
    </w:p>
    <w:tbl>
      <w:tblPr>
        <w:tblStyle w:val="10"/>
        <w:tblW w:w="5000" w:type="pct"/>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933"/>
        <w:gridCol w:w="655"/>
        <w:gridCol w:w="710"/>
        <w:gridCol w:w="623"/>
        <w:gridCol w:w="647"/>
        <w:gridCol w:w="4238"/>
        <w:gridCol w:w="722"/>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701" w:hRule="exact"/>
        </w:trPr>
        <w:tc>
          <w:tcPr>
            <w:tcW w:w="547"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明细指标</w:t>
            </w:r>
          </w:p>
        </w:tc>
        <w:tc>
          <w:tcPr>
            <w:tcW w:w="384"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指标</w:t>
            </w:r>
            <w:r>
              <w:rPr>
                <w:rFonts w:hint="eastAsia" w:ascii="仿宋" w:hAnsi="仿宋" w:eastAsia="仿宋" w:cs="仿宋"/>
                <w:bCs/>
                <w:color w:val="000000"/>
                <w:sz w:val="18"/>
                <w:szCs w:val="18"/>
                <w:lang w:bidi="ar"/>
              </w:rPr>
              <w:br w:type="textWrapping"/>
            </w:r>
            <w:r>
              <w:rPr>
                <w:rFonts w:hint="eastAsia" w:ascii="仿宋" w:hAnsi="仿宋" w:eastAsia="仿宋" w:cs="仿宋"/>
                <w:bCs/>
                <w:color w:val="000000"/>
                <w:sz w:val="18"/>
                <w:szCs w:val="18"/>
                <w:lang w:bidi="ar"/>
              </w:rPr>
              <w:t>性质</w:t>
            </w:r>
          </w:p>
        </w:tc>
        <w:tc>
          <w:tcPr>
            <w:tcW w:w="416"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指标值</w:t>
            </w:r>
          </w:p>
        </w:tc>
        <w:tc>
          <w:tcPr>
            <w:tcW w:w="365"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计量</w:t>
            </w:r>
            <w:r>
              <w:rPr>
                <w:rFonts w:ascii="仿宋" w:hAnsi="仿宋" w:eastAsia="仿宋" w:cs="仿宋"/>
                <w:bCs/>
                <w:color w:val="000000"/>
                <w:sz w:val="18"/>
                <w:szCs w:val="18"/>
                <w:lang w:bidi="ar"/>
              </w:rPr>
              <w:br w:type="textWrapping"/>
            </w:r>
            <w:r>
              <w:rPr>
                <w:rFonts w:hint="eastAsia" w:ascii="仿宋" w:hAnsi="仿宋" w:eastAsia="仿宋" w:cs="仿宋"/>
                <w:bCs/>
                <w:color w:val="000000"/>
                <w:sz w:val="18"/>
                <w:szCs w:val="18"/>
                <w:lang w:bidi="ar"/>
              </w:rPr>
              <w:t>单位</w:t>
            </w:r>
          </w:p>
        </w:tc>
        <w:tc>
          <w:tcPr>
            <w:tcW w:w="379"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指标</w:t>
            </w:r>
            <w:r>
              <w:rPr>
                <w:rFonts w:ascii="仿宋" w:hAnsi="仿宋" w:eastAsia="仿宋" w:cs="仿宋"/>
                <w:bCs/>
                <w:color w:val="000000"/>
                <w:sz w:val="18"/>
                <w:szCs w:val="18"/>
                <w:lang w:bidi="ar"/>
              </w:rPr>
              <w:br w:type="textWrapping"/>
            </w:r>
            <w:r>
              <w:rPr>
                <w:rFonts w:hint="eastAsia" w:ascii="仿宋" w:hAnsi="仿宋" w:eastAsia="仿宋" w:cs="仿宋"/>
                <w:bCs/>
                <w:color w:val="000000"/>
                <w:sz w:val="18"/>
                <w:szCs w:val="18"/>
                <w:lang w:bidi="ar"/>
              </w:rPr>
              <w:t>权重</w:t>
            </w:r>
          </w:p>
        </w:tc>
        <w:tc>
          <w:tcPr>
            <w:tcW w:w="2484" w:type="pct"/>
            <w:vAlign w:val="center"/>
          </w:tcPr>
          <w:p>
            <w:pPr>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评价标准</w:t>
            </w:r>
          </w:p>
        </w:tc>
        <w:tc>
          <w:tcPr>
            <w:tcW w:w="423" w:type="pct"/>
            <w:vAlign w:val="center"/>
          </w:tcPr>
          <w:p>
            <w:pPr>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实际</w:t>
            </w:r>
            <w:r>
              <w:rPr>
                <w:rFonts w:ascii="仿宋" w:hAnsi="仿宋" w:eastAsia="仿宋" w:cs="仿宋"/>
                <w:color w:val="000000"/>
                <w:sz w:val="18"/>
                <w:szCs w:val="18"/>
                <w:lang w:bidi="ar"/>
              </w:rPr>
              <w:br w:type="textWrapping"/>
            </w:r>
            <w:r>
              <w:rPr>
                <w:rFonts w:hint="eastAsia" w:ascii="仿宋" w:hAnsi="仿宋" w:eastAsia="仿宋" w:cs="仿宋"/>
                <w:color w:val="000000"/>
                <w:sz w:val="18"/>
                <w:szCs w:val="18"/>
                <w:lang w:bidi="ar"/>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113" w:hRule="exact"/>
        </w:trPr>
        <w:tc>
          <w:tcPr>
            <w:tcW w:w="547" w:type="pct"/>
            <w:vAlign w:val="center"/>
          </w:tcPr>
          <w:p>
            <w:pPr>
              <w:jc w:val="center"/>
              <w:rPr>
                <w:rFonts w:ascii="仿宋" w:hAnsi="仿宋" w:eastAsia="仿宋" w:cs="仿宋"/>
                <w:sz w:val="20"/>
                <w:szCs w:val="20"/>
              </w:rPr>
            </w:pPr>
            <w:r>
              <w:rPr>
                <w:rFonts w:hint="eastAsia" w:ascii="仿宋" w:hAnsi="仿宋" w:eastAsia="仿宋" w:cs="仿宋"/>
                <w:sz w:val="20"/>
                <w:szCs w:val="20"/>
              </w:rPr>
              <w:t>完成及时率</w:t>
            </w:r>
          </w:p>
        </w:tc>
        <w:tc>
          <w:tcPr>
            <w:tcW w:w="384" w:type="pct"/>
            <w:vAlign w:val="center"/>
          </w:tcPr>
          <w:p>
            <w:pPr>
              <w:jc w:val="center"/>
              <w:rPr>
                <w:rFonts w:ascii="仿宋" w:hAnsi="仿宋" w:eastAsia="仿宋" w:cs="仿宋"/>
                <w:sz w:val="20"/>
                <w:szCs w:val="20"/>
              </w:rPr>
            </w:pPr>
            <w:r>
              <w:rPr>
                <w:rFonts w:hint="eastAsia" w:ascii="仿宋" w:hAnsi="仿宋" w:eastAsia="仿宋" w:cs="仿宋"/>
                <w:sz w:val="20"/>
                <w:szCs w:val="20"/>
              </w:rPr>
              <w:t>≤</w:t>
            </w:r>
          </w:p>
        </w:tc>
        <w:tc>
          <w:tcPr>
            <w:tcW w:w="416" w:type="pct"/>
            <w:vAlign w:val="center"/>
          </w:tcPr>
          <w:p>
            <w:pPr>
              <w:jc w:val="center"/>
              <w:rPr>
                <w:rFonts w:ascii="仿宋" w:hAnsi="仿宋" w:eastAsia="仿宋" w:cs="仿宋"/>
                <w:sz w:val="20"/>
                <w:szCs w:val="20"/>
              </w:rPr>
            </w:pPr>
            <w:r>
              <w:rPr>
                <w:rFonts w:ascii="仿宋" w:hAnsi="仿宋" w:eastAsia="仿宋" w:cs="仿宋"/>
                <w:sz w:val="20"/>
                <w:szCs w:val="20"/>
              </w:rPr>
              <w:t>100</w:t>
            </w:r>
          </w:p>
        </w:tc>
        <w:tc>
          <w:tcPr>
            <w:tcW w:w="365" w:type="pct"/>
            <w:vAlign w:val="center"/>
          </w:tcPr>
          <w:p>
            <w:pPr>
              <w:jc w:val="center"/>
              <w:rPr>
                <w:rFonts w:ascii="仿宋" w:hAnsi="仿宋" w:eastAsia="仿宋" w:cs="仿宋"/>
                <w:sz w:val="20"/>
                <w:szCs w:val="20"/>
              </w:rPr>
            </w:pPr>
            <w:r>
              <w:rPr>
                <w:rFonts w:ascii="仿宋" w:hAnsi="仿宋" w:eastAsia="仿宋" w:cs="仿宋"/>
                <w:sz w:val="20"/>
                <w:szCs w:val="20"/>
              </w:rPr>
              <w:t>%</w:t>
            </w:r>
          </w:p>
        </w:tc>
        <w:tc>
          <w:tcPr>
            <w:tcW w:w="379" w:type="pct"/>
            <w:vAlign w:val="center"/>
          </w:tcPr>
          <w:p>
            <w:pPr>
              <w:jc w:val="center"/>
              <w:rPr>
                <w:rFonts w:ascii="仿宋" w:hAnsi="仿宋" w:eastAsia="仿宋" w:cs="仿宋"/>
                <w:b/>
                <w:bCs/>
                <w:sz w:val="18"/>
                <w:szCs w:val="18"/>
              </w:rPr>
            </w:pPr>
            <w:r>
              <w:rPr>
                <w:rFonts w:ascii="仿宋" w:hAnsi="仿宋" w:eastAsia="仿宋" w:cs="仿宋"/>
                <w:sz w:val="20"/>
                <w:szCs w:val="20"/>
              </w:rPr>
              <w:t>6</w:t>
            </w:r>
            <w:r>
              <w:rPr>
                <w:rFonts w:hint="eastAsia" w:ascii="仿宋" w:hAnsi="仿宋" w:eastAsia="仿宋" w:cs="仿宋"/>
                <w:sz w:val="20"/>
                <w:szCs w:val="20"/>
              </w:rPr>
              <w:t>.00</w:t>
            </w:r>
          </w:p>
        </w:tc>
        <w:tc>
          <w:tcPr>
            <w:tcW w:w="2484" w:type="pct"/>
            <w:vAlign w:val="center"/>
          </w:tcPr>
          <w:p>
            <w:pPr>
              <w:rPr>
                <w:rFonts w:ascii="仿宋" w:hAnsi="仿宋" w:eastAsia="仿宋" w:cs="仿宋"/>
                <w:sz w:val="20"/>
                <w:szCs w:val="20"/>
                <w:lang w:bidi="ar"/>
              </w:rPr>
            </w:pPr>
            <w:r>
              <w:rPr>
                <w:rFonts w:hint="eastAsia" w:ascii="仿宋" w:hAnsi="仿宋" w:eastAsia="仿宋" w:cs="仿宋"/>
                <w:sz w:val="20"/>
                <w:szCs w:val="20"/>
                <w:lang w:bidi="ar"/>
              </w:rPr>
              <w:t>单个项目的完成及时率</w:t>
            </w:r>
            <w:r>
              <w:rPr>
                <w:rFonts w:ascii="仿宋" w:hAnsi="仿宋" w:eastAsia="仿宋" w:cs="仿宋"/>
                <w:sz w:val="20"/>
                <w:szCs w:val="20"/>
                <w:lang w:bidi="ar"/>
              </w:rPr>
              <w:t>=（实际完成时间/计划完成时间）×100%</w:t>
            </w:r>
          </w:p>
          <w:p>
            <w:pPr>
              <w:rPr>
                <w:rFonts w:ascii="仿宋" w:hAnsi="仿宋" w:eastAsia="仿宋" w:cs="仿宋"/>
                <w:sz w:val="20"/>
                <w:szCs w:val="20"/>
                <w:lang w:bidi="ar"/>
              </w:rPr>
            </w:pPr>
            <w:r>
              <w:rPr>
                <w:rFonts w:hint="eastAsia" w:ascii="仿宋" w:hAnsi="仿宋" w:eastAsia="仿宋" w:cs="仿宋"/>
                <w:sz w:val="20"/>
                <w:szCs w:val="20"/>
                <w:lang w:bidi="ar"/>
              </w:rPr>
              <w:t>实际完成时间：项目实施单位完成该项目实际耗用的时间；</w:t>
            </w:r>
          </w:p>
          <w:p>
            <w:pPr>
              <w:rPr>
                <w:rFonts w:ascii="仿宋" w:hAnsi="仿宋" w:eastAsia="仿宋" w:cs="仿宋"/>
                <w:sz w:val="20"/>
                <w:szCs w:val="20"/>
                <w:lang w:bidi="ar"/>
              </w:rPr>
            </w:pPr>
            <w:r>
              <w:rPr>
                <w:rFonts w:hint="eastAsia" w:ascii="仿宋" w:hAnsi="仿宋" w:eastAsia="仿宋" w:cs="仿宋"/>
                <w:sz w:val="20"/>
                <w:szCs w:val="20"/>
                <w:lang w:bidi="ar"/>
              </w:rPr>
              <w:t>计划完成时间：按照项目实施计划或相关规定完成该项目所需的时间。</w:t>
            </w:r>
          </w:p>
          <w:p>
            <w:pPr>
              <w:rPr>
                <w:rFonts w:ascii="仿宋" w:hAnsi="仿宋" w:eastAsia="仿宋" w:cs="仿宋"/>
                <w:sz w:val="20"/>
                <w:szCs w:val="20"/>
                <w:lang w:bidi="ar"/>
              </w:rPr>
            </w:pPr>
            <w:r>
              <w:rPr>
                <w:rFonts w:hint="eastAsia" w:ascii="仿宋" w:hAnsi="仿宋" w:eastAsia="仿宋" w:cs="仿宋"/>
                <w:sz w:val="20"/>
                <w:szCs w:val="20"/>
                <w:lang w:bidi="ar"/>
              </w:rPr>
              <w:t>项目完成及时率≤</w:t>
            </w:r>
            <w:r>
              <w:rPr>
                <w:rFonts w:ascii="仿宋" w:hAnsi="仿宋" w:eastAsia="仿宋" w:cs="仿宋"/>
                <w:sz w:val="20"/>
                <w:szCs w:val="20"/>
                <w:lang w:bidi="ar"/>
              </w:rPr>
              <w:t>100%计满分，100%以上，每高于5%扣0.5分，扣完为止。</w:t>
            </w:r>
          </w:p>
          <w:p>
            <w:pPr>
              <w:rPr>
                <w:rFonts w:ascii="仿宋" w:hAnsi="仿宋" w:eastAsia="仿宋" w:cs="仿宋"/>
                <w:sz w:val="20"/>
                <w:szCs w:val="20"/>
                <w:lang w:bidi="ar"/>
              </w:rPr>
            </w:pPr>
            <w:r>
              <w:rPr>
                <w:rFonts w:hint="eastAsia" w:ascii="仿宋" w:hAnsi="仿宋" w:eastAsia="仿宋" w:cs="仿宋"/>
                <w:sz w:val="20"/>
                <w:szCs w:val="20"/>
                <w:lang w:bidi="ar"/>
              </w:rPr>
              <w:t>注：本次评价按计划竣工时间在评价期间前应竣工的项目</w:t>
            </w:r>
            <w:r>
              <w:rPr>
                <w:rFonts w:ascii="仿宋" w:hAnsi="仿宋" w:eastAsia="仿宋" w:cs="仿宋"/>
                <w:sz w:val="20"/>
                <w:szCs w:val="20"/>
                <w:lang w:bidi="ar"/>
              </w:rPr>
              <w:t>3个，每个项目2分。</w:t>
            </w:r>
          </w:p>
          <w:p>
            <w:pPr>
              <w:rPr>
                <w:rFonts w:ascii="仿宋" w:hAnsi="仿宋" w:eastAsia="仿宋" w:cs="仿宋"/>
                <w:color w:val="000000"/>
                <w:sz w:val="13"/>
                <w:szCs w:val="13"/>
              </w:rPr>
            </w:pPr>
          </w:p>
          <w:p>
            <w:pPr>
              <w:rPr>
                <w:rFonts w:ascii="仿宋" w:hAnsi="仿宋" w:eastAsia="仿宋" w:cs="仿宋"/>
                <w:color w:val="000000"/>
                <w:sz w:val="13"/>
                <w:szCs w:val="13"/>
              </w:rPr>
            </w:pPr>
          </w:p>
          <w:p>
            <w:pPr>
              <w:rPr>
                <w:rFonts w:ascii="仿宋" w:hAnsi="仿宋" w:eastAsia="仿宋" w:cs="仿宋"/>
                <w:color w:val="000000"/>
                <w:sz w:val="13"/>
                <w:szCs w:val="13"/>
              </w:rPr>
            </w:pPr>
            <w:r>
              <w:rPr>
                <w:rFonts w:hint="eastAsia" w:ascii="仿宋" w:hAnsi="仿宋" w:eastAsia="仿宋" w:cs="仿宋"/>
                <w:color w:val="000000"/>
                <w:sz w:val="13"/>
                <w:szCs w:val="13"/>
              </w:rPr>
              <w:t>实际完成时间：项目实施单位完成该项目实际耗用的时间；</w:t>
            </w:r>
          </w:p>
          <w:p>
            <w:pPr>
              <w:rPr>
                <w:rFonts w:ascii="仿宋" w:hAnsi="仿宋" w:eastAsia="仿宋" w:cs="仿宋"/>
                <w:color w:val="000000"/>
                <w:sz w:val="13"/>
                <w:szCs w:val="13"/>
              </w:rPr>
            </w:pPr>
            <w:r>
              <w:rPr>
                <w:rFonts w:hint="eastAsia" w:ascii="仿宋" w:hAnsi="仿宋" w:eastAsia="仿宋" w:cs="仿宋"/>
                <w:color w:val="000000"/>
                <w:sz w:val="13"/>
                <w:szCs w:val="13"/>
              </w:rPr>
              <w:t>计划完成时间：按照项目实施计划或相关规定完成该项目所需的时间。</w:t>
            </w:r>
          </w:p>
          <w:p>
            <w:pPr>
              <w:rPr>
                <w:rFonts w:ascii="仿宋" w:hAnsi="仿宋" w:eastAsia="仿宋" w:cs="仿宋"/>
                <w:color w:val="000000"/>
                <w:sz w:val="13"/>
                <w:szCs w:val="13"/>
              </w:rPr>
            </w:pPr>
            <w:r>
              <w:rPr>
                <w:rFonts w:hint="eastAsia" w:ascii="仿宋" w:hAnsi="仿宋" w:eastAsia="仿宋" w:cs="仿宋"/>
                <w:color w:val="000000"/>
                <w:sz w:val="13"/>
                <w:szCs w:val="13"/>
              </w:rPr>
              <w:t>项目完成及时率≤</w:t>
            </w:r>
            <w:r>
              <w:rPr>
                <w:rFonts w:ascii="仿宋" w:hAnsi="仿宋" w:eastAsia="仿宋" w:cs="仿宋"/>
                <w:color w:val="000000"/>
                <w:sz w:val="13"/>
                <w:szCs w:val="13"/>
              </w:rPr>
              <w:t>100%计满分，100%以上，每高于5%扣0.5分，扣完为止。</w:t>
            </w:r>
          </w:p>
        </w:tc>
        <w:tc>
          <w:tcPr>
            <w:tcW w:w="423" w:type="pct"/>
            <w:vAlign w:val="center"/>
          </w:tcPr>
          <w:p>
            <w:pPr>
              <w:jc w:val="center"/>
              <w:rPr>
                <w:rFonts w:ascii="仿宋" w:hAnsi="仿宋" w:eastAsia="仿宋" w:cs="仿宋"/>
                <w:sz w:val="18"/>
                <w:szCs w:val="18"/>
              </w:rPr>
            </w:pPr>
            <w:r>
              <w:rPr>
                <w:rFonts w:hint="eastAsia" w:ascii="仿宋" w:hAnsi="仿宋" w:eastAsia="仿宋" w:cs="仿宋"/>
                <w:sz w:val="20"/>
                <w:szCs w:val="20"/>
              </w:rPr>
              <w:t>2</w:t>
            </w:r>
            <w:r>
              <w:rPr>
                <w:rFonts w:ascii="仿宋" w:hAnsi="仿宋" w:eastAsia="仿宋" w:cs="仿宋"/>
                <w:sz w:val="20"/>
                <w:szCs w:val="20"/>
              </w:rPr>
              <w:t>.</w:t>
            </w:r>
            <w:r>
              <w:rPr>
                <w:rFonts w:hint="eastAsia" w:ascii="仿宋" w:hAnsi="仿宋" w:eastAsia="仿宋" w:cs="仿宋"/>
                <w:sz w:val="20"/>
                <w:szCs w:val="20"/>
              </w:rPr>
              <w:t>5</w:t>
            </w:r>
            <w:r>
              <w:rPr>
                <w:rFonts w:ascii="仿宋" w:hAnsi="仿宋" w:eastAsia="仿宋" w:cs="仿宋"/>
                <w:sz w:val="20"/>
                <w:szCs w:val="20"/>
              </w:rPr>
              <w:t>0</w:t>
            </w:r>
          </w:p>
        </w:tc>
      </w:tr>
    </w:tbl>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经检查《重庆市渝中区发展和改革委员会关于朝千路、棉花街、沧白路沿线环境综合整治项目投资概算的批复》</w:t>
      </w:r>
      <w:r>
        <w:rPr>
          <w:rFonts w:ascii="仿宋" w:hAnsi="仿宋" w:eastAsia="仿宋" w:cs="仿宋"/>
          <w:color w:val="000000" w:themeColor="text1"/>
          <w:sz w:val="28"/>
          <w:szCs w:val="28"/>
          <w14:textFill>
            <w14:solidFill>
              <w14:schemeClr w14:val="tx1"/>
            </w14:solidFill>
          </w14:textFill>
        </w:rPr>
        <w:t>(渝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[2020]176号)文件，批复朝千路、棉花街、</w:t>
      </w:r>
      <w:r>
        <w:rPr>
          <w:rFonts w:hint="eastAsia" w:ascii="仿宋" w:hAnsi="仿宋" w:eastAsia="仿宋" w:cs="仿宋"/>
          <w:color w:val="000000" w:themeColor="text1"/>
          <w:sz w:val="28"/>
          <w:szCs w:val="28"/>
          <w14:textFill>
            <w14:solidFill>
              <w14:schemeClr w14:val="tx1"/>
            </w14:solidFill>
          </w14:textFill>
        </w:rPr>
        <w:t>沧白路子项目计划完成时间为</w:t>
      </w:r>
      <w:r>
        <w:rPr>
          <w:rFonts w:ascii="仿宋" w:hAnsi="仿宋" w:eastAsia="仿宋" w:cs="仿宋"/>
          <w:color w:val="000000" w:themeColor="text1"/>
          <w:sz w:val="28"/>
          <w:szCs w:val="28"/>
          <w14:textFill>
            <w14:solidFill>
              <w14:schemeClr w14:val="tx1"/>
            </w14:solidFill>
          </w14:textFill>
        </w:rPr>
        <w:t>6个月，开工日期为2020年9月13日，竣工日期为2020年12月31日，经监理单位、施工单位、设计单位、建设单位综合验收，朝千路、棉花街、</w:t>
      </w:r>
      <w:r>
        <w:rPr>
          <w:rFonts w:hint="eastAsia" w:ascii="仿宋" w:hAnsi="仿宋" w:eastAsia="仿宋" w:cs="仿宋"/>
          <w:color w:val="000000" w:themeColor="text1"/>
          <w:sz w:val="28"/>
          <w:szCs w:val="28"/>
          <w14:textFill>
            <w14:solidFill>
              <w14:schemeClr w14:val="tx1"/>
            </w14:solidFill>
          </w14:textFill>
        </w:rPr>
        <w:t>沧白路子项目的完成及时率</w:t>
      </w:r>
      <w:r>
        <w:rPr>
          <w:rFonts w:ascii="仿宋" w:hAnsi="仿宋" w:eastAsia="仿宋" w:cs="仿宋"/>
          <w:color w:val="000000" w:themeColor="text1"/>
          <w:sz w:val="28"/>
          <w:szCs w:val="28"/>
          <w14:textFill>
            <w14:solidFill>
              <w14:schemeClr w14:val="tx1"/>
            </w14:solidFill>
          </w14:textFill>
        </w:rPr>
        <w:t>=（实际完成时间/计划完成时间）×100%=60.56%。</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《重庆市渝中区发展和改革委员会关于东升楼</w:t>
      </w:r>
      <w:r>
        <w:rPr>
          <w:rFonts w:ascii="仿宋" w:hAnsi="仿宋" w:eastAsia="仿宋" w:cs="仿宋"/>
          <w:color w:val="000000" w:themeColor="text1"/>
          <w:sz w:val="28"/>
          <w:szCs w:val="28"/>
          <w14:textFill>
            <w14:solidFill>
              <w14:schemeClr w14:val="tx1"/>
            </w14:solidFill>
          </w14:textFill>
        </w:rPr>
        <w:t>5号“L”型房周边环境综合整治项目投资概算的批复》(渝</w:t>
      </w:r>
      <w:r>
        <w:rPr>
          <w:rFonts w:hint="eastAsia" w:ascii="仿宋" w:hAnsi="仿宋" w:eastAsia="仿宋" w:cs="仿宋"/>
          <w:color w:val="000000" w:themeColor="text1"/>
          <w:sz w:val="28"/>
          <w:szCs w:val="28"/>
          <w14:textFill>
            <w14:solidFill>
              <w14:schemeClr w14:val="tx1"/>
            </w14:solidFill>
          </w14:textFill>
        </w:rPr>
        <w:t>中发改</w:t>
      </w:r>
      <w:r>
        <w:rPr>
          <w:rFonts w:ascii="仿宋" w:hAnsi="仿宋" w:eastAsia="仿宋" w:cs="仿宋"/>
          <w:color w:val="000000" w:themeColor="text1"/>
          <w:sz w:val="28"/>
          <w:szCs w:val="28"/>
          <w14:textFill>
            <w14:solidFill>
              <w14:schemeClr w14:val="tx1"/>
            </w14:solidFill>
          </w14:textFill>
        </w:rPr>
        <w:t>[2020]90号)文件，批复东升楼项目计划完成时间为5个月，实际开工日期为2020年9月25日，竣工日期为2021年3月17日，经监理单位、施工单位、设计单位、建设单位综合验收，东升楼子项目的完成及时率=（实际完成时间/计划完成时间）×100%=115.33%</w:t>
      </w:r>
      <w:r>
        <w:rPr>
          <w:rFonts w:hint="eastAsia" w:ascii="仿宋" w:hAnsi="仿宋" w:eastAsia="仿宋" w:cs="仿宋"/>
          <w:color w:val="000000" w:themeColor="text1"/>
          <w:sz w:val="28"/>
          <w:szCs w:val="28"/>
          <w14:textFill>
            <w14:solidFill>
              <w14:schemeClr w14:val="tx1"/>
            </w14:solidFill>
          </w14:textFill>
        </w:rPr>
        <w:t>，按标准扣1</w:t>
      </w:r>
      <w:r>
        <w:rPr>
          <w:rFonts w:ascii="仿宋" w:hAnsi="仿宋" w:eastAsia="仿宋" w:cs="仿宋"/>
          <w:color w:val="000000" w:themeColor="text1"/>
          <w:sz w:val="28"/>
          <w:szCs w:val="28"/>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0</w:t>
      </w:r>
      <w:r>
        <w:rPr>
          <w:rFonts w:ascii="仿宋" w:hAnsi="仿宋" w:eastAsia="仿宋" w:cs="仿宋"/>
          <w:color w:val="000000" w:themeColor="text1"/>
          <w:sz w:val="28"/>
          <w:szCs w:val="28"/>
          <w14:textFill>
            <w14:solidFill>
              <w14:schemeClr w14:val="tx1"/>
            </w14:solidFill>
          </w14:textFill>
        </w:rPr>
        <w:t>分。</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《重庆市渝中区发展和改革委员会关于白象居综合整治改造工程投资概算的批复》(渝中发改</w:t>
      </w:r>
      <w:r>
        <w:rPr>
          <w:rFonts w:ascii="仿宋" w:hAnsi="仿宋" w:eastAsia="仿宋" w:cs="仿宋"/>
          <w:color w:val="000000" w:themeColor="text1"/>
          <w:sz w:val="28"/>
          <w:szCs w:val="28"/>
          <w14:textFill>
            <w14:solidFill>
              <w14:schemeClr w14:val="tx1"/>
            </w14:solidFill>
          </w14:textFill>
        </w:rPr>
        <w:t>[2020]194</w:t>
      </w:r>
      <w:r>
        <w:rPr>
          <w:rFonts w:hint="eastAsia" w:ascii="仿宋" w:hAnsi="仿宋" w:eastAsia="仿宋" w:cs="仿宋"/>
          <w:color w:val="000000" w:themeColor="text1"/>
          <w:sz w:val="28"/>
          <w:szCs w:val="28"/>
          <w14:textFill>
            <w14:solidFill>
              <w14:schemeClr w14:val="tx1"/>
            </w14:solidFill>
          </w14:textFill>
        </w:rPr>
        <w:t>号</w:t>
      </w:r>
      <w:r>
        <w:rPr>
          <w:rFonts w:ascii="仿宋" w:hAnsi="仿宋" w:eastAsia="仿宋" w:cs="仿宋"/>
          <w:color w:val="000000" w:themeColor="text1"/>
          <w:sz w:val="28"/>
          <w:szCs w:val="28"/>
          <w14:textFill>
            <w14:solidFill>
              <w14:schemeClr w14:val="tx1"/>
            </w14:solidFill>
          </w14:textFill>
        </w:rPr>
        <w:t>)文件，批复</w:t>
      </w:r>
      <w:r>
        <w:rPr>
          <w:rFonts w:hint="eastAsia" w:ascii="仿宋" w:hAnsi="仿宋" w:eastAsia="仿宋" w:cs="仿宋"/>
          <w:color w:val="000000" w:themeColor="text1"/>
          <w:sz w:val="28"/>
          <w:szCs w:val="28"/>
          <w14:textFill>
            <w14:solidFill>
              <w14:schemeClr w14:val="tx1"/>
            </w14:solidFill>
          </w14:textFill>
        </w:rPr>
        <w:t>白象居项目计划完成时间为</w:t>
      </w:r>
      <w:r>
        <w:rPr>
          <w:rFonts w:ascii="仿宋" w:hAnsi="仿宋" w:eastAsia="仿宋" w:cs="仿宋"/>
          <w:color w:val="000000" w:themeColor="text1"/>
          <w:sz w:val="28"/>
          <w:szCs w:val="28"/>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个月，实际开工日期为</w:t>
      </w:r>
      <w:r>
        <w:rPr>
          <w:rFonts w:ascii="仿宋" w:hAnsi="仿宋" w:eastAsia="仿宋" w:cs="仿宋"/>
          <w:color w:val="000000" w:themeColor="text1"/>
          <w:sz w:val="28"/>
          <w:szCs w:val="28"/>
          <w14:textFill>
            <w14:solidFill>
              <w14:schemeClr w14:val="tx1"/>
            </w14:solidFill>
          </w14:textFill>
        </w:rPr>
        <w:t>2020年10</w:t>
      </w:r>
      <w:r>
        <w:rPr>
          <w:rFonts w:hint="eastAsia" w:ascii="仿宋" w:hAnsi="仿宋" w:eastAsia="仿宋" w:cs="仿宋"/>
          <w:color w:val="000000" w:themeColor="text1"/>
          <w:sz w:val="28"/>
          <w:szCs w:val="28"/>
          <w14:textFill>
            <w14:solidFill>
              <w14:schemeClr w14:val="tx1"/>
            </w14:solidFill>
          </w14:textFill>
        </w:rPr>
        <w:t>月</w:t>
      </w:r>
      <w:r>
        <w:rPr>
          <w:rFonts w:ascii="仿宋" w:hAnsi="仿宋" w:eastAsia="仿宋" w:cs="仿宋"/>
          <w:color w:val="000000" w:themeColor="text1"/>
          <w:sz w:val="28"/>
          <w:szCs w:val="28"/>
          <w14:textFill>
            <w14:solidFill>
              <w14:schemeClr w14:val="tx1"/>
            </w14:solidFill>
          </w14:textFill>
        </w:rPr>
        <w:t>12</w:t>
      </w:r>
      <w:r>
        <w:rPr>
          <w:rFonts w:hint="eastAsia" w:ascii="仿宋" w:hAnsi="仿宋" w:eastAsia="仿宋" w:cs="仿宋"/>
          <w:color w:val="000000" w:themeColor="text1"/>
          <w:sz w:val="28"/>
          <w:szCs w:val="28"/>
          <w14:textFill>
            <w14:solidFill>
              <w14:schemeClr w14:val="tx1"/>
            </w14:solidFill>
          </w14:textFill>
        </w:rPr>
        <w:t>日，计划</w:t>
      </w:r>
      <w:r>
        <w:rPr>
          <w:rFonts w:ascii="仿宋" w:hAnsi="仿宋" w:eastAsia="仿宋" w:cs="仿宋"/>
          <w:color w:val="000000" w:themeColor="text1"/>
          <w:sz w:val="28"/>
          <w:szCs w:val="28"/>
          <w14:textFill>
            <w14:solidFill>
              <w14:schemeClr w14:val="tx1"/>
            </w14:solidFill>
          </w14:textFill>
        </w:rPr>
        <w:t>2021年4月30日竣工，实际预计2021年9月30日竣工，超计划期限20%以上，扣2分。</w:t>
      </w:r>
    </w:p>
    <w:p>
      <w:pPr>
        <w:adjustRightInd w:val="0"/>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综上：</w:t>
      </w:r>
      <w:r>
        <w:rPr>
          <w:rFonts w:hint="eastAsia" w:ascii="仿宋" w:hAnsi="仿宋" w:eastAsia="仿宋" w:cs="仿宋"/>
          <w:color w:val="000000"/>
          <w:sz w:val="28"/>
          <w:szCs w:val="28"/>
        </w:rPr>
        <w:t>根据评分标准，实际扣分情况合计为3.50分，</w:t>
      </w:r>
      <w:r>
        <w:rPr>
          <w:rFonts w:hint="eastAsia" w:ascii="仿宋" w:hAnsi="仿宋" w:eastAsia="仿宋" w:cs="仿宋"/>
          <w:color w:val="000000" w:themeColor="text1"/>
          <w:sz w:val="28"/>
          <w:szCs w:val="28"/>
          <w14:textFill>
            <w14:solidFill>
              <w14:schemeClr w14:val="tx1"/>
            </w14:solidFill>
          </w14:textFill>
        </w:rPr>
        <w:t>项目完成及时率本次绩效评价得2.50分。</w:t>
      </w:r>
    </w:p>
    <w:p>
      <w:pPr>
        <w:adjustRightInd w:val="0"/>
        <w:snapToGrid w:val="0"/>
        <w:spacing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3）质量达标度标准分值为17</w:t>
      </w:r>
      <w:r>
        <w:rPr>
          <w:rFonts w:hint="eastAsia" w:ascii="仿宋" w:hAnsi="仿宋" w:eastAsia="仿宋" w:cs="仿宋"/>
          <w:sz w:val="28"/>
          <w:szCs w:val="28"/>
        </w:rPr>
        <w:t>.00分。</w:t>
      </w:r>
    </w:p>
    <w:p>
      <w:pPr>
        <w:adjustRightInd w:val="0"/>
        <w:snapToGrid w:val="0"/>
        <w:spacing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质量达标度设置了</w:t>
      </w:r>
      <w:r>
        <w:rPr>
          <w:rFonts w:ascii="仿宋" w:hAnsi="仿宋" w:eastAsia="仿宋" w:cs="仿宋"/>
          <w:sz w:val="28"/>
          <w:szCs w:val="28"/>
        </w:rPr>
        <w:t>7个三级指标，13个四级指标，具体的评价标准，明细如下：</w:t>
      </w:r>
    </w:p>
    <w:tbl>
      <w:tblPr>
        <w:tblStyle w:val="10"/>
        <w:tblW w:w="5000" w:type="pct"/>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958"/>
        <w:gridCol w:w="426"/>
        <w:gridCol w:w="425"/>
        <w:gridCol w:w="425"/>
        <w:gridCol w:w="708"/>
        <w:gridCol w:w="4822"/>
        <w:gridCol w:w="764"/>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218"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明细指标</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性质</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指标值</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计量</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单位</w:t>
            </w:r>
          </w:p>
        </w:tc>
        <w:tc>
          <w:tcPr>
            <w:tcW w:w="415"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权重</w:t>
            </w:r>
          </w:p>
        </w:tc>
        <w:tc>
          <w:tcPr>
            <w:tcW w:w="2827"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评价标准</w:t>
            </w:r>
          </w:p>
        </w:tc>
        <w:tc>
          <w:tcPr>
            <w:tcW w:w="448"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149"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拆改可燃、易燃雨棚质量优良度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1</w:t>
            </w:r>
            <w:r>
              <w:rPr>
                <w:rFonts w:hint="eastAsia" w:ascii="仿宋" w:hAnsi="仿宋" w:eastAsia="仿宋" w:cs="仿宋"/>
                <w:color w:val="000000"/>
                <w:sz w:val="18"/>
                <w:szCs w:val="18"/>
                <w:lang w:bidi="ar"/>
              </w:rPr>
              <w:t>.00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1、根据验收评级，结合现场勘查情况，结合居民反映情况，从改造整体效果进行综合打分，总分1分。如：合理、节能、方便、实用，有助于居民生活质量提升。现场勘查有一项问题扣0.2分，扣完为止。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0.80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修复公共楼梯质量优良度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2.5</w:t>
            </w:r>
            <w:r>
              <w:rPr>
                <w:rFonts w:hint="eastAsia" w:ascii="仿宋" w:hAnsi="仿宋" w:eastAsia="仿宋" w:cs="仿宋"/>
                <w:color w:val="000000"/>
                <w:sz w:val="18"/>
                <w:szCs w:val="18"/>
                <w:lang w:bidi="ar"/>
              </w:rPr>
              <w:t>0</w:t>
            </w:r>
          </w:p>
        </w:tc>
        <w:tc>
          <w:tcPr>
            <w:tcW w:w="2827" w:type="pct"/>
            <w:shd w:val="clear" w:color="auto" w:fill="auto"/>
          </w:tcPr>
          <w:p>
            <w:pPr>
              <w:textAlignment w:val="top"/>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2.5分。如：1）每栋楼每层对楼梯、扶手进行修缮、更新；实用、整洁；2）每栋楼每层墙面整治，保持干净；现场勘查有一项问题扣0.3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1.</w:t>
            </w:r>
            <w:r>
              <w:rPr>
                <w:rFonts w:hint="eastAsia" w:ascii="仿宋" w:hAnsi="仿宋" w:eastAsia="仿宋" w:cs="仿宋"/>
                <w:color w:val="000000"/>
                <w:sz w:val="18"/>
                <w:szCs w:val="18"/>
                <w:lang w:bidi="ar"/>
              </w:rPr>
              <w:t>6</w:t>
            </w:r>
            <w:r>
              <w:rPr>
                <w:rFonts w:ascii="仿宋" w:hAnsi="仿宋" w:eastAsia="仿宋" w:cs="仿宋"/>
                <w:color w:val="000000"/>
                <w:sz w:val="18"/>
                <w:szCs w:val="18"/>
                <w:lang w:bidi="ar"/>
              </w:rPr>
              <w:t>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化粪池整治质量优良度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1、根据验收评级，结合现场勘查情况，结合居民反映情况，从改造整体效果进行综合打分，总分0.5分。如：维护社区公共卫生，提高社区卫生管控水平。现场勘查有一项问题扣0.1分，扣完为止。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强电线路改造质量优良度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1、根据验收评级，结合现场勘查情况，结合居民反映情况，从改造整体效果进行综合打分，总分0.5分。如：1）每街道强电下地符合安全要求；2）管线布局整洁、有序。现场勘查有一项问题扣0.1分，扣完为止。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312"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明细指标</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性质</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指标值</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计量</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单位</w:t>
            </w:r>
          </w:p>
        </w:tc>
        <w:tc>
          <w:tcPr>
            <w:tcW w:w="415"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指标</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权重</w:t>
            </w:r>
          </w:p>
        </w:tc>
        <w:tc>
          <w:tcPr>
            <w:tcW w:w="2827" w:type="pct"/>
            <w:shd w:val="clear" w:color="auto" w:fill="auto"/>
            <w:vAlign w:val="center"/>
          </w:tcPr>
          <w:p>
            <w:pPr>
              <w:jc w:val="center"/>
              <w:textAlignment w:val="top"/>
              <w:rPr>
                <w:rFonts w:ascii="仿宋" w:hAnsi="仿宋" w:eastAsia="仿宋" w:cs="仿宋"/>
                <w:color w:val="000000"/>
                <w:sz w:val="15"/>
                <w:szCs w:val="15"/>
              </w:rPr>
            </w:pPr>
            <w:r>
              <w:rPr>
                <w:rFonts w:hint="eastAsia" w:ascii="仿宋" w:hAnsi="仿宋" w:eastAsia="仿宋" w:cs="仿宋"/>
                <w:color w:val="000000"/>
                <w:sz w:val="18"/>
                <w:szCs w:val="18"/>
              </w:rPr>
              <w:t>评价标准</w:t>
            </w:r>
          </w:p>
        </w:tc>
        <w:tc>
          <w:tcPr>
            <w:tcW w:w="448"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w:t>
            </w:r>
          </w:p>
          <w:p>
            <w:pPr>
              <w:jc w:val="right"/>
              <w:rPr>
                <w:rFonts w:ascii="仿宋" w:hAnsi="仿宋" w:eastAsia="仿宋" w:cs="仿宋"/>
                <w:color w:val="000000"/>
                <w:sz w:val="18"/>
                <w:szCs w:val="18"/>
                <w:lang w:bidi="ar"/>
              </w:rPr>
            </w:pPr>
            <w:r>
              <w:rPr>
                <w:rFonts w:hint="eastAsia" w:ascii="仿宋" w:hAnsi="仿宋" w:eastAsia="仿宋" w:cs="仿宋"/>
                <w:color w:val="000000"/>
                <w:sz w:val="18"/>
                <w:szCs w:val="18"/>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312"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危旧房改造质量优良度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lang w:bidi="ar"/>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tcPr>
          <w:p>
            <w:pPr>
              <w:textAlignment w:val="top"/>
              <w:rPr>
                <w:rFonts w:ascii="华文仿宋" w:hAnsi="华文仿宋" w:eastAsia="华文仿宋" w:cs="华文仿宋"/>
                <w:color w:val="000000"/>
                <w:sz w:val="16"/>
                <w:szCs w:val="16"/>
                <w:lang w:bidi="ar"/>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1、根据验收评级，结合现场勘查情况，结合居民反映情况，从改造整体效果进行综合打分，总分0.5分。如：对东升楼破损围墙、屋面等进行修缮。现场勘查有一项问题扣0.1分，扣完为止。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226"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公共烟道增设质量优良度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3</w:t>
            </w:r>
            <w:r>
              <w:rPr>
                <w:rFonts w:hint="eastAsia" w:ascii="仿宋" w:hAnsi="仿宋" w:eastAsia="仿宋" w:cs="仿宋"/>
                <w:color w:val="000000"/>
                <w:sz w:val="18"/>
                <w:szCs w:val="18"/>
                <w:lang w:bidi="ar"/>
              </w:rPr>
              <w:t>.00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1、根据验收评级，结合现场勘查情况，结合居民反映情况，从改造整体效果进行综合打分。总分3分。如：合理、方便、实用，有助于居民生活质量提升。</w:t>
            </w:r>
            <w:r>
              <w:rPr>
                <w:rFonts w:hint="eastAsia" w:ascii="华文仿宋" w:hAnsi="华文仿宋" w:eastAsia="华文仿宋" w:cs="华文仿宋"/>
                <w:color w:val="000000"/>
                <w:sz w:val="16"/>
                <w:szCs w:val="16"/>
                <w:lang w:bidi="ar"/>
              </w:rPr>
              <w:t>现场勘查有一项问题扣</w:t>
            </w:r>
            <w:r>
              <w:rPr>
                <w:rFonts w:ascii="华文仿宋" w:hAnsi="华文仿宋" w:eastAsia="华文仿宋" w:cs="华文仿宋"/>
                <w:color w:val="000000"/>
                <w:sz w:val="16"/>
                <w:szCs w:val="16"/>
                <w:lang w:bidi="ar"/>
              </w:rPr>
              <w:t>0.4分，扣完为止。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3.00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道路平整质量优良度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2</w:t>
            </w:r>
            <w:r>
              <w:rPr>
                <w:rFonts w:hint="eastAsia" w:ascii="仿宋" w:hAnsi="仿宋" w:eastAsia="仿宋" w:cs="仿宋"/>
                <w:color w:val="000000"/>
                <w:sz w:val="18"/>
                <w:szCs w:val="18"/>
                <w:lang w:bidi="ar"/>
              </w:rPr>
              <w:t>.00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1、根据验收评级，结合现场勘查情况，结合居民反映情况，从改造整体效果进行综合打分，总分2分。如：道路平整通畅，美观。</w:t>
            </w:r>
            <w:r>
              <w:rPr>
                <w:rFonts w:hint="eastAsia" w:ascii="华文仿宋" w:hAnsi="华文仿宋" w:eastAsia="华文仿宋" w:cs="华文仿宋"/>
                <w:color w:val="000000"/>
                <w:sz w:val="16"/>
                <w:szCs w:val="16"/>
                <w:lang w:bidi="ar"/>
              </w:rPr>
              <w:t>现场勘查有一项问题扣</w:t>
            </w:r>
            <w:r>
              <w:rPr>
                <w:rFonts w:ascii="华文仿宋" w:hAnsi="华文仿宋" w:eastAsia="华文仿宋" w:cs="华文仿宋"/>
                <w:color w:val="000000"/>
                <w:sz w:val="16"/>
                <w:szCs w:val="16"/>
                <w:lang w:bidi="ar"/>
              </w:rPr>
              <w:t>0.3分，扣完为止。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0.80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公共照明整改质量优良度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1）每栋楼每层墙面整治，保持干净；3）每栋楼每层照明系统、满足居民出行安全；现场勘查有一项问题扣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修缮破损围墙质量优良度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2.5</w:t>
            </w:r>
            <w:r>
              <w:rPr>
                <w:rFonts w:hint="eastAsia" w:ascii="仿宋" w:hAnsi="仿宋" w:eastAsia="仿宋" w:cs="仿宋"/>
                <w:color w:val="000000"/>
                <w:sz w:val="18"/>
                <w:szCs w:val="18"/>
                <w:lang w:bidi="ar"/>
              </w:rPr>
              <w:t>0</w:t>
            </w:r>
          </w:p>
        </w:tc>
        <w:tc>
          <w:tcPr>
            <w:tcW w:w="2827" w:type="pct"/>
            <w:shd w:val="clear" w:color="auto" w:fill="auto"/>
          </w:tcPr>
          <w:p>
            <w:pPr>
              <w:textAlignment w:val="top"/>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1、根据验收评级，结合现场勘查情况，结合居民反映情况，从改造整体效果进行综合打分，总分2.5分。如：对破损围墙、屋面等进行修缮。现场勘查有一项问题扣0.3分，扣完为止。</w:t>
            </w:r>
            <w:r>
              <w:rPr>
                <w:rFonts w:hint="eastAsia" w:ascii="华文仿宋" w:hAnsi="华文仿宋" w:eastAsia="华文仿宋" w:cs="华文仿宋"/>
                <w:color w:val="000000"/>
                <w:sz w:val="16"/>
                <w:szCs w:val="16"/>
                <w:lang w:bidi="ar"/>
              </w:rPr>
              <w:t>现场勘查有一项问题扣</w:t>
            </w:r>
            <w:r>
              <w:rPr>
                <w:rFonts w:ascii="华文仿宋" w:hAnsi="华文仿宋" w:eastAsia="华文仿宋" w:cs="华文仿宋"/>
                <w:color w:val="000000"/>
                <w:sz w:val="16"/>
                <w:szCs w:val="16"/>
                <w:lang w:bidi="ar"/>
              </w:rPr>
              <w:t>0.3分，扣完为止。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hint="eastAsia" w:ascii="仿宋" w:hAnsi="仿宋" w:eastAsia="仿宋" w:cs="仿宋"/>
                <w:color w:val="000000"/>
                <w:sz w:val="18"/>
                <w:szCs w:val="18"/>
                <w:lang w:bidi="ar"/>
              </w:rPr>
              <w:t>1</w:t>
            </w:r>
            <w:r>
              <w:rPr>
                <w:rFonts w:ascii="仿宋" w:hAnsi="仿宋" w:eastAsia="仿宋" w:cs="仿宋"/>
                <w:color w:val="000000"/>
                <w:sz w:val="18"/>
                <w:szCs w:val="18"/>
                <w:lang w:bidi="ar"/>
              </w:rPr>
              <w:t>.</w:t>
            </w:r>
            <w:r>
              <w:rPr>
                <w:rFonts w:hint="eastAsia" w:ascii="仿宋" w:hAnsi="仿宋" w:eastAsia="仿宋" w:cs="仿宋"/>
                <w:color w:val="000000"/>
                <w:sz w:val="18"/>
                <w:szCs w:val="18"/>
                <w:lang w:bidi="ar"/>
              </w:rPr>
              <w:t>6</w:t>
            </w:r>
            <w:r>
              <w:rPr>
                <w:rFonts w:ascii="仿宋" w:hAnsi="仿宋" w:eastAsia="仿宋" w:cs="仿宋"/>
                <w:color w:val="000000"/>
                <w:sz w:val="18"/>
                <w:szCs w:val="18"/>
                <w:lang w:bidi="ar"/>
              </w:rPr>
              <w:t>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修缮破损屋顶质量优良度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2.5</w:t>
            </w:r>
            <w:r>
              <w:rPr>
                <w:rFonts w:hint="eastAsia" w:ascii="仿宋" w:hAnsi="仿宋" w:eastAsia="仿宋" w:cs="仿宋"/>
                <w:color w:val="000000"/>
                <w:sz w:val="18"/>
                <w:szCs w:val="18"/>
                <w:lang w:bidi="ar"/>
              </w:rPr>
              <w:t>0</w:t>
            </w:r>
          </w:p>
        </w:tc>
        <w:tc>
          <w:tcPr>
            <w:tcW w:w="2827" w:type="pct"/>
            <w:shd w:val="clear" w:color="auto" w:fill="auto"/>
          </w:tcPr>
          <w:p>
            <w:pPr>
              <w:textAlignment w:val="top"/>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2.5分。如：1）屋顶排水运行畅通，无渗漏；2）治理渗透问题，清除影响市容市貌或有安全隐患的吊挂物等。现场勘查有一项问题扣0.3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hint="eastAsia" w:ascii="仿宋" w:hAnsi="仿宋" w:eastAsia="仿宋" w:cs="仿宋"/>
                <w:color w:val="000000"/>
                <w:sz w:val="18"/>
                <w:szCs w:val="18"/>
                <w:lang w:bidi="ar"/>
              </w:rPr>
              <w:t>2</w:t>
            </w:r>
            <w:r>
              <w:rPr>
                <w:rFonts w:ascii="仿宋" w:hAnsi="仿宋" w:eastAsia="仿宋" w:cs="仿宋"/>
                <w:color w:val="000000"/>
                <w:sz w:val="18"/>
                <w:szCs w:val="18"/>
                <w:lang w:bidi="ar"/>
              </w:rPr>
              <w:t>.</w:t>
            </w:r>
            <w:r>
              <w:rPr>
                <w:rFonts w:hint="eastAsia" w:ascii="仿宋" w:hAnsi="仿宋" w:eastAsia="仿宋" w:cs="仿宋"/>
                <w:color w:val="000000"/>
                <w:sz w:val="18"/>
                <w:szCs w:val="18"/>
                <w:lang w:bidi="ar"/>
              </w:rPr>
              <w:t>5</w:t>
            </w:r>
            <w:r>
              <w:rPr>
                <w:rFonts w:ascii="仿宋" w:hAnsi="仿宋" w:eastAsia="仿宋" w:cs="仿宋"/>
                <w:color w:val="000000"/>
                <w:sz w:val="18"/>
                <w:szCs w:val="18"/>
                <w:lang w:bidi="ar"/>
              </w:rPr>
              <w:t>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2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楼体外线缆规整质量优良度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垃圾站（场）整洁有序，垃圾桶（箱）规格一致，外观整洁，分类归集，分布合理。现场勘查有一项问题扣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0.40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雨污管网改造质量优良度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1、根据验收评级，结合现场勘查情况，结合居民反映情况，从改造整体效果进行综合打分，总分0.5分。如：雨污分流、排放有序。</w:t>
            </w:r>
            <w:r>
              <w:rPr>
                <w:rFonts w:hint="eastAsia" w:ascii="华文仿宋" w:hAnsi="华文仿宋" w:eastAsia="华文仿宋" w:cs="华文仿宋"/>
                <w:color w:val="000000"/>
                <w:sz w:val="16"/>
                <w:szCs w:val="16"/>
                <w:lang w:bidi="ar"/>
              </w:rPr>
              <w:t>现场勘查有一项问题扣</w:t>
            </w:r>
            <w:r>
              <w:rPr>
                <w:rFonts w:ascii="华文仿宋" w:hAnsi="华文仿宋" w:eastAsia="华文仿宋" w:cs="华文仿宋"/>
                <w:color w:val="000000"/>
                <w:sz w:val="16"/>
                <w:szCs w:val="16"/>
                <w:lang w:bidi="ar"/>
              </w:rPr>
              <w:t>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2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增设垃圾分类容器质量优良度</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达标</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827" w:type="pct"/>
            <w:shd w:val="clear" w:color="auto" w:fill="auto"/>
            <w:vAlign w:val="center"/>
          </w:tcPr>
          <w:p>
            <w:pPr>
              <w:textAlignment w:val="center"/>
              <w:rPr>
                <w:rFonts w:ascii="仿宋" w:hAnsi="仿宋" w:eastAsia="仿宋" w:cs="仿宋"/>
                <w:color w:val="000000"/>
                <w:sz w:val="15"/>
                <w:szCs w:val="15"/>
              </w:rPr>
            </w:pPr>
            <w:r>
              <w:rPr>
                <w:rFonts w:ascii="华文仿宋" w:hAnsi="华文仿宋" w:eastAsia="华文仿宋" w:cs="华文仿宋"/>
                <w:color w:val="000000"/>
                <w:sz w:val="16"/>
                <w:szCs w:val="16"/>
                <w:lang w:bidi="ar"/>
              </w:rPr>
              <w:t>1、根据验收评级，结合现场勘查情况，结合居民反映情况，从改造整体效果进行综合打分，总分0.5分。如：垃圾站（场）整洁有序，垃圾桶（箱）规格一致，外观整洁，分类归集，分布合理。现场勘查有一项问题扣0.1分，扣完为止。</w:t>
            </w:r>
          </w:p>
        </w:tc>
        <w:tc>
          <w:tcPr>
            <w:tcW w:w="448"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90" w:hRule="atLeast"/>
        </w:trPr>
        <w:tc>
          <w:tcPr>
            <w:tcW w:w="562"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合计</w:t>
            </w:r>
          </w:p>
        </w:tc>
        <w:tc>
          <w:tcPr>
            <w:tcW w:w="250"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24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15" w:type="pct"/>
            <w:shd w:val="clear" w:color="auto" w:fill="auto"/>
            <w:vAlign w:val="center"/>
          </w:tcPr>
          <w:p>
            <w:pPr>
              <w:jc w:val="center"/>
              <w:rPr>
                <w:rFonts w:ascii="仿宋" w:hAnsi="仿宋" w:eastAsia="仿宋" w:cs="仿宋"/>
                <w:color w:val="000000"/>
                <w:sz w:val="18"/>
                <w:szCs w:val="18"/>
              </w:rPr>
            </w:pPr>
            <w:r>
              <w:rPr>
                <w:rFonts w:ascii="仿宋" w:hAnsi="仿宋" w:eastAsia="仿宋" w:cs="仿宋"/>
                <w:color w:val="000000"/>
                <w:sz w:val="18"/>
                <w:szCs w:val="18"/>
              </w:rPr>
              <w:t>17.00</w:t>
            </w:r>
          </w:p>
        </w:tc>
        <w:tc>
          <w:tcPr>
            <w:tcW w:w="2827" w:type="pct"/>
            <w:shd w:val="clear" w:color="auto" w:fill="auto"/>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48" w:type="pct"/>
            <w:shd w:val="clear" w:color="auto" w:fill="auto"/>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1</w:t>
            </w:r>
            <w:r>
              <w:rPr>
                <w:rFonts w:hint="eastAsia" w:ascii="仿宋" w:hAnsi="仿宋" w:eastAsia="仿宋" w:cs="仿宋"/>
                <w:color w:val="000000"/>
                <w:sz w:val="18"/>
                <w:szCs w:val="18"/>
              </w:rPr>
              <w:t>3</w:t>
            </w:r>
            <w:r>
              <w:rPr>
                <w:rFonts w:ascii="仿宋" w:hAnsi="仿宋" w:eastAsia="仿宋" w:cs="仿宋"/>
                <w:color w:val="000000"/>
                <w:sz w:val="18"/>
                <w:szCs w:val="18"/>
              </w:rPr>
              <w:t>.</w:t>
            </w:r>
            <w:r>
              <w:rPr>
                <w:rFonts w:hint="eastAsia" w:ascii="仿宋" w:hAnsi="仿宋" w:eastAsia="仿宋" w:cs="仿宋"/>
                <w:color w:val="000000"/>
                <w:sz w:val="18"/>
                <w:szCs w:val="18"/>
              </w:rPr>
              <w:t>7</w:t>
            </w:r>
            <w:r>
              <w:rPr>
                <w:rFonts w:ascii="仿宋" w:hAnsi="仿宋" w:eastAsia="仿宋" w:cs="仿宋"/>
                <w:color w:val="000000"/>
                <w:sz w:val="18"/>
                <w:szCs w:val="18"/>
              </w:rPr>
              <w:t>0</w:t>
            </w:r>
          </w:p>
        </w:tc>
      </w:tr>
    </w:tbl>
    <w:p>
      <w:pPr>
        <w:adjustRightInd w:val="0"/>
        <w:snapToGrid w:val="0"/>
        <w:spacing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根据五大原则和</w:t>
      </w:r>
      <w:r>
        <w:rPr>
          <w:rFonts w:ascii="仿宋" w:hAnsi="仿宋" w:eastAsia="仿宋" w:cs="仿宋"/>
          <w:sz w:val="28"/>
          <w:szCs w:val="28"/>
        </w:rPr>
        <w:t>52条改造提升清单等设计的质量标准，结合已验收的项目、现场勘查和居民走访结果，按照现场勘查有一项质量问题倒扣分的标准，存在问题的情况有：</w:t>
      </w:r>
    </w:p>
    <w:p>
      <w:pPr>
        <w:adjustRightInd w:val="0"/>
        <w:snapToGrid w:val="0"/>
        <w:spacing w:line="360" w:lineRule="auto"/>
        <w:ind w:firstLine="560" w:firstLineChars="200"/>
        <w:outlineLvl w:val="0"/>
        <w:rPr>
          <w:rFonts w:ascii="仿宋" w:hAnsi="仿宋" w:eastAsia="仿宋" w:cs="仿宋"/>
          <w:sz w:val="28"/>
          <w:szCs w:val="28"/>
        </w:rPr>
      </w:pPr>
      <w:r>
        <w:rPr>
          <w:rFonts w:ascii="仿宋" w:hAnsi="仿宋" w:eastAsia="仿宋" w:cs="仿宋"/>
          <w:sz w:val="28"/>
          <w:szCs w:val="28"/>
        </w:rPr>
        <w:fldChar w:fldCharType="begin"/>
      </w:r>
      <w:r>
        <w:rPr>
          <w:rFonts w:ascii="仿宋" w:hAnsi="仿宋" w:eastAsia="仿宋" w:cs="仿宋"/>
          <w:sz w:val="28"/>
          <w:szCs w:val="28"/>
        </w:rPr>
        <w:instrText xml:space="preserve"> </w:instrText>
      </w:r>
      <w:r>
        <w:rPr>
          <w:rFonts w:hint="eastAsia" w:ascii="仿宋" w:hAnsi="仿宋" w:eastAsia="仿宋" w:cs="仿宋"/>
          <w:sz w:val="28"/>
          <w:szCs w:val="28"/>
        </w:rPr>
        <w:instrText xml:space="preserve">= 1 \* GB3</w:instrText>
      </w:r>
      <w:r>
        <w:rPr>
          <w:rFonts w:ascii="仿宋" w:hAnsi="仿宋" w:eastAsia="仿宋" w:cs="仿宋"/>
          <w:sz w:val="28"/>
          <w:szCs w:val="28"/>
        </w:rPr>
        <w:instrText xml:space="preserve"> </w:instrText>
      </w:r>
      <w:r>
        <w:rPr>
          <w:rFonts w:ascii="仿宋" w:hAnsi="仿宋" w:eastAsia="仿宋" w:cs="仿宋"/>
          <w:sz w:val="28"/>
          <w:szCs w:val="28"/>
        </w:rPr>
        <w:fldChar w:fldCharType="separate"/>
      </w:r>
      <w:r>
        <w:rPr>
          <w:rFonts w:hint="eastAsia" w:ascii="仿宋" w:hAnsi="仿宋" w:eastAsia="仿宋" w:cs="仿宋"/>
          <w:sz w:val="28"/>
          <w:szCs w:val="28"/>
        </w:rPr>
        <w:t>①</w:t>
      </w:r>
      <w:r>
        <w:rPr>
          <w:rFonts w:ascii="仿宋" w:hAnsi="仿宋" w:eastAsia="仿宋" w:cs="仿宋"/>
          <w:sz w:val="28"/>
          <w:szCs w:val="28"/>
        </w:rPr>
        <w:fldChar w:fldCharType="end"/>
      </w:r>
      <w:r>
        <w:rPr>
          <w:rFonts w:hint="eastAsia" w:ascii="仿宋" w:hAnsi="仿宋" w:eastAsia="仿宋" w:cs="仿宋"/>
          <w:sz w:val="28"/>
          <w:szCs w:val="28"/>
        </w:rPr>
        <w:t>拆改可燃、易燃雨棚质量优良度：白象居存在1项问题（</w:t>
      </w:r>
      <w:r>
        <w:rPr>
          <w:rFonts w:ascii="仿宋" w:hAnsi="仿宋" w:eastAsia="仿宋" w:cs="仿宋"/>
          <w:sz w:val="28"/>
          <w:szCs w:val="28"/>
        </w:rPr>
        <w:t>&lt;</w:t>
      </w:r>
      <w:r>
        <w:rPr>
          <w:rFonts w:hint="eastAsia" w:ascii="仿宋" w:hAnsi="仿宋" w:eastAsia="仿宋" w:cs="仿宋"/>
          <w:sz w:val="28"/>
          <w:szCs w:val="28"/>
        </w:rPr>
        <w:t>见照片白象居</w:t>
      </w:r>
      <w:r>
        <w:rPr>
          <w:rFonts w:ascii="仿宋" w:hAnsi="仿宋" w:eastAsia="仿宋" w:cs="仿宋"/>
          <w:sz w:val="28"/>
          <w:szCs w:val="28"/>
        </w:rPr>
        <w:t>-雨棚-01&gt;</w:t>
      </w:r>
      <w:r>
        <w:rPr>
          <w:rFonts w:hint="eastAsia" w:ascii="仿宋" w:hAnsi="仿宋" w:eastAsia="仿宋" w:cs="仿宋"/>
          <w:sz w:val="28"/>
          <w:szCs w:val="28"/>
        </w:rPr>
        <w:t>）按照出现一项问题扣</w:t>
      </w:r>
      <w:r>
        <w:rPr>
          <w:rFonts w:ascii="仿宋" w:hAnsi="仿宋" w:eastAsia="仿宋" w:cs="仿宋"/>
          <w:sz w:val="28"/>
          <w:szCs w:val="28"/>
        </w:rPr>
        <w:t>0.2</w:t>
      </w:r>
      <w:r>
        <w:rPr>
          <w:rFonts w:hint="eastAsia" w:ascii="仿宋" w:hAnsi="仿宋" w:eastAsia="仿宋" w:cs="仿宋"/>
          <w:sz w:val="28"/>
          <w:szCs w:val="28"/>
        </w:rPr>
        <w:t>0分的扣分标准，拆改可燃、易燃雨棚质量优良度扣0.20分。</w:t>
      </w:r>
    </w:p>
    <w:tbl>
      <w:tblPr>
        <w:tblStyle w:val="11"/>
        <w:tblW w:w="0" w:type="auto"/>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652"/>
        <w:gridCol w:w="3216"/>
        <w:gridCol w:w="266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836"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序号</w:t>
            </w:r>
          </w:p>
        </w:tc>
        <w:tc>
          <w:tcPr>
            <w:tcW w:w="2856"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照片</w:t>
            </w:r>
          </w:p>
        </w:tc>
        <w:tc>
          <w:tcPr>
            <w:tcW w:w="2836"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176" w:hRule="atLeast"/>
        </w:trPr>
        <w:tc>
          <w:tcPr>
            <w:tcW w:w="2836"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白象居</w:t>
            </w:r>
            <w:r>
              <w:rPr>
                <w:rFonts w:ascii="仿宋" w:hAnsi="仿宋" w:eastAsia="仿宋" w:cs="仿宋"/>
                <w:sz w:val="21"/>
                <w:szCs w:val="21"/>
              </w:rPr>
              <w:t>-雨棚-01</w:t>
            </w:r>
          </w:p>
        </w:tc>
        <w:tc>
          <w:tcPr>
            <w:tcW w:w="2856" w:type="dxa"/>
          </w:tcPr>
          <w:p>
            <w:pPr>
              <w:widowControl w:val="0"/>
              <w:adjustRightInd w:val="0"/>
              <w:snapToGrid w:val="0"/>
              <w:spacing w:line="360" w:lineRule="auto"/>
              <w:jc w:val="both"/>
              <w:rPr>
                <w:rFonts w:ascii="仿宋" w:hAnsi="仿宋" w:eastAsia="仿宋" w:cs="仿宋"/>
                <w:sz w:val="28"/>
                <w:szCs w:val="28"/>
              </w:rPr>
            </w:pPr>
            <w:r>
              <w:rPr>
                <w:rFonts w:hint="eastAsia" w:ascii="仿宋" w:hAnsi="仿宋" w:eastAsia="仿宋" w:cs="仿宋"/>
                <w:sz w:val="28"/>
                <w:szCs w:val="28"/>
              </w:rPr>
              <w:drawing>
                <wp:inline distT="0" distB="0" distL="114300" distR="114300">
                  <wp:extent cx="1898650" cy="1898650"/>
                  <wp:effectExtent l="0" t="0" r="6350" b="6350"/>
                  <wp:docPr id="2" name="图片 2" descr="D:\大华会计师事务所\1大华会计师事务所\朝天门\打印111\朝天门现场问题照片\雨棚\白象居雨棚-01.jpg白象居雨棚-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大华会计师事务所\1大华会计师事务所\朝天门\打印111\朝天门现场问题照片\雨棚\白象居雨棚-01.jpg白象居雨棚-01"/>
                          <pic:cNvPicPr>
                            <a:picLocks noChangeAspect="1"/>
                          </pic:cNvPicPr>
                        </pic:nvPicPr>
                        <pic:blipFill>
                          <a:blip r:embed="rId13"/>
                          <a:srcRect t="12507" b="12507"/>
                          <a:stretch>
                            <a:fillRect/>
                          </a:stretch>
                        </pic:blipFill>
                        <pic:spPr>
                          <a:xfrm>
                            <a:off x="0" y="0"/>
                            <a:ext cx="1900925" cy="1900925"/>
                          </a:xfrm>
                          <a:prstGeom prst="rect">
                            <a:avLst/>
                          </a:prstGeom>
                        </pic:spPr>
                      </pic:pic>
                    </a:graphicData>
                  </a:graphic>
                </wp:inline>
              </w:drawing>
            </w:r>
          </w:p>
        </w:tc>
        <w:tc>
          <w:tcPr>
            <w:tcW w:w="2836"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雨棚拆除，产生安全问题</w:t>
            </w:r>
          </w:p>
        </w:tc>
      </w:tr>
    </w:tbl>
    <w:p>
      <w:pPr>
        <w:adjustRightInd w:val="0"/>
        <w:snapToGrid w:val="0"/>
        <w:spacing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②修复公共楼梯质量优良度：朝千路、棉花街、沧白路存在3项问题（见照片</w:t>
      </w:r>
      <w:r>
        <w:rPr>
          <w:rFonts w:ascii="仿宋" w:hAnsi="仿宋" w:eastAsia="仿宋" w:cs="仿宋"/>
          <w:sz w:val="28"/>
          <w:szCs w:val="28"/>
        </w:rPr>
        <w:t>&lt;</w:t>
      </w:r>
      <w:r>
        <w:rPr>
          <w:rFonts w:hint="eastAsia" w:ascii="仿宋" w:hAnsi="仿宋" w:eastAsia="仿宋" w:cs="仿宋"/>
          <w:sz w:val="28"/>
          <w:szCs w:val="28"/>
        </w:rPr>
        <w:t>朝千路、棉花街、沧白路</w:t>
      </w:r>
      <w:r>
        <w:rPr>
          <w:rFonts w:ascii="仿宋" w:hAnsi="仿宋" w:eastAsia="仿宋" w:cs="仿宋"/>
          <w:sz w:val="28"/>
          <w:szCs w:val="28"/>
        </w:rPr>
        <w:t>-修复公共楼梯-01~0</w:t>
      </w:r>
      <w:r>
        <w:rPr>
          <w:rFonts w:hint="eastAsia" w:ascii="仿宋" w:hAnsi="仿宋" w:eastAsia="仿宋" w:cs="仿宋"/>
          <w:sz w:val="28"/>
          <w:szCs w:val="28"/>
        </w:rPr>
        <w:t>3</w:t>
      </w:r>
      <w:r>
        <w:rPr>
          <w:rFonts w:ascii="仿宋" w:hAnsi="仿宋" w:eastAsia="仿宋" w:cs="仿宋"/>
          <w:sz w:val="28"/>
          <w:szCs w:val="28"/>
        </w:rPr>
        <w:t>&gt;</w:t>
      </w:r>
      <w:r>
        <w:rPr>
          <w:rFonts w:hint="eastAsia" w:ascii="仿宋" w:hAnsi="仿宋" w:eastAsia="仿宋" w:cs="仿宋"/>
          <w:sz w:val="28"/>
          <w:szCs w:val="28"/>
        </w:rPr>
        <w:t>），按照出现一项问题扣</w:t>
      </w:r>
      <w:r>
        <w:rPr>
          <w:rFonts w:ascii="仿宋" w:hAnsi="仿宋" w:eastAsia="仿宋" w:cs="仿宋"/>
          <w:sz w:val="28"/>
          <w:szCs w:val="28"/>
        </w:rPr>
        <w:t>0.3</w:t>
      </w:r>
      <w:r>
        <w:rPr>
          <w:rFonts w:hint="eastAsia" w:ascii="仿宋" w:hAnsi="仿宋" w:eastAsia="仿宋" w:cs="仿宋"/>
          <w:sz w:val="28"/>
          <w:szCs w:val="28"/>
        </w:rPr>
        <w:t>0分的扣分标准，公共楼梯修复质量优良度合计扣除0.90分；</w:t>
      </w:r>
    </w:p>
    <w:tbl>
      <w:tblPr>
        <w:tblStyle w:val="11"/>
        <w:tblW w:w="0" w:type="auto"/>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408"/>
        <w:gridCol w:w="4277"/>
        <w:gridCol w:w="284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408"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序号</w:t>
            </w:r>
          </w:p>
        </w:tc>
        <w:tc>
          <w:tcPr>
            <w:tcW w:w="4277"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照片</w:t>
            </w:r>
          </w:p>
        </w:tc>
        <w:tc>
          <w:tcPr>
            <w:tcW w:w="284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530" w:hRule="atLeast"/>
        </w:trPr>
        <w:tc>
          <w:tcPr>
            <w:tcW w:w="1408"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1"/>
                <w:szCs w:val="21"/>
              </w:rPr>
              <w:t>朝千路、棉花街、沧白路</w:t>
            </w:r>
            <w:r>
              <w:rPr>
                <w:rFonts w:ascii="仿宋" w:hAnsi="仿宋" w:eastAsia="仿宋" w:cs="仿宋"/>
                <w:sz w:val="21"/>
                <w:szCs w:val="21"/>
              </w:rPr>
              <w:t>-修复公共楼梯-01</w:t>
            </w:r>
          </w:p>
        </w:tc>
        <w:tc>
          <w:tcPr>
            <w:tcW w:w="4277" w:type="dxa"/>
          </w:tcPr>
          <w:p>
            <w:pPr>
              <w:widowControl w:val="0"/>
              <w:adjustRightInd w:val="0"/>
              <w:snapToGrid w:val="0"/>
              <w:spacing w:line="360" w:lineRule="auto"/>
              <w:jc w:val="both"/>
              <w:outlineLvl w:val="0"/>
              <w:rPr>
                <w:rFonts w:ascii="仿宋" w:hAnsi="仿宋" w:eastAsia="仿宋" w:cs="仿宋"/>
                <w:sz w:val="28"/>
                <w:szCs w:val="28"/>
              </w:rPr>
            </w:pPr>
            <w:r>
              <w:drawing>
                <wp:inline distT="0" distB="0" distL="0" distR="0">
                  <wp:extent cx="2574290" cy="245427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2577286" cy="2457576"/>
                          </a:xfrm>
                          <a:prstGeom prst="rect">
                            <a:avLst/>
                          </a:prstGeom>
                        </pic:spPr>
                      </pic:pic>
                    </a:graphicData>
                  </a:graphic>
                </wp:inline>
              </w:drawing>
            </w:r>
          </w:p>
        </w:tc>
        <w:tc>
          <w:tcPr>
            <w:tcW w:w="2843"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手扶栏杆松动</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1408"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序号</w:t>
            </w:r>
          </w:p>
        </w:tc>
        <w:tc>
          <w:tcPr>
            <w:tcW w:w="4277" w:type="dxa"/>
          </w:tcPr>
          <w:p>
            <w:pPr>
              <w:widowControl w:val="0"/>
              <w:adjustRightInd w:val="0"/>
              <w:snapToGrid w:val="0"/>
              <w:spacing w:line="360" w:lineRule="auto"/>
              <w:jc w:val="center"/>
              <w:outlineLvl w:val="0"/>
            </w:pPr>
            <w:r>
              <w:rPr>
                <w:rFonts w:hint="eastAsia" w:ascii="仿宋" w:hAnsi="仿宋" w:eastAsia="仿宋" w:cs="仿宋"/>
                <w:sz w:val="21"/>
                <w:szCs w:val="21"/>
              </w:rPr>
              <w:t>照片</w:t>
            </w:r>
          </w:p>
        </w:tc>
        <w:tc>
          <w:tcPr>
            <w:tcW w:w="284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199" w:hRule="atLeast"/>
        </w:trPr>
        <w:tc>
          <w:tcPr>
            <w:tcW w:w="1408"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1"/>
                <w:szCs w:val="21"/>
              </w:rPr>
              <w:t>朝千路、棉花街、沧白路</w:t>
            </w:r>
            <w:r>
              <w:rPr>
                <w:rFonts w:ascii="仿宋" w:hAnsi="仿宋" w:eastAsia="仿宋" w:cs="仿宋"/>
                <w:sz w:val="21"/>
                <w:szCs w:val="21"/>
              </w:rPr>
              <w:t>-修复公共楼梯-02</w:t>
            </w:r>
          </w:p>
        </w:tc>
        <w:tc>
          <w:tcPr>
            <w:tcW w:w="4277"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161540" cy="2161540"/>
                  <wp:effectExtent l="0" t="0" r="10160" b="10160"/>
                  <wp:docPr id="22" name="图片 22" descr="朝棉沧-公共楼梯间整改量-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朝棉沧-公共楼梯间整改量-02"/>
                          <pic:cNvPicPr>
                            <a:picLocks noChangeAspect="1"/>
                          </pic:cNvPicPr>
                        </pic:nvPicPr>
                        <pic:blipFill>
                          <a:blip r:embed="rId15"/>
                          <a:srcRect t="14702" b="14702"/>
                          <a:stretch>
                            <a:fillRect/>
                          </a:stretch>
                        </pic:blipFill>
                        <pic:spPr>
                          <a:xfrm>
                            <a:off x="0" y="0"/>
                            <a:ext cx="2161540" cy="2161540"/>
                          </a:xfrm>
                          <a:prstGeom prst="rect">
                            <a:avLst/>
                          </a:prstGeom>
                        </pic:spPr>
                      </pic:pic>
                    </a:graphicData>
                  </a:graphic>
                </wp:inline>
              </w:drawing>
            </w:r>
          </w:p>
        </w:tc>
        <w:tc>
          <w:tcPr>
            <w:tcW w:w="284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手扶栏杆损坏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89" w:hRule="atLeast"/>
        </w:trPr>
        <w:tc>
          <w:tcPr>
            <w:tcW w:w="1408" w:type="dxa"/>
          </w:tcPr>
          <w:p>
            <w:pPr>
              <w:widowControl w:val="0"/>
              <w:adjustRightInd w:val="0"/>
              <w:snapToGrid w:val="0"/>
              <w:spacing w:line="360" w:lineRule="auto"/>
              <w:jc w:val="both"/>
              <w:outlineLvl w:val="0"/>
              <w:rPr>
                <w:rFonts w:ascii="仿宋" w:hAnsi="仿宋" w:eastAsia="仿宋" w:cs="仿宋"/>
                <w:sz w:val="21"/>
                <w:szCs w:val="21"/>
              </w:rPr>
            </w:pPr>
            <w:r>
              <w:rPr>
                <w:rFonts w:hint="eastAsia" w:ascii="仿宋" w:hAnsi="仿宋" w:eastAsia="仿宋" w:cs="仿宋"/>
                <w:sz w:val="21"/>
                <w:szCs w:val="21"/>
              </w:rPr>
              <w:t>朝千路、棉花街、沧白路-修复公共楼梯-03</w:t>
            </w:r>
          </w:p>
        </w:tc>
        <w:tc>
          <w:tcPr>
            <w:tcW w:w="4277"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178050" cy="2178050"/>
                  <wp:effectExtent l="0" t="0" r="6350" b="6350"/>
                  <wp:docPr id="31" name="图片 31" descr="朝棉沧-公共楼梯间整改量-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朝棉沧-公共楼梯间整改量-06"/>
                          <pic:cNvPicPr>
                            <a:picLocks noChangeAspect="1"/>
                          </pic:cNvPicPr>
                        </pic:nvPicPr>
                        <pic:blipFill>
                          <a:blip r:embed="rId16"/>
                          <a:srcRect t="15503" b="15503"/>
                          <a:stretch>
                            <a:fillRect/>
                          </a:stretch>
                        </pic:blipFill>
                        <pic:spPr>
                          <a:xfrm>
                            <a:off x="0" y="0"/>
                            <a:ext cx="2178050" cy="2178050"/>
                          </a:xfrm>
                          <a:prstGeom prst="rect">
                            <a:avLst/>
                          </a:prstGeom>
                        </pic:spPr>
                      </pic:pic>
                    </a:graphicData>
                  </a:graphic>
                </wp:inline>
              </w:drawing>
            </w:r>
          </w:p>
        </w:tc>
        <w:tc>
          <w:tcPr>
            <w:tcW w:w="284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楼梯间墙面损坏</w:t>
            </w:r>
          </w:p>
        </w:tc>
      </w:tr>
    </w:tbl>
    <w:p>
      <w:pPr>
        <w:adjustRightInd w:val="0"/>
        <w:snapToGrid w:val="0"/>
        <w:spacing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③道路平整质量优良度：朝千路、棉花街、沧白路存在</w:t>
      </w:r>
      <w:r>
        <w:rPr>
          <w:rFonts w:ascii="仿宋" w:hAnsi="仿宋" w:eastAsia="仿宋" w:cs="仿宋"/>
          <w:sz w:val="28"/>
          <w:szCs w:val="28"/>
        </w:rPr>
        <w:t>4项问题（见照片&lt;</w:t>
      </w:r>
      <w:r>
        <w:rPr>
          <w:rFonts w:hint="eastAsia" w:ascii="仿宋" w:hAnsi="仿宋" w:eastAsia="仿宋" w:cs="仿宋"/>
          <w:sz w:val="28"/>
          <w:szCs w:val="28"/>
        </w:rPr>
        <w:t>朝千路、棉花街、沧白路</w:t>
      </w:r>
      <w:r>
        <w:rPr>
          <w:rFonts w:ascii="仿宋" w:hAnsi="仿宋" w:eastAsia="仿宋" w:cs="仿宋"/>
          <w:sz w:val="28"/>
          <w:szCs w:val="28"/>
        </w:rPr>
        <w:t>-道路平整-01~04&gt;</w:t>
      </w:r>
      <w:r>
        <w:rPr>
          <w:rFonts w:hint="eastAsia" w:ascii="仿宋" w:hAnsi="仿宋" w:eastAsia="仿宋" w:cs="仿宋"/>
          <w:sz w:val="28"/>
          <w:szCs w:val="28"/>
        </w:rPr>
        <w:t>）共计</w:t>
      </w:r>
      <w:r>
        <w:rPr>
          <w:rFonts w:ascii="仿宋" w:hAnsi="仿宋" w:eastAsia="仿宋" w:cs="仿宋"/>
          <w:sz w:val="28"/>
          <w:szCs w:val="28"/>
        </w:rPr>
        <w:t>4</w:t>
      </w:r>
      <w:r>
        <w:rPr>
          <w:rFonts w:hint="eastAsia" w:ascii="仿宋" w:hAnsi="仿宋" w:eastAsia="仿宋" w:cs="仿宋"/>
          <w:sz w:val="28"/>
          <w:szCs w:val="28"/>
        </w:rPr>
        <w:t>项，按照出现一项问题扣</w:t>
      </w:r>
      <w:r>
        <w:rPr>
          <w:rFonts w:ascii="仿宋" w:hAnsi="仿宋" w:eastAsia="仿宋" w:cs="仿宋"/>
          <w:sz w:val="28"/>
          <w:szCs w:val="28"/>
        </w:rPr>
        <w:t>0.3</w:t>
      </w:r>
      <w:r>
        <w:rPr>
          <w:rFonts w:hint="eastAsia" w:ascii="仿宋" w:hAnsi="仿宋" w:eastAsia="仿宋" w:cs="仿宋"/>
          <w:sz w:val="28"/>
          <w:szCs w:val="28"/>
        </w:rPr>
        <w:t>0分的扣分标准，道路平整质量优良度合计扣除1.20分；</w:t>
      </w:r>
    </w:p>
    <w:tbl>
      <w:tblPr>
        <w:tblStyle w:val="11"/>
        <w:tblW w:w="0" w:type="auto"/>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264"/>
        <w:gridCol w:w="4037"/>
        <w:gridCol w:w="2227"/>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176" w:hRule="atLeast"/>
        </w:trPr>
        <w:tc>
          <w:tcPr>
            <w:tcW w:w="2264"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序号</w:t>
            </w:r>
          </w:p>
        </w:tc>
        <w:tc>
          <w:tcPr>
            <w:tcW w:w="4037"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照片</w:t>
            </w:r>
          </w:p>
        </w:tc>
        <w:tc>
          <w:tcPr>
            <w:tcW w:w="2227"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202" w:hRule="atLeast"/>
        </w:trPr>
        <w:tc>
          <w:tcPr>
            <w:tcW w:w="2264"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朝千路、棉花街、沧白路</w:t>
            </w:r>
            <w:r>
              <w:rPr>
                <w:rFonts w:ascii="仿宋" w:hAnsi="仿宋" w:eastAsia="仿宋" w:cs="仿宋"/>
                <w:sz w:val="21"/>
                <w:szCs w:val="21"/>
              </w:rPr>
              <w:t>-道路平整-01</w:t>
            </w:r>
          </w:p>
        </w:tc>
        <w:tc>
          <w:tcPr>
            <w:tcW w:w="4037"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159000" cy="1265555"/>
                  <wp:effectExtent l="0" t="0" r="0" b="0"/>
                  <wp:docPr id="16" name="图片 16" descr="朝棉沧-人行道整改量-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朝棉沧-人行道整改量-01"/>
                          <pic:cNvPicPr>
                            <a:picLocks noChangeAspect="1"/>
                          </pic:cNvPicPr>
                        </pic:nvPicPr>
                        <pic:blipFill>
                          <a:blip r:embed="rId17"/>
                          <a:srcRect l="3777" t="20276" r="-3777" b="6720"/>
                          <a:stretch>
                            <a:fillRect/>
                          </a:stretch>
                        </pic:blipFill>
                        <pic:spPr>
                          <a:xfrm>
                            <a:off x="0" y="0"/>
                            <a:ext cx="2160624" cy="1266816"/>
                          </a:xfrm>
                          <a:prstGeom prst="rect">
                            <a:avLst/>
                          </a:prstGeom>
                        </pic:spPr>
                      </pic:pic>
                    </a:graphicData>
                  </a:graphic>
                </wp:inline>
              </w:drawing>
            </w:r>
          </w:p>
        </w:tc>
        <w:tc>
          <w:tcPr>
            <w:tcW w:w="2227"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道路地砖损坏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64"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序号</w:t>
            </w:r>
          </w:p>
        </w:tc>
        <w:tc>
          <w:tcPr>
            <w:tcW w:w="4037"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照片</w:t>
            </w:r>
          </w:p>
        </w:tc>
        <w:tc>
          <w:tcPr>
            <w:tcW w:w="2227"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64"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朝千路、棉花街、沧白路-道路平整-02</w:t>
            </w:r>
          </w:p>
        </w:tc>
        <w:tc>
          <w:tcPr>
            <w:tcW w:w="4037"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381885" cy="2381885"/>
                  <wp:effectExtent l="0" t="0" r="5715" b="5080"/>
                  <wp:docPr id="32" name="图片 32" descr="朝棉沧-人行道整改量-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朝棉沧-人行道整改量-02"/>
                          <pic:cNvPicPr>
                            <a:picLocks noChangeAspect="1"/>
                          </pic:cNvPicPr>
                        </pic:nvPicPr>
                        <pic:blipFill>
                          <a:blip r:embed="rId18"/>
                          <a:srcRect l="9499" t="-8172" r="20295" b="8172"/>
                          <a:stretch>
                            <a:fillRect/>
                          </a:stretch>
                        </pic:blipFill>
                        <pic:spPr>
                          <a:xfrm>
                            <a:off x="0" y="0"/>
                            <a:ext cx="2381885" cy="2381885"/>
                          </a:xfrm>
                          <a:prstGeom prst="rect">
                            <a:avLst/>
                          </a:prstGeom>
                        </pic:spPr>
                      </pic:pic>
                    </a:graphicData>
                  </a:graphic>
                </wp:inline>
              </w:drawing>
            </w:r>
          </w:p>
        </w:tc>
        <w:tc>
          <w:tcPr>
            <w:tcW w:w="2227"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道路地砖下沉</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64"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朝千路、棉花街、沧白路</w:t>
            </w:r>
            <w:r>
              <w:rPr>
                <w:rFonts w:ascii="仿宋" w:hAnsi="仿宋" w:eastAsia="仿宋" w:cs="仿宋"/>
                <w:sz w:val="21"/>
                <w:szCs w:val="21"/>
              </w:rPr>
              <w:t>-道路平整-03</w:t>
            </w:r>
          </w:p>
        </w:tc>
        <w:tc>
          <w:tcPr>
            <w:tcW w:w="4037"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415540" cy="2415540"/>
                  <wp:effectExtent l="0" t="0" r="10160" b="10160"/>
                  <wp:docPr id="14" name="图片 14" descr="朝棉沧-人行道整改量-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朝棉沧-人行道整改量-03"/>
                          <pic:cNvPicPr>
                            <a:picLocks noChangeAspect="1"/>
                          </pic:cNvPicPr>
                        </pic:nvPicPr>
                        <pic:blipFill>
                          <a:blip r:embed="rId19"/>
                          <a:srcRect t="14719" b="14719"/>
                          <a:stretch>
                            <a:fillRect/>
                          </a:stretch>
                        </pic:blipFill>
                        <pic:spPr>
                          <a:xfrm>
                            <a:off x="0" y="0"/>
                            <a:ext cx="2415540" cy="2415540"/>
                          </a:xfrm>
                          <a:prstGeom prst="rect">
                            <a:avLst/>
                          </a:prstGeom>
                        </pic:spPr>
                      </pic:pic>
                    </a:graphicData>
                  </a:graphic>
                </wp:inline>
              </w:drawing>
            </w:r>
          </w:p>
        </w:tc>
        <w:tc>
          <w:tcPr>
            <w:tcW w:w="2227"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道路地砖损坏</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64"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朝千路、棉花街、沧白路</w:t>
            </w:r>
            <w:r>
              <w:rPr>
                <w:rFonts w:ascii="仿宋" w:hAnsi="仿宋" w:eastAsia="仿宋" w:cs="仿宋"/>
                <w:sz w:val="21"/>
                <w:szCs w:val="21"/>
              </w:rPr>
              <w:t>-道路平整-04</w:t>
            </w:r>
          </w:p>
        </w:tc>
        <w:tc>
          <w:tcPr>
            <w:tcW w:w="4037"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423160" cy="1771650"/>
                  <wp:effectExtent l="0" t="0" r="2540" b="6350"/>
                  <wp:docPr id="7" name="图片 7" descr="朝棉沧- 人行道整改-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朝棉沧- 人行道整改-04"/>
                          <pic:cNvPicPr>
                            <a:picLocks noChangeAspect="1"/>
                          </pic:cNvPicPr>
                        </pic:nvPicPr>
                        <pic:blipFill>
                          <a:blip r:embed="rId20"/>
                          <a:stretch>
                            <a:fillRect/>
                          </a:stretch>
                        </pic:blipFill>
                        <pic:spPr>
                          <a:xfrm>
                            <a:off x="0" y="0"/>
                            <a:ext cx="2423160" cy="1771650"/>
                          </a:xfrm>
                          <a:prstGeom prst="rect">
                            <a:avLst/>
                          </a:prstGeom>
                        </pic:spPr>
                      </pic:pic>
                    </a:graphicData>
                  </a:graphic>
                </wp:inline>
              </w:drawing>
            </w:r>
          </w:p>
        </w:tc>
        <w:tc>
          <w:tcPr>
            <w:tcW w:w="2227"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道路地砖损坏</w:t>
            </w:r>
          </w:p>
        </w:tc>
      </w:tr>
    </w:tbl>
    <w:p>
      <w:pPr>
        <w:adjustRightInd w:val="0"/>
        <w:snapToGrid w:val="0"/>
        <w:spacing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④修缮破损围墙质量优良度：白象居存在3</w:t>
      </w:r>
      <w:r>
        <w:rPr>
          <w:rFonts w:ascii="仿宋" w:hAnsi="仿宋" w:eastAsia="仿宋" w:cs="仿宋"/>
          <w:sz w:val="28"/>
          <w:szCs w:val="28"/>
        </w:rPr>
        <w:t>项墙面问题（见照片&lt;</w:t>
      </w:r>
      <w:r>
        <w:rPr>
          <w:rFonts w:hint="eastAsia" w:ascii="仿宋" w:hAnsi="仿宋" w:eastAsia="仿宋" w:cs="仿宋"/>
          <w:sz w:val="28"/>
          <w:szCs w:val="28"/>
        </w:rPr>
        <w:t>白象居</w:t>
      </w:r>
      <w:r>
        <w:rPr>
          <w:rFonts w:ascii="仿宋" w:hAnsi="仿宋" w:eastAsia="仿宋" w:cs="仿宋"/>
          <w:sz w:val="28"/>
          <w:szCs w:val="28"/>
        </w:rPr>
        <w:t>-立面-01~0</w:t>
      </w:r>
      <w:r>
        <w:rPr>
          <w:rFonts w:hint="eastAsia" w:ascii="仿宋" w:hAnsi="仿宋" w:eastAsia="仿宋" w:cs="仿宋"/>
          <w:sz w:val="28"/>
          <w:szCs w:val="28"/>
        </w:rPr>
        <w:t>3</w:t>
      </w:r>
      <w:r>
        <w:rPr>
          <w:rFonts w:ascii="仿宋" w:hAnsi="仿宋" w:eastAsia="仿宋" w:cs="仿宋"/>
          <w:sz w:val="28"/>
          <w:szCs w:val="28"/>
        </w:rPr>
        <w:t>&gt;</w:t>
      </w:r>
      <w:r>
        <w:rPr>
          <w:rFonts w:hint="eastAsia" w:ascii="仿宋" w:hAnsi="仿宋" w:eastAsia="仿宋" w:cs="仿宋"/>
          <w:sz w:val="28"/>
          <w:szCs w:val="28"/>
        </w:rPr>
        <w:t>），按照出现一项问题扣</w:t>
      </w:r>
      <w:r>
        <w:rPr>
          <w:rFonts w:ascii="仿宋" w:hAnsi="仿宋" w:eastAsia="仿宋" w:cs="仿宋"/>
          <w:sz w:val="28"/>
          <w:szCs w:val="28"/>
        </w:rPr>
        <w:t>0.3</w:t>
      </w:r>
      <w:r>
        <w:rPr>
          <w:rFonts w:hint="eastAsia" w:ascii="仿宋" w:hAnsi="仿宋" w:eastAsia="仿宋" w:cs="仿宋"/>
          <w:sz w:val="28"/>
          <w:szCs w:val="28"/>
        </w:rPr>
        <w:t>0分的扣分标准，修缮破损围墙质量优良度合计扣除0.90分；</w:t>
      </w:r>
    </w:p>
    <w:p>
      <w:pPr>
        <w:adjustRightInd w:val="0"/>
        <w:snapToGrid w:val="0"/>
        <w:spacing w:line="360" w:lineRule="auto"/>
        <w:ind w:firstLine="560" w:firstLineChars="200"/>
        <w:rPr>
          <w:rFonts w:ascii="仿宋" w:hAnsi="仿宋" w:eastAsia="仿宋" w:cs="仿宋"/>
          <w:sz w:val="28"/>
          <w:szCs w:val="28"/>
        </w:rPr>
      </w:pPr>
    </w:p>
    <w:tbl>
      <w:tblPr>
        <w:tblStyle w:val="11"/>
        <w:tblW w:w="0" w:type="auto"/>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293"/>
        <w:gridCol w:w="3976"/>
        <w:gridCol w:w="2259"/>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c>
          <w:tcPr>
            <w:tcW w:w="229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序号</w:t>
            </w:r>
          </w:p>
        </w:tc>
        <w:tc>
          <w:tcPr>
            <w:tcW w:w="3976"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照片</w:t>
            </w:r>
          </w:p>
        </w:tc>
        <w:tc>
          <w:tcPr>
            <w:tcW w:w="2259"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93"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白象居</w:t>
            </w:r>
            <w:r>
              <w:rPr>
                <w:rFonts w:ascii="仿宋" w:hAnsi="仿宋" w:eastAsia="仿宋" w:cs="仿宋"/>
                <w:sz w:val="21"/>
                <w:szCs w:val="21"/>
              </w:rPr>
              <w:t>-立面-01</w:t>
            </w:r>
          </w:p>
        </w:tc>
        <w:tc>
          <w:tcPr>
            <w:tcW w:w="3976"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143760" cy="2143760"/>
                  <wp:effectExtent l="0" t="0" r="2540" b="2540"/>
                  <wp:docPr id="29" name="图片 29" descr="白象居-外墙整改量-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白象居-外墙整改量-05"/>
                          <pic:cNvPicPr>
                            <a:picLocks noChangeAspect="1"/>
                          </pic:cNvPicPr>
                        </pic:nvPicPr>
                        <pic:blipFill>
                          <a:blip r:embed="rId21"/>
                          <a:srcRect t="12500" b="12500"/>
                          <a:stretch>
                            <a:fillRect/>
                          </a:stretch>
                        </pic:blipFill>
                        <pic:spPr>
                          <a:xfrm>
                            <a:off x="0" y="0"/>
                            <a:ext cx="2143760" cy="2143760"/>
                          </a:xfrm>
                          <a:prstGeom prst="rect">
                            <a:avLst/>
                          </a:prstGeom>
                        </pic:spPr>
                      </pic:pic>
                    </a:graphicData>
                  </a:graphic>
                </wp:inline>
              </w:drawing>
            </w:r>
          </w:p>
        </w:tc>
        <w:tc>
          <w:tcPr>
            <w:tcW w:w="2259"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墙面清洗不干净</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93"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白象居</w:t>
            </w:r>
            <w:r>
              <w:rPr>
                <w:rFonts w:ascii="仿宋" w:hAnsi="仿宋" w:eastAsia="仿宋" w:cs="仿宋"/>
                <w:sz w:val="21"/>
                <w:szCs w:val="21"/>
              </w:rPr>
              <w:t>-立面-02</w:t>
            </w:r>
          </w:p>
        </w:tc>
        <w:tc>
          <w:tcPr>
            <w:tcW w:w="3976"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143125" cy="2143125"/>
                  <wp:effectExtent l="0" t="0" r="3175" b="3175"/>
                  <wp:docPr id="28" name="图片 28" descr="白象居-外墙整改量-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白象居-外墙整改量-06"/>
                          <pic:cNvPicPr>
                            <a:picLocks noChangeAspect="1"/>
                          </pic:cNvPicPr>
                        </pic:nvPicPr>
                        <pic:blipFill>
                          <a:blip r:embed="rId22"/>
                          <a:srcRect t="12500" b="12500"/>
                          <a:stretch>
                            <a:fillRect/>
                          </a:stretch>
                        </pic:blipFill>
                        <pic:spPr>
                          <a:xfrm>
                            <a:off x="0" y="0"/>
                            <a:ext cx="2143125" cy="2143125"/>
                          </a:xfrm>
                          <a:prstGeom prst="rect">
                            <a:avLst/>
                          </a:prstGeom>
                        </pic:spPr>
                      </pic:pic>
                    </a:graphicData>
                  </a:graphic>
                </wp:inline>
              </w:drawing>
            </w:r>
          </w:p>
        </w:tc>
        <w:tc>
          <w:tcPr>
            <w:tcW w:w="2259"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墙面清洗不干净</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29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白象居</w:t>
            </w:r>
            <w:r>
              <w:rPr>
                <w:rFonts w:ascii="仿宋" w:hAnsi="仿宋" w:eastAsia="仿宋" w:cs="仿宋"/>
                <w:sz w:val="21"/>
                <w:szCs w:val="21"/>
              </w:rPr>
              <w:t>-立面-0</w:t>
            </w:r>
            <w:r>
              <w:rPr>
                <w:rFonts w:hint="eastAsia" w:ascii="仿宋" w:hAnsi="仿宋" w:eastAsia="仿宋" w:cs="仿宋"/>
                <w:sz w:val="21"/>
                <w:szCs w:val="21"/>
              </w:rPr>
              <w:t>3</w:t>
            </w:r>
          </w:p>
        </w:tc>
        <w:tc>
          <w:tcPr>
            <w:tcW w:w="3976" w:type="dxa"/>
          </w:tcPr>
          <w:p>
            <w:pPr>
              <w:widowControl w:val="0"/>
              <w:adjustRightInd w:val="0"/>
              <w:snapToGrid w:val="0"/>
              <w:spacing w:line="360" w:lineRule="auto"/>
              <w:jc w:val="both"/>
              <w:outlineLvl w:val="0"/>
              <w:rPr>
                <w:rFonts w:ascii="仿宋" w:hAnsi="仿宋" w:eastAsia="仿宋" w:cs="仿宋"/>
                <w:sz w:val="28"/>
                <w:szCs w:val="28"/>
              </w:rPr>
            </w:pPr>
            <w:r>
              <w:rPr>
                <w:rFonts w:hint="eastAsia" w:ascii="仿宋" w:hAnsi="仿宋" w:eastAsia="仿宋" w:cs="仿宋"/>
                <w:sz w:val="28"/>
                <w:szCs w:val="28"/>
              </w:rPr>
              <w:drawing>
                <wp:inline distT="0" distB="0" distL="114300" distR="114300">
                  <wp:extent cx="2117725" cy="2117725"/>
                  <wp:effectExtent l="0" t="0" r="3175" b="3175"/>
                  <wp:docPr id="26" name="图片 26" descr="白象居-外墙整改率-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白象居-外墙整改率-02"/>
                          <pic:cNvPicPr>
                            <a:picLocks noChangeAspect="1"/>
                          </pic:cNvPicPr>
                        </pic:nvPicPr>
                        <pic:blipFill>
                          <a:blip r:embed="rId23"/>
                          <a:srcRect l="10501" r="10501"/>
                          <a:stretch>
                            <a:fillRect/>
                          </a:stretch>
                        </pic:blipFill>
                        <pic:spPr>
                          <a:xfrm>
                            <a:off x="0" y="0"/>
                            <a:ext cx="2117725" cy="2117725"/>
                          </a:xfrm>
                          <a:prstGeom prst="rect">
                            <a:avLst/>
                          </a:prstGeom>
                        </pic:spPr>
                      </pic:pic>
                    </a:graphicData>
                  </a:graphic>
                </wp:inline>
              </w:drawing>
            </w:r>
          </w:p>
        </w:tc>
        <w:tc>
          <w:tcPr>
            <w:tcW w:w="2259"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墙面清洗不干净</w:t>
            </w:r>
          </w:p>
        </w:tc>
      </w:tr>
    </w:tbl>
    <w:p>
      <w:pPr>
        <w:adjustRightInd w:val="0"/>
        <w:snapToGrid w:val="0"/>
        <w:spacing w:before="100" w:beforeAutospacing="1" w:line="360" w:lineRule="auto"/>
        <w:ind w:firstLine="560" w:firstLineChars="200"/>
        <w:rPr>
          <w:rFonts w:ascii="仿宋" w:hAnsi="仿宋" w:eastAsia="仿宋" w:cs="仿宋"/>
          <w:sz w:val="28"/>
          <w:szCs w:val="28"/>
        </w:rPr>
      </w:pPr>
      <w:r>
        <w:rPr>
          <w:rFonts w:ascii="仿宋" w:hAnsi="仿宋" w:eastAsia="仿宋" w:cs="仿宋"/>
          <w:sz w:val="28"/>
          <w:szCs w:val="28"/>
        </w:rPr>
        <w:fldChar w:fldCharType="begin"/>
      </w:r>
      <w:r>
        <w:rPr>
          <w:rFonts w:ascii="仿宋" w:hAnsi="仿宋" w:eastAsia="仿宋" w:cs="仿宋"/>
          <w:sz w:val="28"/>
          <w:szCs w:val="28"/>
        </w:rPr>
        <w:instrText xml:space="preserve"> </w:instrText>
      </w:r>
      <w:r>
        <w:rPr>
          <w:rFonts w:hint="eastAsia" w:ascii="仿宋" w:hAnsi="仿宋" w:eastAsia="仿宋" w:cs="仿宋"/>
          <w:sz w:val="28"/>
          <w:szCs w:val="28"/>
        </w:rPr>
        <w:instrText xml:space="preserve">= 5 \* GB3</w:instrText>
      </w:r>
      <w:r>
        <w:rPr>
          <w:rFonts w:ascii="仿宋" w:hAnsi="仿宋" w:eastAsia="仿宋" w:cs="仿宋"/>
          <w:sz w:val="28"/>
          <w:szCs w:val="28"/>
        </w:rPr>
        <w:instrText xml:space="preserve"> </w:instrText>
      </w:r>
      <w:r>
        <w:rPr>
          <w:rFonts w:ascii="仿宋" w:hAnsi="仿宋" w:eastAsia="仿宋" w:cs="仿宋"/>
          <w:sz w:val="28"/>
          <w:szCs w:val="28"/>
        </w:rPr>
        <w:fldChar w:fldCharType="separate"/>
      </w:r>
      <w:r>
        <w:rPr>
          <w:rFonts w:hint="eastAsia" w:ascii="仿宋" w:hAnsi="仿宋" w:eastAsia="仿宋" w:cs="仿宋"/>
          <w:sz w:val="28"/>
          <w:szCs w:val="28"/>
        </w:rPr>
        <w:t>⑤</w:t>
      </w:r>
      <w:r>
        <w:rPr>
          <w:rFonts w:ascii="仿宋" w:hAnsi="仿宋" w:eastAsia="仿宋" w:cs="仿宋"/>
          <w:sz w:val="28"/>
          <w:szCs w:val="28"/>
        </w:rPr>
        <w:fldChar w:fldCharType="end"/>
      </w:r>
      <w:r>
        <w:rPr>
          <w:rFonts w:hint="eastAsia" w:ascii="仿宋" w:hAnsi="仿宋" w:eastAsia="仿宋" w:cs="仿宋"/>
          <w:sz w:val="28"/>
          <w:szCs w:val="28"/>
        </w:rPr>
        <w:t>楼体外线缆规整质量优良度：朝千路、棉花街、沧白路存在</w:t>
      </w:r>
      <w:r>
        <w:rPr>
          <w:rFonts w:ascii="仿宋" w:hAnsi="仿宋" w:eastAsia="仿宋" w:cs="仿宋"/>
          <w:sz w:val="28"/>
          <w:szCs w:val="28"/>
        </w:rPr>
        <w:t>1项</w:t>
      </w:r>
      <w:r>
        <w:rPr>
          <w:rFonts w:hint="eastAsia" w:ascii="仿宋" w:hAnsi="仿宋" w:eastAsia="仿宋" w:cs="仿宋"/>
          <w:sz w:val="28"/>
          <w:szCs w:val="28"/>
        </w:rPr>
        <w:t>楼体外线缆规整质量问题（见照片</w:t>
      </w:r>
      <w:r>
        <w:rPr>
          <w:rFonts w:ascii="仿宋" w:hAnsi="仿宋" w:eastAsia="仿宋" w:cs="仿宋"/>
          <w:sz w:val="28"/>
          <w:szCs w:val="28"/>
        </w:rPr>
        <w:t>&lt;</w:t>
      </w:r>
      <w:r>
        <w:rPr>
          <w:rFonts w:hint="eastAsia" w:ascii="仿宋" w:hAnsi="仿宋" w:eastAsia="仿宋" w:cs="仿宋"/>
          <w:sz w:val="28"/>
          <w:szCs w:val="28"/>
        </w:rPr>
        <w:t>朝千路、棉花街、沧白路</w:t>
      </w:r>
      <w:r>
        <w:rPr>
          <w:rFonts w:ascii="仿宋" w:hAnsi="仿宋" w:eastAsia="仿宋" w:cs="仿宋"/>
          <w:sz w:val="28"/>
          <w:szCs w:val="28"/>
        </w:rPr>
        <w:t>-弱电-01&gt;</w:t>
      </w:r>
      <w:r>
        <w:rPr>
          <w:rFonts w:hint="eastAsia" w:ascii="仿宋" w:hAnsi="仿宋" w:eastAsia="仿宋" w:cs="仿宋"/>
          <w:sz w:val="28"/>
          <w:szCs w:val="28"/>
        </w:rPr>
        <w:t>），按照出现一项问题扣</w:t>
      </w:r>
      <w:r>
        <w:rPr>
          <w:rFonts w:ascii="仿宋" w:hAnsi="仿宋" w:eastAsia="仿宋" w:cs="仿宋"/>
          <w:sz w:val="28"/>
          <w:szCs w:val="28"/>
        </w:rPr>
        <w:t>0.1</w:t>
      </w:r>
      <w:r>
        <w:rPr>
          <w:rFonts w:hint="eastAsia" w:ascii="仿宋" w:hAnsi="仿宋" w:eastAsia="仿宋" w:cs="仿宋"/>
          <w:sz w:val="28"/>
          <w:szCs w:val="28"/>
        </w:rPr>
        <w:t>0分的扣分标准，修缮破损屋顶质量优良度合计扣除0.10分；</w:t>
      </w:r>
    </w:p>
    <w:tbl>
      <w:tblPr>
        <w:tblStyle w:val="11"/>
        <w:tblW w:w="0" w:type="auto"/>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2836"/>
        <w:gridCol w:w="2856"/>
        <w:gridCol w:w="283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842"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序号</w:t>
            </w:r>
          </w:p>
        </w:tc>
        <w:tc>
          <w:tcPr>
            <w:tcW w:w="284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照片</w:t>
            </w:r>
          </w:p>
        </w:tc>
        <w:tc>
          <w:tcPr>
            <w:tcW w:w="2843" w:type="dxa"/>
          </w:tcPr>
          <w:p>
            <w:pPr>
              <w:widowControl w:val="0"/>
              <w:adjustRightInd w:val="0"/>
              <w:snapToGrid w:val="0"/>
              <w:spacing w:line="360" w:lineRule="auto"/>
              <w:jc w:val="center"/>
              <w:outlineLvl w:val="0"/>
              <w:rPr>
                <w:rFonts w:ascii="仿宋" w:hAnsi="仿宋" w:eastAsia="仿宋" w:cs="仿宋"/>
                <w:sz w:val="21"/>
                <w:szCs w:val="21"/>
              </w:rPr>
            </w:pPr>
            <w:r>
              <w:rPr>
                <w:rFonts w:hint="eastAsia" w:ascii="仿宋" w:hAnsi="仿宋" w:eastAsia="仿宋" w:cs="仿宋"/>
                <w:sz w:val="21"/>
                <w:szCs w:val="21"/>
              </w:rPr>
              <w:t>问题描述</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c>
          <w:tcPr>
            <w:tcW w:w="2842"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朝千路、棉花街、沧白路</w:t>
            </w:r>
            <w:r>
              <w:rPr>
                <w:rFonts w:ascii="仿宋" w:hAnsi="仿宋" w:eastAsia="仿宋" w:cs="仿宋"/>
                <w:sz w:val="21"/>
                <w:szCs w:val="21"/>
              </w:rPr>
              <w:t>-弱电-01</w:t>
            </w:r>
          </w:p>
        </w:tc>
        <w:tc>
          <w:tcPr>
            <w:tcW w:w="2843" w:type="dxa"/>
          </w:tcPr>
          <w:p>
            <w:pPr>
              <w:widowControl w:val="0"/>
              <w:adjustRightInd w:val="0"/>
              <w:snapToGrid w:val="0"/>
              <w:spacing w:line="360" w:lineRule="auto"/>
              <w:jc w:val="both"/>
              <w:rPr>
                <w:rFonts w:ascii="仿宋" w:hAnsi="仿宋" w:eastAsia="仿宋" w:cs="仿宋"/>
                <w:sz w:val="28"/>
                <w:szCs w:val="28"/>
              </w:rPr>
            </w:pPr>
            <w:r>
              <w:rPr>
                <w:rFonts w:hint="eastAsia" w:ascii="仿宋" w:hAnsi="仿宋" w:eastAsia="仿宋" w:cs="仿宋"/>
                <w:sz w:val="28"/>
                <w:szCs w:val="28"/>
              </w:rPr>
              <w:drawing>
                <wp:inline distT="0" distB="0" distL="114300" distR="114300">
                  <wp:extent cx="1666875" cy="1190625"/>
                  <wp:effectExtent l="0" t="0" r="9525" b="3175"/>
                  <wp:docPr id="9" name="图片 9" descr="朝棉沧-公共楼梯间整改量-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朝棉沧-公共楼梯间整改量-05"/>
                          <pic:cNvPicPr>
                            <a:picLocks noChangeAspect="1"/>
                          </pic:cNvPicPr>
                        </pic:nvPicPr>
                        <pic:blipFill>
                          <a:blip r:embed="rId24"/>
                          <a:stretch>
                            <a:fillRect/>
                          </a:stretch>
                        </pic:blipFill>
                        <pic:spPr>
                          <a:xfrm>
                            <a:off x="0" y="0"/>
                            <a:ext cx="1666875" cy="1190625"/>
                          </a:xfrm>
                          <a:prstGeom prst="rect">
                            <a:avLst/>
                          </a:prstGeom>
                        </pic:spPr>
                      </pic:pic>
                    </a:graphicData>
                  </a:graphic>
                </wp:inline>
              </w:drawing>
            </w:r>
          </w:p>
        </w:tc>
        <w:tc>
          <w:tcPr>
            <w:tcW w:w="2843" w:type="dxa"/>
          </w:tcPr>
          <w:p>
            <w:pPr>
              <w:widowControl w:val="0"/>
              <w:adjustRightInd w:val="0"/>
              <w:snapToGrid w:val="0"/>
              <w:spacing w:line="360" w:lineRule="auto"/>
              <w:jc w:val="center"/>
              <w:outlineLvl w:val="0"/>
              <w:rPr>
                <w:rFonts w:ascii="仿宋" w:hAnsi="仿宋" w:eastAsia="仿宋" w:cs="仿宋"/>
                <w:sz w:val="28"/>
                <w:szCs w:val="28"/>
              </w:rPr>
            </w:pPr>
            <w:r>
              <w:rPr>
                <w:rFonts w:hint="eastAsia" w:ascii="仿宋" w:hAnsi="仿宋" w:eastAsia="仿宋" w:cs="仿宋"/>
                <w:sz w:val="21"/>
                <w:szCs w:val="21"/>
              </w:rPr>
              <w:t>线漏出，不规整</w:t>
            </w:r>
          </w:p>
        </w:tc>
      </w:tr>
    </w:tbl>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综上，根据评分标准，实际扣分情况合计为3</w:t>
      </w:r>
      <w:r>
        <w:rPr>
          <w:rFonts w:ascii="仿宋" w:hAnsi="仿宋" w:eastAsia="仿宋" w:cs="仿宋"/>
          <w:sz w:val="28"/>
          <w:szCs w:val="28"/>
        </w:rPr>
        <w:t>.</w:t>
      </w:r>
      <w:r>
        <w:rPr>
          <w:rFonts w:hint="eastAsia" w:ascii="仿宋" w:hAnsi="仿宋" w:eastAsia="仿宋" w:cs="仿宋"/>
          <w:sz w:val="28"/>
          <w:szCs w:val="28"/>
        </w:rPr>
        <w:t>3</w:t>
      </w:r>
      <w:r>
        <w:rPr>
          <w:rFonts w:ascii="仿宋" w:hAnsi="仿宋" w:eastAsia="仿宋" w:cs="仿宋"/>
          <w:sz w:val="28"/>
          <w:szCs w:val="28"/>
        </w:rPr>
        <w:t>0</w:t>
      </w:r>
      <w:r>
        <w:rPr>
          <w:rFonts w:hint="eastAsia" w:ascii="仿宋" w:hAnsi="仿宋" w:eastAsia="仿宋" w:cs="仿宋"/>
          <w:sz w:val="28"/>
          <w:szCs w:val="28"/>
        </w:rPr>
        <w:t>分，质量达标率指标本次绩效评价得</w:t>
      </w:r>
      <w:r>
        <w:rPr>
          <w:rFonts w:ascii="仿宋" w:hAnsi="仿宋" w:eastAsia="仿宋" w:cs="仿宋"/>
          <w:sz w:val="28"/>
          <w:szCs w:val="28"/>
        </w:rPr>
        <w:t>1</w:t>
      </w:r>
      <w:r>
        <w:rPr>
          <w:rFonts w:hint="eastAsia" w:ascii="仿宋" w:hAnsi="仿宋" w:eastAsia="仿宋" w:cs="仿宋"/>
          <w:sz w:val="28"/>
          <w:szCs w:val="28"/>
        </w:rPr>
        <w:t>3</w:t>
      </w:r>
      <w:r>
        <w:rPr>
          <w:rFonts w:ascii="仿宋" w:hAnsi="仿宋" w:eastAsia="仿宋" w:cs="仿宋"/>
          <w:sz w:val="28"/>
          <w:szCs w:val="28"/>
        </w:rPr>
        <w:t>.</w:t>
      </w:r>
      <w:r>
        <w:rPr>
          <w:rFonts w:hint="eastAsia" w:ascii="仿宋" w:hAnsi="仿宋" w:eastAsia="仿宋" w:cs="仿宋"/>
          <w:sz w:val="28"/>
          <w:szCs w:val="28"/>
        </w:rPr>
        <w:t>7</w:t>
      </w:r>
      <w:r>
        <w:rPr>
          <w:rFonts w:ascii="仿宋" w:hAnsi="仿宋" w:eastAsia="仿宋" w:cs="仿宋"/>
          <w:sz w:val="28"/>
          <w:szCs w:val="28"/>
        </w:rPr>
        <w:t>0</w:t>
      </w:r>
      <w:r>
        <w:rPr>
          <w:rFonts w:hint="eastAsia" w:ascii="仿宋" w:hAnsi="仿宋" w:eastAsia="仿宋" w:cs="仿宋"/>
          <w:sz w:val="28"/>
          <w:szCs w:val="28"/>
        </w:rPr>
        <w:t>分。</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（二）项目效益情况分析</w:t>
      </w:r>
    </w:p>
    <w:p>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涉及项目效益情况的指标主要为：社会效益、生态效益、可持续影响、满意度。朝天门街道实施的</w:t>
      </w:r>
      <w:r>
        <w:rPr>
          <w:rFonts w:ascii="仿宋" w:hAnsi="仿宋" w:eastAsia="仿宋" w:cs="仿宋"/>
          <w:color w:val="000000" w:themeColor="text1"/>
          <w:sz w:val="28"/>
          <w:szCs w:val="28"/>
          <w14:textFill>
            <w14:solidFill>
              <w14:schemeClr w14:val="tx1"/>
            </w14:solidFill>
          </w14:textFill>
        </w:rPr>
        <w:t>老旧小区改造提升项目，主要提升了朝千路、棉花街、</w:t>
      </w:r>
      <w:r>
        <w:rPr>
          <w:rFonts w:hint="eastAsia" w:ascii="仿宋" w:hAnsi="仿宋" w:eastAsia="仿宋" w:cs="仿宋"/>
          <w:color w:val="000000" w:themeColor="text1"/>
          <w:sz w:val="28"/>
          <w:szCs w:val="28"/>
          <w14:textFill>
            <w14:solidFill>
              <w14:schemeClr w14:val="tx1"/>
            </w14:solidFill>
          </w14:textFill>
        </w:rPr>
        <w:t>沧白路小计2362户、东升楼37户、解放东路</w:t>
      </w:r>
      <w:r>
        <w:rPr>
          <w:rFonts w:hint="eastAsia"/>
        </w:rPr>
        <w:t>598户、</w:t>
      </w:r>
      <w:r>
        <w:rPr>
          <w:rFonts w:hint="eastAsia" w:ascii="仿宋" w:hAnsi="仿宋" w:eastAsia="仿宋" w:cs="仿宋"/>
          <w:color w:val="000000" w:themeColor="text1"/>
          <w:sz w:val="28"/>
          <w:szCs w:val="28"/>
          <w14:textFill>
            <w14:solidFill>
              <w14:schemeClr w14:val="tx1"/>
            </w14:solidFill>
          </w14:textFill>
        </w:rPr>
        <w:t>白象居</w:t>
      </w:r>
      <w:r>
        <w:rPr>
          <w:rFonts w:ascii="仿宋" w:hAnsi="仿宋" w:eastAsia="仿宋" w:cs="仿宋"/>
          <w:color w:val="000000" w:themeColor="text1"/>
          <w:sz w:val="28"/>
          <w:szCs w:val="28"/>
          <w14:textFill>
            <w14:solidFill>
              <w14:schemeClr w14:val="tx1"/>
            </w14:solidFill>
          </w14:textFill>
        </w:rPr>
        <w:t>525户居民的居住品质。我们分别针对朝千路、棉花街、</w:t>
      </w:r>
      <w:r>
        <w:rPr>
          <w:rFonts w:hint="eastAsia" w:ascii="仿宋" w:hAnsi="仿宋" w:eastAsia="仿宋" w:cs="仿宋"/>
          <w:color w:val="000000" w:themeColor="text1"/>
          <w:sz w:val="28"/>
          <w:szCs w:val="28"/>
          <w14:textFill>
            <w14:solidFill>
              <w14:schemeClr w14:val="tx1"/>
            </w14:solidFill>
          </w14:textFill>
        </w:rPr>
        <w:t>沧白路居民、白象居居民、东升楼居民、解放东路居民进行随机的问卷调查，根据问卷结果作为基础进行评分。我们对受益对象发放问卷</w:t>
      </w:r>
      <w:r>
        <w:rPr>
          <w:rFonts w:ascii="仿宋" w:hAnsi="仿宋" w:eastAsia="仿宋" w:cs="仿宋"/>
          <w:color w:val="000000" w:themeColor="text1"/>
          <w:sz w:val="28"/>
          <w:szCs w:val="28"/>
          <w14:textFill>
            <w14:solidFill>
              <w14:schemeClr w14:val="tx1"/>
            </w14:solidFill>
          </w14:textFill>
        </w:rPr>
        <w:t>83份，其中朝千路、棉花街、</w:t>
      </w:r>
      <w:r>
        <w:rPr>
          <w:rFonts w:hint="eastAsia" w:ascii="仿宋" w:hAnsi="仿宋" w:eastAsia="仿宋" w:cs="仿宋"/>
          <w:color w:val="000000" w:themeColor="text1"/>
          <w:sz w:val="28"/>
          <w:szCs w:val="28"/>
          <w14:textFill>
            <w14:solidFill>
              <w14:schemeClr w14:val="tx1"/>
            </w14:solidFill>
          </w14:textFill>
        </w:rPr>
        <w:t>沧白路</w:t>
      </w:r>
      <w:r>
        <w:rPr>
          <w:rFonts w:ascii="仿宋" w:hAnsi="仿宋" w:eastAsia="仿宋" w:cs="仿宋"/>
          <w:color w:val="000000" w:themeColor="text1"/>
          <w:sz w:val="28"/>
          <w:szCs w:val="28"/>
          <w14:textFill>
            <w14:solidFill>
              <w14:schemeClr w14:val="tx1"/>
            </w14:solidFill>
          </w14:textFill>
        </w:rPr>
        <w:t>39份，东升楼2份，白象居36份，解放东路6份，获得有效问卷80份。本次具体情况如下：</w:t>
      </w:r>
    </w:p>
    <w:p>
      <w:pPr>
        <w:adjustRightInd w:val="0"/>
        <w:snapToGrid w:val="0"/>
        <w:spacing w:before="100" w:beforeAutospacing="1" w:after="100" w:afterAutospacing="1"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1）社会效益标准分值为6.5</w:t>
      </w:r>
      <w:r>
        <w:rPr>
          <w:rFonts w:hint="eastAsia" w:ascii="仿宋" w:hAnsi="仿宋" w:eastAsia="仿宋" w:cs="仿宋"/>
          <w:color w:val="000000" w:themeColor="text1"/>
          <w:sz w:val="28"/>
          <w:szCs w:val="28"/>
          <w14:textFill>
            <w14:solidFill>
              <w14:schemeClr w14:val="tx1"/>
            </w14:solidFill>
          </w14:textFill>
        </w:rPr>
        <w:t>0分。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社会效益指标参照区住建委的五大原则以及52条改造提升清单，分别从消隐患、补功能、提环境</w:t>
      </w:r>
      <w:r>
        <w:rPr>
          <w:rFonts w:ascii="仿宋" w:hAnsi="仿宋" w:eastAsia="仿宋" w:cs="仿宋"/>
          <w:color w:val="000000" w:themeColor="text1"/>
          <w:sz w:val="28"/>
          <w:szCs w:val="28"/>
          <w14:textFill>
            <w14:solidFill>
              <w14:schemeClr w14:val="tx1"/>
            </w14:solidFill>
          </w14:textFill>
        </w:rPr>
        <w:t>3个方面体现，具体情况如下：</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529"/>
        <w:gridCol w:w="566"/>
        <w:gridCol w:w="566"/>
        <w:gridCol w:w="566"/>
        <w:gridCol w:w="849"/>
        <w:gridCol w:w="3628"/>
        <w:gridCol w:w="82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1102" w:hRule="atLeast"/>
        </w:trPr>
        <w:tc>
          <w:tcPr>
            <w:tcW w:w="896" w:type="pct"/>
            <w:shd w:val="clear" w:color="auto" w:fill="auto"/>
            <w:noWrap/>
            <w:vAlign w:val="center"/>
          </w:tcPr>
          <w:p>
            <w:pPr>
              <w:jc w:val="center"/>
              <w:rPr>
                <w:rFonts w:ascii="仿宋" w:hAnsi="仿宋" w:eastAsia="仿宋" w:cs="仿宋"/>
                <w:bCs/>
                <w:sz w:val="18"/>
                <w:szCs w:val="18"/>
              </w:rPr>
            </w:pPr>
            <w:r>
              <w:rPr>
                <w:rFonts w:hint="eastAsia" w:ascii="仿宋" w:hAnsi="仿宋" w:eastAsia="仿宋" w:cs="仿宋"/>
                <w:bCs/>
                <w:sz w:val="18"/>
                <w:szCs w:val="18"/>
              </w:rPr>
              <w:t>明细指标</w:t>
            </w:r>
          </w:p>
        </w:tc>
        <w:tc>
          <w:tcPr>
            <w:tcW w:w="332"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性质</w:t>
            </w:r>
          </w:p>
        </w:tc>
        <w:tc>
          <w:tcPr>
            <w:tcW w:w="332" w:type="pct"/>
            <w:shd w:val="clear" w:color="auto" w:fill="auto"/>
            <w:noWrap/>
            <w:vAlign w:val="center"/>
          </w:tcPr>
          <w:p>
            <w:pPr>
              <w:jc w:val="center"/>
              <w:rPr>
                <w:rFonts w:ascii="仿宋" w:hAnsi="仿宋" w:eastAsia="仿宋" w:cs="仿宋"/>
                <w:bCs/>
                <w:sz w:val="18"/>
                <w:szCs w:val="18"/>
              </w:rPr>
            </w:pPr>
            <w:r>
              <w:rPr>
                <w:rFonts w:hint="eastAsia" w:ascii="仿宋" w:hAnsi="仿宋" w:eastAsia="仿宋" w:cs="仿宋"/>
                <w:bCs/>
                <w:sz w:val="18"/>
                <w:szCs w:val="18"/>
              </w:rPr>
              <w:t>指标值</w:t>
            </w:r>
          </w:p>
        </w:tc>
        <w:tc>
          <w:tcPr>
            <w:tcW w:w="332"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计量</w:t>
            </w:r>
            <w:r>
              <w:rPr>
                <w:rFonts w:ascii="仿宋" w:hAnsi="仿宋" w:eastAsia="仿宋" w:cs="仿宋"/>
                <w:bCs/>
                <w:sz w:val="18"/>
                <w:szCs w:val="18"/>
              </w:rPr>
              <w:br w:type="textWrapping"/>
            </w:r>
            <w:r>
              <w:rPr>
                <w:rFonts w:hint="eastAsia" w:ascii="仿宋" w:hAnsi="仿宋" w:eastAsia="仿宋" w:cs="仿宋"/>
                <w:bCs/>
                <w:sz w:val="18"/>
                <w:szCs w:val="18"/>
              </w:rPr>
              <w:t>单位</w:t>
            </w:r>
          </w:p>
        </w:tc>
        <w:tc>
          <w:tcPr>
            <w:tcW w:w="498"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权重</w:t>
            </w:r>
          </w:p>
        </w:tc>
        <w:tc>
          <w:tcPr>
            <w:tcW w:w="2127"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评价标准</w:t>
            </w:r>
          </w:p>
        </w:tc>
        <w:tc>
          <w:tcPr>
            <w:tcW w:w="483"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实际</w:t>
            </w:r>
            <w:r>
              <w:rPr>
                <w:rFonts w:ascii="仿宋" w:hAnsi="仿宋" w:eastAsia="仿宋" w:cs="仿宋"/>
                <w:sz w:val="18"/>
                <w:szCs w:val="18"/>
              </w:rPr>
              <w:br w:type="textWrapping"/>
            </w:r>
            <w:r>
              <w:rPr>
                <w:rFonts w:hint="eastAsia" w:ascii="仿宋" w:hAnsi="仿宋" w:eastAsia="仿宋" w:cs="仿宋"/>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84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房屋节能雨棚整治效果</w:t>
            </w:r>
          </w:p>
        </w:tc>
        <w:tc>
          <w:tcPr>
            <w:tcW w:w="332"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1.00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0.63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896" w:type="pct"/>
            <w:shd w:val="clear" w:color="auto" w:fill="auto"/>
            <w:noWrap/>
            <w:vAlign w:val="center"/>
          </w:tcPr>
          <w:p>
            <w:pPr>
              <w:jc w:val="both"/>
              <w:rPr>
                <w:rFonts w:ascii="仿宋" w:hAnsi="仿宋" w:eastAsia="仿宋" w:cs="仿宋"/>
                <w:sz w:val="18"/>
                <w:szCs w:val="18"/>
              </w:rPr>
            </w:pPr>
            <w:r>
              <w:rPr>
                <w:rFonts w:hint="eastAsia" w:ascii="仿宋" w:hAnsi="仿宋" w:eastAsia="仿宋" w:cs="仿宋"/>
                <w:sz w:val="18"/>
                <w:szCs w:val="18"/>
              </w:rPr>
              <w:t>修复公共楼梯</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1.00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0.70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896" w:type="pct"/>
            <w:shd w:val="clear" w:color="auto" w:fill="auto"/>
            <w:noWrap/>
            <w:vAlign w:val="center"/>
          </w:tcPr>
          <w:p>
            <w:pPr>
              <w:jc w:val="both"/>
              <w:rPr>
                <w:rFonts w:ascii="仿宋" w:hAnsi="仿宋" w:eastAsia="仿宋" w:cs="仿宋"/>
                <w:sz w:val="18"/>
                <w:szCs w:val="18"/>
              </w:rPr>
            </w:pPr>
            <w:r>
              <w:rPr>
                <w:rFonts w:hint="eastAsia" w:ascii="仿宋" w:hAnsi="仿宋" w:eastAsia="仿宋" w:cs="仿宋"/>
                <w:bCs/>
                <w:sz w:val="18"/>
                <w:szCs w:val="18"/>
              </w:rPr>
              <w:t>明细指标</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性质</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指标值</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计量</w:t>
            </w:r>
            <w:r>
              <w:rPr>
                <w:rFonts w:ascii="仿宋" w:hAnsi="仿宋" w:eastAsia="仿宋" w:cs="仿宋"/>
                <w:bCs/>
                <w:sz w:val="18"/>
                <w:szCs w:val="18"/>
              </w:rPr>
              <w:br w:type="textWrapping"/>
            </w:r>
            <w:r>
              <w:rPr>
                <w:rFonts w:hint="eastAsia" w:ascii="仿宋" w:hAnsi="仿宋" w:eastAsia="仿宋" w:cs="仿宋"/>
                <w:bCs/>
                <w:sz w:val="18"/>
                <w:szCs w:val="18"/>
              </w:rPr>
              <w:t>单位</w:t>
            </w:r>
          </w:p>
        </w:tc>
        <w:tc>
          <w:tcPr>
            <w:tcW w:w="498" w:type="pct"/>
            <w:shd w:val="clear" w:color="auto" w:fill="auto"/>
            <w:noWrap/>
            <w:vAlign w:val="center"/>
          </w:tcPr>
          <w:p>
            <w:pPr>
              <w:jc w:val="center"/>
              <w:rPr>
                <w:rFonts w:ascii="仿宋" w:hAnsi="仿宋" w:eastAsia="仿宋" w:cs="仿宋"/>
                <w:color w:val="000000"/>
                <w:sz w:val="18"/>
                <w:szCs w:val="18"/>
                <w:lang w:bidi="ar"/>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权重</w:t>
            </w:r>
          </w:p>
        </w:tc>
        <w:tc>
          <w:tcPr>
            <w:tcW w:w="2127"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评价标准</w:t>
            </w:r>
          </w:p>
        </w:tc>
        <w:tc>
          <w:tcPr>
            <w:tcW w:w="483" w:type="pct"/>
            <w:shd w:val="clear" w:color="auto" w:fill="auto"/>
            <w:vAlign w:val="center"/>
          </w:tcPr>
          <w:p>
            <w:pPr>
              <w:jc w:val="right"/>
              <w:rPr>
                <w:rFonts w:ascii="仿宋" w:hAnsi="仿宋" w:eastAsia="仿宋" w:cs="仿宋"/>
                <w:color w:val="000000"/>
                <w:sz w:val="18"/>
                <w:szCs w:val="18"/>
                <w:lang w:bidi="ar"/>
              </w:rPr>
            </w:pPr>
            <w:r>
              <w:rPr>
                <w:rFonts w:hint="eastAsia" w:ascii="仿宋" w:hAnsi="仿宋" w:eastAsia="仿宋" w:cs="仿宋"/>
                <w:sz w:val="18"/>
                <w:szCs w:val="18"/>
              </w:rPr>
              <w:t>实际</w:t>
            </w:r>
            <w:r>
              <w:rPr>
                <w:rFonts w:ascii="仿宋" w:hAnsi="仿宋" w:eastAsia="仿宋" w:cs="仿宋"/>
                <w:sz w:val="18"/>
                <w:szCs w:val="18"/>
              </w:rPr>
              <w:br w:type="textWrapping"/>
            </w:r>
            <w:r>
              <w:rPr>
                <w:rFonts w:hint="eastAsia" w:ascii="仿宋" w:hAnsi="仿宋" w:eastAsia="仿宋" w:cs="仿宋"/>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危旧房改造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强电线路改造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公共烟道增设</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道路平整</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0.40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942"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公共照明</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修缮破损屋顶</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896" w:type="pct"/>
            <w:shd w:val="clear" w:color="auto" w:fill="auto"/>
            <w:vAlign w:val="center"/>
          </w:tcPr>
          <w:p>
            <w:pPr>
              <w:jc w:val="both"/>
              <w:rPr>
                <w:rFonts w:ascii="仿宋" w:hAnsi="仿宋" w:eastAsia="仿宋" w:cs="仿宋"/>
                <w:sz w:val="18"/>
                <w:szCs w:val="18"/>
              </w:rPr>
            </w:pPr>
            <w:r>
              <w:rPr>
                <w:rFonts w:hint="eastAsia" w:ascii="仿宋" w:hAnsi="仿宋" w:eastAsia="仿宋" w:cs="仿宋"/>
                <w:sz w:val="18"/>
                <w:szCs w:val="18"/>
              </w:rPr>
              <w:t>修缮破损围墙</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1.00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0.65</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896" w:type="pct"/>
            <w:shd w:val="clear" w:color="auto" w:fill="auto"/>
            <w:noWrap/>
            <w:vAlign w:val="center"/>
          </w:tcPr>
          <w:p>
            <w:pPr>
              <w:jc w:val="both"/>
              <w:rPr>
                <w:rFonts w:ascii="仿宋" w:hAnsi="仿宋" w:eastAsia="仿宋" w:cs="仿宋"/>
                <w:sz w:val="18"/>
                <w:szCs w:val="18"/>
              </w:rPr>
            </w:pPr>
            <w:r>
              <w:rPr>
                <w:rFonts w:hint="eastAsia" w:ascii="仿宋" w:hAnsi="仿宋" w:eastAsia="仿宋" w:cs="仿宋"/>
                <w:sz w:val="18"/>
                <w:szCs w:val="18"/>
              </w:rPr>
              <w:t>楼体外线缆规整</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3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0.50</w:t>
            </w:r>
          </w:p>
        </w:tc>
        <w:tc>
          <w:tcPr>
            <w:tcW w:w="2127"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83"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896"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合计</w:t>
            </w:r>
          </w:p>
        </w:tc>
        <w:tc>
          <w:tcPr>
            <w:tcW w:w="332"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332"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332"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98"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6.50</w:t>
            </w:r>
          </w:p>
        </w:tc>
        <w:tc>
          <w:tcPr>
            <w:tcW w:w="2127"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83" w:type="pct"/>
            <w:shd w:val="clear" w:color="auto" w:fill="auto"/>
            <w:noWrap/>
          </w:tcPr>
          <w:p>
            <w:pPr>
              <w:jc w:val="right"/>
              <w:rPr>
                <w:rFonts w:ascii="仿宋" w:hAnsi="仿宋" w:eastAsia="仿宋" w:cs="仿宋"/>
                <w:color w:val="000000"/>
                <w:sz w:val="18"/>
                <w:szCs w:val="18"/>
              </w:rPr>
            </w:pPr>
            <w:r>
              <w:rPr>
                <w:rFonts w:ascii="仿宋" w:hAnsi="仿宋" w:eastAsia="仿宋" w:cs="仿宋"/>
                <w:color w:val="000000"/>
                <w:sz w:val="18"/>
                <w:szCs w:val="18"/>
              </w:rPr>
              <w:t>4.50</w:t>
            </w:r>
          </w:p>
        </w:tc>
      </w:tr>
    </w:tbl>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消隐患方面，主要从以下方面体现：</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消除消防安全标准分值1分：房屋节能雨棚整治效果标准分值1分：有效问卷中白象居房屋节能雨棚项目有整治23份，综合满意度62.61%，本次绩效评价得0.63分。8.70%不满意，17.39%不太满意,21.74%一般，39.13%满意，13.04%</w:t>
      </w:r>
      <w:r>
        <w:rPr>
          <w:rFonts w:hint="eastAsia" w:ascii="仿宋" w:hAnsi="仿宋" w:eastAsia="仿宋" w:cs="仿宋"/>
          <w:color w:val="000000" w:themeColor="text1"/>
          <w:sz w:val="28"/>
          <w:szCs w:val="28"/>
          <w14:textFill>
            <w14:solidFill>
              <w14:schemeClr w14:val="tx1"/>
            </w14:solidFill>
          </w14:textFill>
        </w:rPr>
        <w:t>非常满意</w:t>
      </w:r>
      <w:r>
        <w:rPr>
          <w:rFonts w:ascii="仿宋" w:hAnsi="仿宋" w:eastAsia="仿宋" w:cs="仿宋"/>
          <w:color w:val="000000" w:themeColor="text1"/>
          <w:sz w:val="28"/>
          <w:szCs w:val="28"/>
          <w14:textFill>
            <w14:solidFill>
              <w14:schemeClr w14:val="tx1"/>
            </w14:solidFill>
          </w14:textFill>
        </w:rPr>
        <w:t>(不满意2份，不太满意4份，一般5份，满意9份，非常满意3份）。根据评分标准，消除消防安全指标本次绩效评价得0.63分。</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2）消除环境安全隐患标准分值2分：</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1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①</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修复公共楼梯标准分值1分：有效问卷78份，朝千路、棉花街、沧白路项目有整治37份、白象居项目35份、东升楼项目</w:t>
      </w:r>
      <w:r>
        <w:rPr>
          <w:rFonts w:ascii="仿宋" w:hAnsi="仿宋" w:eastAsia="仿宋" w:cs="仿宋"/>
          <w:color w:val="000000" w:themeColor="text1"/>
          <w:sz w:val="28"/>
          <w:szCs w:val="28"/>
          <w14:textFill>
            <w14:solidFill>
              <w14:schemeClr w14:val="tx1"/>
            </w14:solidFill>
          </w14:textFill>
        </w:rPr>
        <w:t>6份，综合满意度69.74%，本次绩效评价得0.7</w:t>
      </w:r>
      <w:r>
        <w:rPr>
          <w:rFonts w:hint="eastAsia" w:ascii="仿宋" w:hAnsi="仿宋" w:eastAsia="仿宋" w:cs="仿宋"/>
          <w:color w:val="000000" w:themeColor="text1"/>
          <w:sz w:val="28"/>
          <w:szCs w:val="28"/>
          <w14:textFill>
            <w14:solidFill>
              <w14:schemeClr w14:val="tx1"/>
            </w14:solidFill>
          </w14:textFill>
        </w:rPr>
        <w:t>0分。</w:t>
      </w:r>
      <w:r>
        <w:rPr>
          <w:rFonts w:ascii="仿宋" w:hAnsi="仿宋" w:eastAsia="仿宋" w:cs="仿宋"/>
          <w:color w:val="000000" w:themeColor="text1"/>
          <w:sz w:val="28"/>
          <w:szCs w:val="28"/>
          <w14:textFill>
            <w14:solidFill>
              <w14:schemeClr w14:val="tx1"/>
            </w14:solidFill>
          </w14:textFill>
        </w:rPr>
        <w:t>3.85%不满意，17.95%不太满意,47.43%一般，24.36%满意，6.41%非常满意（按各个项目分别统计综合得出满意度）</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2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②</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危旧房改造标准分值0.5分：有效问卷中东升楼2份、综合满意度</w:t>
      </w:r>
      <w:r>
        <w:rPr>
          <w:rFonts w:ascii="仿宋" w:hAnsi="仿宋" w:eastAsia="仿宋" w:cs="仿宋"/>
          <w:color w:val="000000" w:themeColor="text1"/>
          <w:sz w:val="28"/>
          <w:szCs w:val="28"/>
          <w14:textFill>
            <w14:solidFill>
              <w14:schemeClr w14:val="tx1"/>
            </w14:solidFill>
          </w14:textFill>
        </w:rPr>
        <w:t>67.50%，本次绩效评价得0.34分。25.00%不太满意，25.00%一般，25.00%满意，25.00%非常满意(按各个项目分别统计综合得出满意度）。</w:t>
      </w: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3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③</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强电线路改造标准分值0.5分：有效问卷中朝千路、棉花街、沧白路28份、综合满意度78.21%，本次绩效评价得</w:t>
      </w:r>
      <w:r>
        <w:rPr>
          <w:rFonts w:hint="eastAsia" w:ascii="仿宋" w:hAnsi="仿宋" w:eastAsia="仿宋" w:cs="仿宋"/>
          <w:sz w:val="28"/>
          <w:szCs w:val="28"/>
        </w:rPr>
        <w:t>0.39分。</w:t>
      </w:r>
      <w:r>
        <w:rPr>
          <w:rFonts w:ascii="仿宋" w:hAnsi="仿宋" w:eastAsia="仿宋" w:cs="仿宋"/>
          <w:sz w:val="28"/>
          <w:szCs w:val="28"/>
        </w:rPr>
        <w:t>10.71%</w:t>
      </w:r>
      <w:r>
        <w:rPr>
          <w:rFonts w:hint="eastAsia" w:ascii="仿宋" w:hAnsi="仿宋" w:eastAsia="仿宋" w:cs="仿宋"/>
          <w:color w:val="000000" w:themeColor="text1"/>
          <w:sz w:val="28"/>
          <w:szCs w:val="28"/>
          <w14:textFill>
            <w14:solidFill>
              <w14:schemeClr w14:val="tx1"/>
            </w14:solidFill>
          </w14:textFill>
        </w:rPr>
        <w:t>不太满意</w:t>
      </w:r>
      <w:r>
        <w:rPr>
          <w:rFonts w:ascii="仿宋" w:hAnsi="仿宋" w:eastAsia="仿宋" w:cs="仿宋"/>
          <w:color w:val="000000" w:themeColor="text1"/>
          <w:sz w:val="28"/>
          <w:szCs w:val="28"/>
          <w14:textFill>
            <w14:solidFill>
              <w14:schemeClr w14:val="tx1"/>
            </w14:solidFill>
          </w14:textFill>
        </w:rPr>
        <w:t>,14.29%一般，42.86%满意，32.14%</w:t>
      </w:r>
      <w:r>
        <w:rPr>
          <w:rFonts w:hint="eastAsia" w:ascii="仿宋" w:hAnsi="仿宋" w:eastAsia="仿宋" w:cs="仿宋"/>
          <w:color w:val="000000" w:themeColor="text1"/>
          <w:sz w:val="28"/>
          <w:szCs w:val="28"/>
          <w14:textFill>
            <w14:solidFill>
              <w14:schemeClr w14:val="tx1"/>
            </w14:solidFill>
          </w14:textFill>
        </w:rPr>
        <w:t>非常满意</w:t>
      </w:r>
      <w:r>
        <w:rPr>
          <w:rFonts w:ascii="仿宋" w:hAnsi="仿宋" w:eastAsia="仿宋" w:cs="仿宋"/>
          <w:color w:val="000000" w:themeColor="text1"/>
          <w:sz w:val="28"/>
          <w:szCs w:val="28"/>
          <w14:textFill>
            <w14:solidFill>
              <w14:schemeClr w14:val="tx1"/>
            </w14:solidFill>
          </w14:textFill>
        </w:rPr>
        <w:t>(不太满意3份，一般4份，满意12份，非常满意9份）。根据评分标准，消除环境安全隐患指标本次绩效评价得1.43分。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补功能方面，主要从房屋住用基本功能体现</w:t>
      </w:r>
      <w:r>
        <w:rPr>
          <w:rFonts w:ascii="仿宋" w:hAnsi="仿宋" w:eastAsia="仿宋" w:cs="仿宋"/>
          <w:color w:val="000000" w:themeColor="text1"/>
          <w:sz w:val="28"/>
          <w:szCs w:val="28"/>
          <w14:textFill>
            <w14:solidFill>
              <w14:schemeClr w14:val="tx1"/>
            </w14:solidFill>
          </w14:textFill>
        </w:rPr>
        <w:t>:</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1)公共烟道增设标准分值0.5分：有效问卷中</w:t>
      </w:r>
      <w:r>
        <w:rPr>
          <w:rFonts w:hint="eastAsia" w:ascii="仿宋" w:hAnsi="仿宋" w:eastAsia="仿宋" w:cs="仿宋"/>
          <w:color w:val="000000" w:themeColor="text1"/>
          <w:sz w:val="28"/>
          <w:szCs w:val="28"/>
          <w14:textFill>
            <w14:solidFill>
              <w14:schemeClr w14:val="tx1"/>
            </w14:solidFill>
          </w14:textFill>
        </w:rPr>
        <w:t>朝千路、棉花街、沧白路项目房屋住用基本功能有整治17份，综合满意度62.94%，本次绩效评价得</w:t>
      </w:r>
      <w:r>
        <w:rPr>
          <w:rFonts w:ascii="仿宋" w:hAnsi="仿宋" w:eastAsia="仿宋" w:cs="仿宋"/>
          <w:color w:val="000000" w:themeColor="text1"/>
          <w:sz w:val="28"/>
          <w:szCs w:val="28"/>
          <w14:textFill>
            <w14:solidFill>
              <w14:schemeClr w14:val="tx1"/>
            </w14:solidFill>
          </w14:textFill>
        </w:rPr>
        <w:t>0.31分。5.88%不满意，5.88%不太满意,47.06%一般，41.18%满意，(不满意1份，不太满意1份，一般8份，满意7份）。根据评分标准，房屋住用基本功</w:t>
      </w:r>
      <w:r>
        <w:rPr>
          <w:rFonts w:hint="eastAsia" w:ascii="仿宋" w:hAnsi="仿宋" w:eastAsia="仿宋" w:cs="仿宋"/>
          <w:color w:val="000000" w:themeColor="text1"/>
          <w:sz w:val="28"/>
          <w:szCs w:val="28"/>
          <w14:textFill>
            <w14:solidFill>
              <w14:schemeClr w14:val="tx1"/>
            </w14:solidFill>
          </w14:textFill>
        </w:rPr>
        <w:t>能指标本次绩效评价得</w:t>
      </w:r>
      <w:r>
        <w:rPr>
          <w:rFonts w:ascii="仿宋" w:hAnsi="仿宋" w:eastAsia="仿宋" w:cs="仿宋"/>
          <w:color w:val="000000" w:themeColor="text1"/>
          <w:sz w:val="28"/>
          <w:szCs w:val="28"/>
          <w14:textFill>
            <w14:solidFill>
              <w14:schemeClr w14:val="tx1"/>
            </w14:solidFill>
          </w14:textFill>
        </w:rPr>
        <w:t>0.31分。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提环境方面，主要从以下方面体现：</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1）小区硬件环境标准分值2分：①道路平整标准分值0.5分：有效问卷41份，其中</w:t>
      </w:r>
      <w:r>
        <w:rPr>
          <w:rFonts w:hint="eastAsia" w:ascii="仿宋" w:hAnsi="仿宋" w:eastAsia="仿宋" w:cs="仿宋"/>
          <w:color w:val="000000" w:themeColor="text1"/>
          <w:sz w:val="28"/>
          <w:szCs w:val="28"/>
          <w14:textFill>
            <w14:solidFill>
              <w14:schemeClr w14:val="tx1"/>
            </w14:solidFill>
          </w14:textFill>
        </w:rPr>
        <w:t>朝千路、棉花街、沧白路项目36份、东升楼项目2份、解放东路项目</w:t>
      </w:r>
      <w:r>
        <w:rPr>
          <w:rFonts w:ascii="仿宋" w:hAnsi="仿宋" w:eastAsia="仿宋" w:cs="仿宋"/>
          <w:color w:val="000000" w:themeColor="text1"/>
          <w:sz w:val="28"/>
          <w:szCs w:val="28"/>
          <w14:textFill>
            <w14:solidFill>
              <w14:schemeClr w14:val="tx1"/>
            </w14:solidFill>
          </w14:textFill>
        </w:rPr>
        <w:t>3份。综合满意度79.27%，本次绩效评价得0.4分。2.44%不太满意,17.07%一般，60.98%满意，19.51%非常满意(不太满意1份，一般7份，满意25份，非常满意8份）。②公共照明标准分值0.5分：有效问卷中</w:t>
      </w:r>
      <w:r>
        <w:rPr>
          <w:rFonts w:hint="eastAsia" w:ascii="仿宋" w:hAnsi="仿宋" w:eastAsia="仿宋" w:cs="仿宋"/>
          <w:color w:val="000000" w:themeColor="text1"/>
          <w:sz w:val="28"/>
          <w:szCs w:val="28"/>
          <w14:textFill>
            <w14:solidFill>
              <w14:schemeClr w14:val="tx1"/>
            </w14:solidFill>
          </w14:textFill>
        </w:rPr>
        <w:t>朝千路、棉花街、沧白路项目74份，综合满意度70.95%，本次绩效评价得</w:t>
      </w:r>
      <w:r>
        <w:rPr>
          <w:rFonts w:ascii="仿宋" w:hAnsi="仿宋" w:eastAsia="仿宋" w:cs="仿宋"/>
          <w:color w:val="000000" w:themeColor="text1"/>
          <w:sz w:val="28"/>
          <w:szCs w:val="28"/>
          <w14:textFill>
            <w14:solidFill>
              <w14:schemeClr w14:val="tx1"/>
            </w14:solidFill>
          </w14:textFill>
        </w:rPr>
        <w:t>0.35分。2.70%不满意，9.46%不太满意,25.68%一般，47.30%满意，14.86%非常满意(不满意2份，不太满意7份，一般19份，满意35份，非常满意11份）。根据评分标准，小区硬件环境指标本次绩效评价得0.75分。</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2）建筑立面形态标准分值2分：①修缮破损围墙标准分值1分：有效问卷白象居项目33份，综合满意度64.85%，本次绩效评价得0.65分。9.09%不满意，6.06%不太满意,36.36%一般，36.37%满意，12.12%非常满意(不满意3份，不太满意2份，一般12份，满意12份，非常满意4份）。②修缮破损屋顶标准分值0.5</w:t>
      </w:r>
      <w:r>
        <w:rPr>
          <w:rFonts w:hint="eastAsia" w:ascii="仿宋" w:hAnsi="仿宋" w:eastAsia="仿宋" w:cs="仿宋"/>
          <w:color w:val="000000" w:themeColor="text1"/>
          <w:sz w:val="28"/>
          <w:szCs w:val="28"/>
          <w14:textFill>
            <w14:solidFill>
              <w14:schemeClr w14:val="tx1"/>
            </w14:solidFill>
          </w14:textFill>
        </w:rPr>
        <w:t>0分：有效问卷</w:t>
      </w:r>
      <w:r>
        <w:rPr>
          <w:rFonts w:ascii="仿宋" w:hAnsi="仿宋" w:eastAsia="仿宋" w:cs="仿宋"/>
          <w:color w:val="000000" w:themeColor="text1"/>
          <w:sz w:val="28"/>
          <w:szCs w:val="28"/>
          <w14:textFill>
            <w14:solidFill>
              <w14:schemeClr w14:val="tx1"/>
            </w14:solidFill>
          </w14:textFill>
        </w:rPr>
        <w:t>25份，其中</w:t>
      </w:r>
      <w:r>
        <w:rPr>
          <w:rFonts w:hint="eastAsia" w:ascii="仿宋" w:hAnsi="仿宋" w:eastAsia="仿宋" w:cs="仿宋"/>
          <w:color w:val="000000" w:themeColor="text1"/>
          <w:sz w:val="28"/>
          <w:szCs w:val="28"/>
          <w14:textFill>
            <w14:solidFill>
              <w14:schemeClr w14:val="tx1"/>
            </w14:solidFill>
          </w14:textFill>
        </w:rPr>
        <w:t>朝千路、棉花街、沧白路项目22份、东升楼项目1份、解放东路项目2份，综合满意度</w:t>
      </w:r>
      <w:r>
        <w:rPr>
          <w:rFonts w:ascii="仿宋" w:hAnsi="仿宋" w:eastAsia="仿宋" w:cs="仿宋"/>
          <w:color w:val="000000" w:themeColor="text1"/>
          <w:sz w:val="28"/>
          <w:szCs w:val="28"/>
          <w14:textFill>
            <w14:solidFill>
              <w14:schemeClr w14:val="tx1"/>
            </w14:solidFill>
          </w14:textFill>
        </w:rPr>
        <w:t>78</w:t>
      </w:r>
      <w:r>
        <w:rPr>
          <w:rFonts w:hint="eastAsia" w:ascii="仿宋" w:hAnsi="仿宋" w:eastAsia="仿宋" w:cs="仿宋"/>
          <w:color w:val="000000" w:themeColor="text1"/>
          <w:sz w:val="28"/>
          <w:szCs w:val="28"/>
          <w14:textFill>
            <w14:solidFill>
              <w14:schemeClr w14:val="tx1"/>
            </w14:solidFill>
          </w14:textFill>
        </w:rPr>
        <w:t>.00</w:t>
      </w:r>
      <w:r>
        <w:rPr>
          <w:rFonts w:ascii="仿宋" w:hAnsi="仿宋" w:eastAsia="仿宋" w:cs="仿宋"/>
          <w:color w:val="000000" w:themeColor="text1"/>
          <w:sz w:val="28"/>
          <w:szCs w:val="28"/>
          <w14:textFill>
            <w14:solidFill>
              <w14:schemeClr w14:val="tx1"/>
            </w14:solidFill>
          </w14:textFill>
        </w:rPr>
        <w:t>%，本次绩效评价得0.39分。4%不太</w:t>
      </w:r>
      <w:r>
        <w:rPr>
          <w:rFonts w:hint="eastAsia" w:ascii="仿宋" w:hAnsi="仿宋" w:eastAsia="仿宋" w:cs="仿宋"/>
          <w:color w:val="000000" w:themeColor="text1"/>
          <w:sz w:val="28"/>
          <w:szCs w:val="28"/>
          <w14:textFill>
            <w14:solidFill>
              <w14:schemeClr w14:val="tx1"/>
            </w14:solidFill>
          </w14:textFill>
        </w:rPr>
        <w:t>满意</w:t>
      </w:r>
      <w:r>
        <w:rPr>
          <w:rFonts w:ascii="仿宋" w:hAnsi="仿宋" w:eastAsia="仿宋" w:cs="仿宋"/>
          <w:color w:val="000000" w:themeColor="text1"/>
          <w:sz w:val="28"/>
          <w:szCs w:val="28"/>
          <w14:textFill>
            <w14:solidFill>
              <w14:schemeClr w14:val="tx1"/>
            </w14:solidFill>
          </w14:textFill>
        </w:rPr>
        <w:t>,24%一般，48%满意，24%非常满意(不太满意1份，一般6份，满意12份，非常满意6份）。③楼体外线</w:t>
      </w:r>
      <w:r>
        <w:rPr>
          <w:rFonts w:hint="eastAsia" w:ascii="仿宋" w:hAnsi="仿宋" w:eastAsia="仿宋" w:cs="仿宋"/>
          <w:color w:val="000000" w:themeColor="text1"/>
          <w:sz w:val="28"/>
          <w:szCs w:val="28"/>
          <w14:textFill>
            <w14:solidFill>
              <w14:schemeClr w14:val="tx1"/>
            </w14:solidFill>
          </w14:textFill>
        </w:rPr>
        <w:t>缆规整标准分值</w:t>
      </w:r>
      <w:r>
        <w:rPr>
          <w:rFonts w:ascii="仿宋" w:hAnsi="仿宋" w:eastAsia="仿宋" w:cs="仿宋"/>
          <w:color w:val="000000" w:themeColor="text1"/>
          <w:sz w:val="28"/>
          <w:szCs w:val="28"/>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50分：有效问卷</w:t>
      </w:r>
      <w:r>
        <w:rPr>
          <w:rFonts w:ascii="仿宋" w:hAnsi="仿宋" w:eastAsia="仿宋" w:cs="仿宋"/>
          <w:color w:val="000000" w:themeColor="text1"/>
          <w:sz w:val="28"/>
          <w:szCs w:val="28"/>
          <w14:textFill>
            <w14:solidFill>
              <w14:schemeClr w14:val="tx1"/>
            </w14:solidFill>
          </w14:textFill>
        </w:rPr>
        <w:t>72份，其中</w:t>
      </w:r>
      <w:r>
        <w:rPr>
          <w:rFonts w:hint="eastAsia" w:ascii="仿宋" w:hAnsi="仿宋" w:eastAsia="仿宋" w:cs="仿宋"/>
          <w:color w:val="000000" w:themeColor="text1"/>
          <w:sz w:val="28"/>
          <w:szCs w:val="28"/>
          <w14:textFill>
            <w14:solidFill>
              <w14:schemeClr w14:val="tx1"/>
            </w14:solidFill>
          </w14:textFill>
        </w:rPr>
        <w:t>朝千路、棉花街、沧白路项目37份、白象居项目35份，综合满意度</w:t>
      </w:r>
      <w:r>
        <w:rPr>
          <w:rFonts w:ascii="仿宋" w:hAnsi="仿宋" w:eastAsia="仿宋" w:cs="仿宋"/>
          <w:color w:val="000000" w:themeColor="text1"/>
          <w:sz w:val="28"/>
          <w:szCs w:val="28"/>
          <w14:textFill>
            <w14:solidFill>
              <w14:schemeClr w14:val="tx1"/>
            </w14:solidFill>
          </w14:textFill>
        </w:rPr>
        <w:t>67.36%，本次绩效评价得</w:t>
      </w:r>
      <w:r>
        <w:rPr>
          <w:rFonts w:hint="eastAsia" w:ascii="仿宋" w:hAnsi="仿宋" w:eastAsia="仿宋" w:cs="仿宋"/>
          <w:color w:val="000000" w:themeColor="text1"/>
          <w:sz w:val="28"/>
          <w:szCs w:val="28"/>
          <w14:textFill>
            <w14:solidFill>
              <w14:schemeClr w14:val="tx1"/>
            </w14:solidFill>
          </w14:textFill>
        </w:rPr>
        <w:t>0.34分。</w:t>
      </w:r>
      <w:r>
        <w:rPr>
          <w:rFonts w:ascii="仿宋" w:hAnsi="仿宋" w:eastAsia="仿宋" w:cs="仿宋"/>
          <w:color w:val="000000" w:themeColor="text1"/>
          <w:sz w:val="28"/>
          <w:szCs w:val="28"/>
          <w14:textFill>
            <w14:solidFill>
              <w14:schemeClr w14:val="tx1"/>
            </w14:solidFill>
          </w14:textFill>
        </w:rPr>
        <w:t>2.78%不满意，12.5%不太满意,26.39%一般，52.77%满意，5.56%非常满意(不满意2份，不太满意9份，一般19份，满意38份，非常满意4份）。根据评分标准，建筑立面形态指标本次绩效评价得1.38分。</w:t>
      </w:r>
    </w:p>
    <w:p>
      <w:pPr>
        <w:adjustRightInd w:val="0"/>
        <w:snapToGrid w:val="0"/>
        <w:spacing w:before="156" w:beforeLines="50" w:line="360" w:lineRule="auto"/>
        <w:ind w:firstLine="560" w:firstLineChars="200"/>
        <w:jc w:val="both"/>
        <w:rPr>
          <w:rFonts w:ascii="仿宋" w:hAnsi="仿宋" w:eastAsia="仿宋" w:cs="仿宋"/>
          <w:sz w:val="28"/>
          <w:szCs w:val="28"/>
        </w:rPr>
      </w:pPr>
      <w:r>
        <w:rPr>
          <w:rFonts w:hint="eastAsia" w:ascii="仿宋" w:hAnsi="仿宋" w:eastAsia="仿宋" w:cs="仿宋"/>
          <w:color w:val="000000" w:themeColor="text1"/>
          <w:sz w:val="28"/>
          <w:szCs w:val="28"/>
          <w14:textFill>
            <w14:solidFill>
              <w14:schemeClr w14:val="tx1"/>
            </w14:solidFill>
          </w14:textFill>
        </w:rPr>
        <w:t>综上，</w:t>
      </w:r>
      <w:r>
        <w:rPr>
          <w:rFonts w:hint="eastAsia" w:ascii="仿宋" w:hAnsi="仿宋" w:eastAsia="仿宋" w:cs="仿宋"/>
          <w:sz w:val="28"/>
          <w:szCs w:val="28"/>
        </w:rPr>
        <w:t>根据评分标准，实际扣分情况合计为</w:t>
      </w:r>
      <w:r>
        <w:rPr>
          <w:rFonts w:ascii="仿宋" w:hAnsi="仿宋" w:eastAsia="仿宋" w:cs="仿宋"/>
          <w:sz w:val="28"/>
          <w:szCs w:val="28"/>
        </w:rPr>
        <w:t>2</w:t>
      </w:r>
      <w:r>
        <w:rPr>
          <w:rFonts w:hint="eastAsia" w:ascii="仿宋" w:hAnsi="仿宋" w:eastAsia="仿宋" w:cs="仿宋"/>
          <w:sz w:val="28"/>
          <w:szCs w:val="28"/>
        </w:rPr>
        <w:t>.00分，社会效益指标本次绩效评价得4.5分。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2）生态效益标准分值为1.5分。</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567"/>
        <w:gridCol w:w="669"/>
        <w:gridCol w:w="549"/>
        <w:gridCol w:w="583"/>
        <w:gridCol w:w="708"/>
        <w:gridCol w:w="3686"/>
        <w:gridCol w:w="76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660" w:hRule="atLeast"/>
        </w:trPr>
        <w:tc>
          <w:tcPr>
            <w:tcW w:w="919" w:type="pct"/>
            <w:shd w:val="clear" w:color="auto" w:fill="auto"/>
            <w:noWrap/>
            <w:vAlign w:val="center"/>
          </w:tcPr>
          <w:p>
            <w:pPr>
              <w:jc w:val="center"/>
              <w:rPr>
                <w:rFonts w:ascii="仿宋" w:hAnsi="仿宋" w:eastAsia="仿宋" w:cs="仿宋"/>
                <w:bCs/>
                <w:sz w:val="18"/>
                <w:szCs w:val="18"/>
              </w:rPr>
            </w:pPr>
            <w:r>
              <w:rPr>
                <w:rFonts w:hint="eastAsia" w:ascii="仿宋" w:hAnsi="仿宋" w:eastAsia="仿宋" w:cs="仿宋"/>
                <w:bCs/>
                <w:sz w:val="18"/>
                <w:szCs w:val="18"/>
              </w:rPr>
              <w:t>明细指标</w:t>
            </w:r>
          </w:p>
        </w:tc>
        <w:tc>
          <w:tcPr>
            <w:tcW w:w="392"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性质</w:t>
            </w:r>
          </w:p>
        </w:tc>
        <w:tc>
          <w:tcPr>
            <w:tcW w:w="322" w:type="pct"/>
            <w:shd w:val="clear" w:color="auto" w:fill="auto"/>
            <w:noWrap/>
            <w:vAlign w:val="center"/>
          </w:tcPr>
          <w:p>
            <w:pPr>
              <w:jc w:val="center"/>
              <w:rPr>
                <w:rFonts w:ascii="仿宋" w:hAnsi="仿宋" w:eastAsia="仿宋" w:cs="仿宋"/>
                <w:bCs/>
                <w:sz w:val="18"/>
                <w:szCs w:val="18"/>
              </w:rPr>
            </w:pPr>
            <w:r>
              <w:rPr>
                <w:rFonts w:hint="eastAsia" w:ascii="仿宋" w:hAnsi="仿宋" w:eastAsia="仿宋" w:cs="仿宋"/>
                <w:bCs/>
                <w:sz w:val="18"/>
                <w:szCs w:val="18"/>
              </w:rPr>
              <w:t>指标值</w:t>
            </w:r>
          </w:p>
        </w:tc>
        <w:tc>
          <w:tcPr>
            <w:tcW w:w="342"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计量</w:t>
            </w:r>
            <w:r>
              <w:rPr>
                <w:rFonts w:ascii="仿宋" w:hAnsi="仿宋" w:eastAsia="仿宋" w:cs="仿宋"/>
                <w:bCs/>
                <w:sz w:val="18"/>
                <w:szCs w:val="18"/>
              </w:rPr>
              <w:br w:type="textWrapping"/>
            </w:r>
            <w:r>
              <w:rPr>
                <w:rFonts w:hint="eastAsia" w:ascii="仿宋" w:hAnsi="仿宋" w:eastAsia="仿宋" w:cs="仿宋"/>
                <w:bCs/>
                <w:sz w:val="18"/>
                <w:szCs w:val="18"/>
              </w:rPr>
              <w:t>单位</w:t>
            </w:r>
          </w:p>
        </w:tc>
        <w:tc>
          <w:tcPr>
            <w:tcW w:w="415"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权重</w:t>
            </w:r>
          </w:p>
        </w:tc>
        <w:tc>
          <w:tcPr>
            <w:tcW w:w="2161"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评价标准</w:t>
            </w:r>
          </w:p>
        </w:tc>
        <w:tc>
          <w:tcPr>
            <w:tcW w:w="449"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实际</w:t>
            </w:r>
            <w:r>
              <w:rPr>
                <w:rFonts w:ascii="仿宋" w:hAnsi="仿宋" w:eastAsia="仿宋" w:cs="仿宋"/>
                <w:sz w:val="18"/>
                <w:szCs w:val="18"/>
              </w:rPr>
              <w:br w:type="textWrapping"/>
            </w:r>
            <w:r>
              <w:rPr>
                <w:rFonts w:hint="eastAsia" w:ascii="仿宋" w:hAnsi="仿宋" w:eastAsia="仿宋" w:cs="仿宋"/>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919"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增设垃圾分类容器</w:t>
            </w:r>
          </w:p>
        </w:tc>
        <w:tc>
          <w:tcPr>
            <w:tcW w:w="39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2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4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15" w:type="pct"/>
            <w:shd w:val="clear" w:color="auto" w:fill="auto"/>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161"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49"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919"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雨污管网改造</w:t>
            </w:r>
          </w:p>
        </w:tc>
        <w:tc>
          <w:tcPr>
            <w:tcW w:w="39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2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4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15" w:type="pct"/>
            <w:shd w:val="clear" w:color="auto" w:fill="auto"/>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161"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49"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919"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sz w:val="18"/>
                <w:szCs w:val="18"/>
              </w:rPr>
              <w:t>化粪池改善效果</w:t>
            </w:r>
          </w:p>
        </w:tc>
        <w:tc>
          <w:tcPr>
            <w:tcW w:w="39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32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34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15" w:type="pct"/>
            <w:shd w:val="clear" w:color="auto" w:fill="auto"/>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0.5</w:t>
            </w:r>
            <w:r>
              <w:rPr>
                <w:rFonts w:hint="eastAsia" w:ascii="仿宋" w:hAnsi="仿宋" w:eastAsia="仿宋" w:cs="仿宋"/>
                <w:color w:val="000000"/>
                <w:sz w:val="18"/>
                <w:szCs w:val="18"/>
                <w:lang w:bidi="ar"/>
              </w:rPr>
              <w:t>0</w:t>
            </w:r>
          </w:p>
        </w:tc>
        <w:tc>
          <w:tcPr>
            <w:tcW w:w="2161"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49" w:type="pct"/>
            <w:shd w:val="clear" w:color="auto" w:fill="auto"/>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0.33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919"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bCs/>
                <w:sz w:val="18"/>
                <w:szCs w:val="18"/>
              </w:rPr>
              <w:t>明细指标</w:t>
            </w:r>
          </w:p>
        </w:tc>
        <w:tc>
          <w:tcPr>
            <w:tcW w:w="39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性质</w:t>
            </w:r>
          </w:p>
        </w:tc>
        <w:tc>
          <w:tcPr>
            <w:tcW w:w="32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指标值</w:t>
            </w:r>
          </w:p>
        </w:tc>
        <w:tc>
          <w:tcPr>
            <w:tcW w:w="34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计量</w:t>
            </w:r>
            <w:r>
              <w:rPr>
                <w:rFonts w:ascii="仿宋" w:hAnsi="仿宋" w:eastAsia="仿宋" w:cs="仿宋"/>
                <w:bCs/>
                <w:sz w:val="18"/>
                <w:szCs w:val="18"/>
              </w:rPr>
              <w:br w:type="textWrapping"/>
            </w:r>
            <w:r>
              <w:rPr>
                <w:rFonts w:hint="eastAsia" w:ascii="仿宋" w:hAnsi="仿宋" w:eastAsia="仿宋" w:cs="仿宋"/>
                <w:bCs/>
                <w:sz w:val="18"/>
                <w:szCs w:val="18"/>
              </w:rPr>
              <w:t>单位</w:t>
            </w:r>
          </w:p>
        </w:tc>
        <w:tc>
          <w:tcPr>
            <w:tcW w:w="415" w:type="pct"/>
            <w:shd w:val="clear" w:color="auto" w:fill="auto"/>
            <w:noWrap/>
            <w:vAlign w:val="center"/>
          </w:tcPr>
          <w:p>
            <w:pPr>
              <w:jc w:val="right"/>
              <w:rPr>
                <w:rFonts w:ascii="仿宋" w:hAnsi="仿宋" w:eastAsia="仿宋" w:cs="仿宋"/>
                <w:color w:val="000000"/>
                <w:sz w:val="18"/>
                <w:szCs w:val="18"/>
                <w:lang w:bidi="ar"/>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权重</w:t>
            </w:r>
          </w:p>
        </w:tc>
        <w:tc>
          <w:tcPr>
            <w:tcW w:w="2161"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评价标准</w:t>
            </w:r>
          </w:p>
        </w:tc>
        <w:tc>
          <w:tcPr>
            <w:tcW w:w="449" w:type="pct"/>
            <w:shd w:val="clear" w:color="auto" w:fill="auto"/>
            <w:vAlign w:val="center"/>
          </w:tcPr>
          <w:p>
            <w:pPr>
              <w:jc w:val="right"/>
              <w:rPr>
                <w:rFonts w:ascii="仿宋" w:hAnsi="仿宋" w:eastAsia="仿宋" w:cs="仿宋"/>
                <w:color w:val="000000"/>
                <w:sz w:val="18"/>
                <w:szCs w:val="18"/>
                <w:lang w:bidi="ar"/>
              </w:rPr>
            </w:pPr>
            <w:r>
              <w:rPr>
                <w:rFonts w:hint="eastAsia" w:ascii="仿宋" w:hAnsi="仿宋" w:eastAsia="仿宋" w:cs="仿宋"/>
                <w:sz w:val="18"/>
                <w:szCs w:val="18"/>
              </w:rPr>
              <w:t>实际</w:t>
            </w:r>
            <w:r>
              <w:rPr>
                <w:rFonts w:ascii="仿宋" w:hAnsi="仿宋" w:eastAsia="仿宋" w:cs="仿宋"/>
                <w:sz w:val="18"/>
                <w:szCs w:val="18"/>
              </w:rPr>
              <w:br w:type="textWrapping"/>
            </w:r>
            <w:r>
              <w:rPr>
                <w:rFonts w:hint="eastAsia" w:ascii="仿宋" w:hAnsi="仿宋" w:eastAsia="仿宋" w:cs="仿宋"/>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919" w:type="pct"/>
            <w:shd w:val="clear" w:color="auto" w:fill="auto"/>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合计</w:t>
            </w:r>
          </w:p>
        </w:tc>
        <w:tc>
          <w:tcPr>
            <w:tcW w:w="392"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322"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342"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15"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1.5</w:t>
            </w:r>
            <w:r>
              <w:rPr>
                <w:rFonts w:hint="eastAsia" w:ascii="仿宋" w:hAnsi="仿宋" w:eastAsia="仿宋" w:cs="仿宋"/>
                <w:color w:val="000000"/>
                <w:sz w:val="18"/>
                <w:szCs w:val="18"/>
                <w:lang w:bidi="ar"/>
              </w:rPr>
              <w:t>0</w:t>
            </w:r>
          </w:p>
        </w:tc>
        <w:tc>
          <w:tcPr>
            <w:tcW w:w="216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449"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1.02</w:t>
            </w:r>
          </w:p>
        </w:tc>
      </w:tr>
    </w:tbl>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w:instrText>
      </w:r>
      <w:r>
        <w:rPr>
          <w:rFonts w:hint="eastAsia" w:ascii="仿宋" w:hAnsi="仿宋" w:eastAsia="仿宋" w:cs="仿宋"/>
          <w:color w:val="000000" w:themeColor="text1"/>
          <w:sz w:val="28"/>
          <w:szCs w:val="28"/>
          <w14:textFill>
            <w14:solidFill>
              <w14:schemeClr w14:val="tx1"/>
            </w14:solidFill>
          </w14:textFill>
        </w:rPr>
        <w:instrText xml:space="preserve">= 1 \* GB3</w:instrText>
      </w:r>
      <w:r>
        <w:rPr>
          <w:rFonts w:ascii="仿宋" w:hAnsi="仿宋" w:eastAsia="仿宋" w:cs="仿宋"/>
          <w:color w:val="000000" w:themeColor="text1"/>
          <w:sz w:val="28"/>
          <w:szCs w:val="28"/>
          <w14:textFill>
            <w14:solidFill>
              <w14:schemeClr w14:val="tx1"/>
            </w14:solidFill>
          </w14:textFill>
        </w:rPr>
        <w:instrText xml:space="preserve"> </w:instrText>
      </w:r>
      <w:r>
        <w:rPr>
          <w:rFonts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①</w:t>
      </w:r>
      <w:r>
        <w:rPr>
          <w:rFonts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设垃圾分类容器标准分值为</w:t>
      </w:r>
      <w:r>
        <w:rPr>
          <w:rFonts w:ascii="仿宋" w:hAnsi="仿宋" w:eastAsia="仿宋" w:cs="仿宋"/>
          <w:color w:val="000000" w:themeColor="text1"/>
          <w:sz w:val="28"/>
          <w:szCs w:val="28"/>
          <w14:textFill>
            <w14:solidFill>
              <w14:schemeClr w14:val="tx1"/>
            </w14:solidFill>
          </w14:textFill>
        </w:rPr>
        <w:t>0</w:t>
      </w:r>
      <w:r>
        <w:rPr>
          <w:rFonts w:hint="eastAsia" w:ascii="仿宋" w:hAnsi="仿宋" w:eastAsia="仿宋" w:cs="仿宋"/>
          <w:color w:val="000000" w:themeColor="text1"/>
          <w:sz w:val="28"/>
          <w:szCs w:val="28"/>
          <w14:textFill>
            <w14:solidFill>
              <w14:schemeClr w14:val="tx1"/>
            </w14:solidFill>
          </w14:textFill>
        </w:rPr>
        <w:t>.50</w:t>
      </w:r>
      <w:r>
        <w:rPr>
          <w:rFonts w:ascii="仿宋" w:hAnsi="仿宋" w:eastAsia="仿宋" w:cs="仿宋"/>
          <w:color w:val="000000" w:themeColor="text1"/>
          <w:sz w:val="28"/>
          <w:szCs w:val="28"/>
          <w14:textFill>
            <w14:solidFill>
              <w14:schemeClr w14:val="tx1"/>
            </w14:solidFill>
          </w14:textFill>
        </w:rPr>
        <w:t>分：有效问卷朝千路、棉花街、沧白路项目37份，综合满意度71.62%，本次绩效评价得0.</w:t>
      </w:r>
      <w:r>
        <w:rPr>
          <w:rFonts w:hint="eastAsia" w:ascii="仿宋" w:hAnsi="仿宋" w:eastAsia="仿宋" w:cs="仿宋"/>
          <w:color w:val="000000" w:themeColor="text1"/>
          <w:sz w:val="28"/>
          <w:szCs w:val="28"/>
          <w14:textFill>
            <w14:solidFill>
              <w14:schemeClr w14:val="tx1"/>
            </w14:solidFill>
          </w14:textFill>
        </w:rPr>
        <w:t>36</w:t>
      </w:r>
      <w:r>
        <w:rPr>
          <w:rFonts w:ascii="仿宋" w:hAnsi="仿宋" w:eastAsia="仿宋" w:cs="仿宋"/>
          <w:color w:val="000000" w:themeColor="text1"/>
          <w:sz w:val="28"/>
          <w:szCs w:val="28"/>
          <w14:textFill>
            <w14:solidFill>
              <w14:schemeClr w14:val="tx1"/>
            </w14:solidFill>
          </w14:textFill>
        </w:rPr>
        <w:t>分。2.70%不满意，2.70%不太满意,29.73%一般，59.46%满意，5.41%非常满意(不满意1份，不太满意1份，一般11份，满意22份，非常满意2份）。</w:t>
      </w:r>
    </w:p>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②雨污管网改造标准分值为0.50</w:t>
      </w:r>
      <w:r>
        <w:rPr>
          <w:rFonts w:ascii="仿宋" w:hAnsi="仿宋" w:eastAsia="仿宋" w:cs="仿宋"/>
          <w:color w:val="000000" w:themeColor="text1"/>
          <w:sz w:val="28"/>
          <w:szCs w:val="28"/>
          <w14:textFill>
            <w14:solidFill>
              <w14:schemeClr w14:val="tx1"/>
            </w14:solidFill>
          </w14:textFill>
        </w:rPr>
        <w:t>分：有效问卷69份，其中朝千路、棉花街、沧白路项目37份、东升楼项目1份，白象居项目28份、解放东路项目3份，综合满意度65.65%，本次绩效评价得0.66分。5.8%不满意，10.14%不太满意,33.33%一般，40.59%满意，10.14%非常满意(不满意4份，不太满意7份，一般23份，满意28份，非常满意7份）。</w:t>
      </w:r>
    </w:p>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③化粪池改善效果标准分值为</w:t>
      </w:r>
      <w:r>
        <w:rPr>
          <w:rFonts w:ascii="仿宋" w:hAnsi="仿宋" w:eastAsia="仿宋" w:cs="仿宋"/>
          <w:color w:val="000000" w:themeColor="text1"/>
          <w:sz w:val="28"/>
          <w:szCs w:val="28"/>
          <w14:textFill>
            <w14:solidFill>
              <w14:schemeClr w14:val="tx1"/>
            </w14:solidFill>
          </w14:textFill>
        </w:rPr>
        <w:t>0.5分:有效问卷</w:t>
      </w:r>
      <w:r>
        <w:rPr>
          <w:rFonts w:hint="eastAsia" w:ascii="仿宋" w:hAnsi="仿宋" w:eastAsia="仿宋" w:cs="仿宋"/>
          <w:color w:val="000000" w:themeColor="text1"/>
          <w:sz w:val="28"/>
          <w:szCs w:val="28"/>
          <w14:textFill>
            <w14:solidFill>
              <w14:schemeClr w14:val="tx1"/>
            </w14:solidFill>
          </w14:textFill>
        </w:rPr>
        <w:t>朝千路、棉花街、沧白路项目37份，综合满意度66.22%，本次绩效评价得</w:t>
      </w:r>
      <w:r>
        <w:rPr>
          <w:rFonts w:ascii="仿宋" w:hAnsi="仿宋" w:eastAsia="仿宋" w:cs="仿宋"/>
          <w:color w:val="000000" w:themeColor="text1"/>
          <w:sz w:val="28"/>
          <w:szCs w:val="28"/>
          <w14:textFill>
            <w14:solidFill>
              <w14:schemeClr w14:val="tx1"/>
            </w14:solidFill>
          </w14:textFill>
        </w:rPr>
        <w:t>0.33分。5.41%不满意，2.70%不太满意,43.24%一般，45.95%满意，2.70%非常满意(不满意2份，不太满意1份，一般16份，满意17份，非常满意1份）。</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color w:val="000000" w:themeColor="text1"/>
          <w:sz w:val="28"/>
          <w:szCs w:val="28"/>
          <w14:textFill>
            <w14:solidFill>
              <w14:schemeClr w14:val="tx1"/>
            </w14:solidFill>
          </w14:textFill>
        </w:rPr>
        <w:t>综上，</w:t>
      </w:r>
      <w:r>
        <w:rPr>
          <w:rFonts w:hint="eastAsia" w:ascii="仿宋" w:hAnsi="仿宋" w:eastAsia="仿宋" w:cs="仿宋"/>
          <w:sz w:val="28"/>
          <w:szCs w:val="28"/>
        </w:rPr>
        <w:t>根据评分标准，实际扣分情况合计为</w:t>
      </w:r>
      <w:r>
        <w:rPr>
          <w:rFonts w:ascii="仿宋" w:hAnsi="仿宋" w:eastAsia="仿宋" w:cs="仿宋"/>
          <w:sz w:val="28"/>
          <w:szCs w:val="28"/>
        </w:rPr>
        <w:t>0.48分，生态效益指标本次绩效评价得1.02分。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3）可持续影响标准分值为7</w:t>
      </w:r>
      <w:r>
        <w:rPr>
          <w:rFonts w:hint="eastAsia" w:ascii="仿宋" w:hAnsi="仿宋" w:eastAsia="仿宋" w:cs="仿宋"/>
          <w:color w:val="000000" w:themeColor="text1"/>
          <w:sz w:val="28"/>
          <w:szCs w:val="28"/>
          <w14:textFill>
            <w14:solidFill>
              <w14:schemeClr w14:val="tx1"/>
            </w14:solidFill>
          </w14:textFill>
        </w:rPr>
        <w:t>.00分。</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658"/>
        <w:gridCol w:w="462"/>
        <w:gridCol w:w="756"/>
        <w:gridCol w:w="462"/>
        <w:gridCol w:w="882"/>
        <w:gridCol w:w="3462"/>
        <w:gridCol w:w="846"/>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PrEx>
        <w:trPr>
          <w:trHeight w:val="660" w:hRule="atLeast"/>
        </w:trPr>
        <w:tc>
          <w:tcPr>
            <w:tcW w:w="972" w:type="pct"/>
            <w:shd w:val="clear" w:color="auto" w:fill="auto"/>
            <w:noWrap/>
            <w:vAlign w:val="center"/>
          </w:tcPr>
          <w:p>
            <w:pPr>
              <w:jc w:val="center"/>
              <w:rPr>
                <w:rFonts w:ascii="仿宋" w:hAnsi="仿宋" w:eastAsia="仿宋" w:cs="仿宋"/>
                <w:bCs/>
                <w:sz w:val="18"/>
                <w:szCs w:val="18"/>
              </w:rPr>
            </w:pPr>
            <w:r>
              <w:rPr>
                <w:rFonts w:hint="eastAsia" w:ascii="仿宋" w:hAnsi="仿宋" w:eastAsia="仿宋" w:cs="仿宋"/>
                <w:bCs/>
                <w:sz w:val="18"/>
                <w:szCs w:val="18"/>
              </w:rPr>
              <w:t>明细指标</w:t>
            </w:r>
          </w:p>
        </w:tc>
        <w:tc>
          <w:tcPr>
            <w:tcW w:w="271"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性质</w:t>
            </w:r>
          </w:p>
        </w:tc>
        <w:tc>
          <w:tcPr>
            <w:tcW w:w="443" w:type="pct"/>
            <w:shd w:val="clear" w:color="auto" w:fill="auto"/>
            <w:noWrap/>
            <w:vAlign w:val="center"/>
          </w:tcPr>
          <w:p>
            <w:pPr>
              <w:jc w:val="center"/>
              <w:rPr>
                <w:rFonts w:ascii="仿宋" w:hAnsi="仿宋" w:eastAsia="仿宋" w:cs="仿宋"/>
                <w:bCs/>
                <w:sz w:val="18"/>
                <w:szCs w:val="18"/>
              </w:rPr>
            </w:pPr>
            <w:r>
              <w:rPr>
                <w:rFonts w:hint="eastAsia" w:ascii="仿宋" w:hAnsi="仿宋" w:eastAsia="仿宋" w:cs="仿宋"/>
                <w:bCs/>
                <w:sz w:val="18"/>
                <w:szCs w:val="18"/>
              </w:rPr>
              <w:t>指标值</w:t>
            </w:r>
          </w:p>
        </w:tc>
        <w:tc>
          <w:tcPr>
            <w:tcW w:w="271"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计量</w:t>
            </w:r>
            <w:r>
              <w:rPr>
                <w:rFonts w:ascii="仿宋" w:hAnsi="仿宋" w:eastAsia="仿宋" w:cs="仿宋"/>
                <w:bCs/>
                <w:sz w:val="18"/>
                <w:szCs w:val="18"/>
              </w:rPr>
              <w:br w:type="textWrapping"/>
            </w:r>
            <w:r>
              <w:rPr>
                <w:rFonts w:hint="eastAsia" w:ascii="仿宋" w:hAnsi="仿宋" w:eastAsia="仿宋" w:cs="仿宋"/>
                <w:bCs/>
                <w:sz w:val="18"/>
                <w:szCs w:val="18"/>
              </w:rPr>
              <w:t>单位</w:t>
            </w:r>
          </w:p>
        </w:tc>
        <w:tc>
          <w:tcPr>
            <w:tcW w:w="517"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权重</w:t>
            </w:r>
          </w:p>
        </w:tc>
        <w:tc>
          <w:tcPr>
            <w:tcW w:w="2030" w:type="pct"/>
            <w:shd w:val="clear" w:color="auto" w:fill="auto"/>
            <w:vAlign w:val="center"/>
          </w:tcPr>
          <w:p>
            <w:pPr>
              <w:jc w:val="center"/>
              <w:rPr>
                <w:rFonts w:ascii="仿宋" w:hAnsi="仿宋" w:eastAsia="仿宋" w:cs="仿宋"/>
                <w:bCs/>
                <w:sz w:val="18"/>
                <w:szCs w:val="18"/>
              </w:rPr>
            </w:pPr>
            <w:r>
              <w:rPr>
                <w:rFonts w:hint="eastAsia" w:ascii="仿宋" w:hAnsi="仿宋" w:eastAsia="仿宋" w:cs="仿宋"/>
                <w:bCs/>
                <w:sz w:val="18"/>
                <w:szCs w:val="18"/>
              </w:rPr>
              <w:t>评价标准</w:t>
            </w:r>
          </w:p>
        </w:tc>
        <w:tc>
          <w:tcPr>
            <w:tcW w:w="496"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实际</w:t>
            </w:r>
            <w:r>
              <w:rPr>
                <w:rFonts w:ascii="仿宋" w:hAnsi="仿宋" w:eastAsia="仿宋" w:cs="仿宋"/>
                <w:sz w:val="18"/>
                <w:szCs w:val="18"/>
              </w:rPr>
              <w:br w:type="textWrapping"/>
            </w:r>
            <w:r>
              <w:rPr>
                <w:rFonts w:hint="eastAsia" w:ascii="仿宋" w:hAnsi="仿宋" w:eastAsia="仿宋" w:cs="仿宋"/>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97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居住安全度</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43"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517" w:type="pct"/>
            <w:shd w:val="clear" w:color="auto" w:fill="auto"/>
            <w:noWrap/>
            <w:vAlign w:val="center"/>
          </w:tcPr>
          <w:p>
            <w:pPr>
              <w:jc w:val="right"/>
              <w:rPr>
                <w:rFonts w:ascii="仿宋" w:hAnsi="仿宋" w:eastAsia="仿宋" w:cs="仿宋"/>
                <w:sz w:val="18"/>
                <w:szCs w:val="18"/>
              </w:rPr>
            </w:pPr>
            <w:r>
              <w:rPr>
                <w:rFonts w:ascii="仿宋" w:hAnsi="仿宋" w:eastAsia="仿宋" w:cs="仿宋"/>
                <w:sz w:val="18"/>
                <w:szCs w:val="18"/>
                <w:lang w:bidi="ar"/>
              </w:rPr>
              <w:t>2</w:t>
            </w:r>
            <w:r>
              <w:rPr>
                <w:rFonts w:hint="eastAsia" w:ascii="仿宋" w:hAnsi="仿宋" w:eastAsia="仿宋" w:cs="仿宋"/>
                <w:sz w:val="18"/>
                <w:szCs w:val="18"/>
                <w:lang w:bidi="ar"/>
              </w:rPr>
              <w:t>.00</w:t>
            </w:r>
          </w:p>
        </w:tc>
        <w:tc>
          <w:tcPr>
            <w:tcW w:w="2030"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96" w:type="pct"/>
            <w:shd w:val="clear" w:color="auto" w:fill="auto"/>
            <w:vAlign w:val="center"/>
          </w:tcPr>
          <w:p>
            <w:pPr>
              <w:jc w:val="right"/>
              <w:rPr>
                <w:rFonts w:ascii="仿宋" w:hAnsi="仿宋" w:eastAsia="仿宋" w:cs="仿宋"/>
                <w:sz w:val="18"/>
                <w:szCs w:val="18"/>
                <w:lang w:bidi="ar"/>
              </w:rPr>
            </w:pPr>
            <w:r>
              <w:rPr>
                <w:rFonts w:ascii="仿宋" w:hAnsi="仿宋" w:eastAsia="仿宋" w:cs="仿宋"/>
                <w:sz w:val="18"/>
                <w:szCs w:val="18"/>
                <w:lang w:bidi="ar"/>
              </w:rPr>
              <w:t>0.99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972"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明细指标</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性质</w:t>
            </w:r>
          </w:p>
        </w:tc>
        <w:tc>
          <w:tcPr>
            <w:tcW w:w="443"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指标值</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计量</w:t>
            </w:r>
            <w:r>
              <w:rPr>
                <w:rFonts w:ascii="仿宋" w:hAnsi="仿宋" w:eastAsia="仿宋" w:cs="仿宋"/>
                <w:bCs/>
                <w:sz w:val="18"/>
                <w:szCs w:val="18"/>
              </w:rPr>
              <w:br w:type="textWrapping"/>
            </w:r>
            <w:r>
              <w:rPr>
                <w:rFonts w:hint="eastAsia" w:ascii="仿宋" w:hAnsi="仿宋" w:eastAsia="仿宋" w:cs="仿宋"/>
                <w:bCs/>
                <w:sz w:val="18"/>
                <w:szCs w:val="18"/>
              </w:rPr>
              <w:t>单位</w:t>
            </w:r>
          </w:p>
        </w:tc>
        <w:tc>
          <w:tcPr>
            <w:tcW w:w="517" w:type="pct"/>
            <w:shd w:val="clear" w:color="auto" w:fill="auto"/>
            <w:noWrap/>
            <w:vAlign w:val="center"/>
          </w:tcPr>
          <w:p>
            <w:pPr>
              <w:jc w:val="right"/>
              <w:rPr>
                <w:rFonts w:ascii="仿宋" w:hAnsi="仿宋" w:eastAsia="仿宋" w:cs="仿宋"/>
                <w:sz w:val="18"/>
                <w:szCs w:val="18"/>
                <w:lang w:bidi="ar"/>
              </w:rPr>
            </w:pPr>
            <w:r>
              <w:rPr>
                <w:rFonts w:hint="eastAsia" w:ascii="仿宋" w:hAnsi="仿宋" w:eastAsia="仿宋" w:cs="仿宋"/>
                <w:bCs/>
                <w:sz w:val="18"/>
                <w:szCs w:val="18"/>
              </w:rPr>
              <w:t>指标</w:t>
            </w:r>
            <w:r>
              <w:rPr>
                <w:rFonts w:ascii="仿宋" w:hAnsi="仿宋" w:eastAsia="仿宋" w:cs="仿宋"/>
                <w:bCs/>
                <w:sz w:val="18"/>
                <w:szCs w:val="18"/>
              </w:rPr>
              <w:br w:type="textWrapping"/>
            </w:r>
            <w:r>
              <w:rPr>
                <w:rFonts w:hint="eastAsia" w:ascii="仿宋" w:hAnsi="仿宋" w:eastAsia="仿宋" w:cs="仿宋"/>
                <w:bCs/>
                <w:sz w:val="18"/>
                <w:szCs w:val="18"/>
              </w:rPr>
              <w:t>权重</w:t>
            </w:r>
          </w:p>
        </w:tc>
        <w:tc>
          <w:tcPr>
            <w:tcW w:w="2030" w:type="pct"/>
            <w:shd w:val="clear" w:color="auto" w:fill="auto"/>
            <w:vAlign w:val="center"/>
          </w:tcPr>
          <w:p>
            <w:pPr>
              <w:jc w:val="center"/>
              <w:rPr>
                <w:rFonts w:ascii="仿宋" w:hAnsi="仿宋" w:eastAsia="仿宋" w:cs="仿宋"/>
                <w:sz w:val="18"/>
                <w:szCs w:val="18"/>
              </w:rPr>
            </w:pPr>
            <w:r>
              <w:rPr>
                <w:rFonts w:hint="eastAsia" w:ascii="仿宋" w:hAnsi="仿宋" w:eastAsia="仿宋" w:cs="仿宋"/>
                <w:bCs/>
                <w:sz w:val="18"/>
                <w:szCs w:val="18"/>
              </w:rPr>
              <w:t>评价标准</w:t>
            </w:r>
          </w:p>
        </w:tc>
        <w:tc>
          <w:tcPr>
            <w:tcW w:w="496" w:type="pct"/>
            <w:shd w:val="clear" w:color="auto" w:fill="auto"/>
            <w:vAlign w:val="center"/>
          </w:tcPr>
          <w:p>
            <w:pPr>
              <w:jc w:val="right"/>
              <w:rPr>
                <w:rFonts w:ascii="仿宋" w:hAnsi="仿宋" w:eastAsia="仿宋" w:cs="仿宋"/>
                <w:sz w:val="18"/>
                <w:szCs w:val="18"/>
                <w:lang w:bidi="ar"/>
              </w:rPr>
            </w:pPr>
            <w:r>
              <w:rPr>
                <w:rFonts w:hint="eastAsia" w:ascii="仿宋" w:hAnsi="仿宋" w:eastAsia="仿宋" w:cs="仿宋"/>
                <w:sz w:val="18"/>
                <w:szCs w:val="18"/>
              </w:rPr>
              <w:t>实际</w:t>
            </w:r>
            <w:r>
              <w:rPr>
                <w:rFonts w:ascii="仿宋" w:hAnsi="仿宋" w:eastAsia="仿宋" w:cs="仿宋"/>
                <w:sz w:val="18"/>
                <w:szCs w:val="18"/>
              </w:rPr>
              <w:br w:type="textWrapping"/>
            </w:r>
            <w:r>
              <w:rPr>
                <w:rFonts w:hint="eastAsia" w:ascii="仿宋" w:hAnsi="仿宋" w:eastAsia="仿宋" w:cs="仿宋"/>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97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居住舒适度</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43"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517" w:type="pct"/>
            <w:shd w:val="clear" w:color="auto" w:fill="auto"/>
            <w:noWrap/>
            <w:vAlign w:val="center"/>
          </w:tcPr>
          <w:p>
            <w:pPr>
              <w:jc w:val="right"/>
              <w:rPr>
                <w:rFonts w:ascii="仿宋" w:hAnsi="仿宋" w:eastAsia="仿宋" w:cs="仿宋"/>
                <w:sz w:val="18"/>
                <w:szCs w:val="18"/>
              </w:rPr>
            </w:pPr>
            <w:r>
              <w:rPr>
                <w:rFonts w:ascii="仿宋" w:hAnsi="仿宋" w:eastAsia="仿宋" w:cs="仿宋"/>
                <w:sz w:val="18"/>
                <w:szCs w:val="18"/>
                <w:lang w:bidi="ar"/>
              </w:rPr>
              <w:t>1</w:t>
            </w:r>
            <w:r>
              <w:rPr>
                <w:rFonts w:hint="eastAsia" w:ascii="仿宋" w:hAnsi="仿宋" w:eastAsia="仿宋" w:cs="仿宋"/>
                <w:sz w:val="18"/>
                <w:szCs w:val="18"/>
                <w:lang w:bidi="ar"/>
              </w:rPr>
              <w:t>.00</w:t>
            </w:r>
          </w:p>
        </w:tc>
        <w:tc>
          <w:tcPr>
            <w:tcW w:w="2030"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96" w:type="pct"/>
            <w:shd w:val="clear" w:color="auto" w:fill="auto"/>
            <w:vAlign w:val="center"/>
          </w:tcPr>
          <w:p>
            <w:pPr>
              <w:jc w:val="right"/>
              <w:rPr>
                <w:rFonts w:ascii="仿宋" w:hAnsi="仿宋" w:eastAsia="仿宋" w:cs="仿宋"/>
                <w:sz w:val="18"/>
                <w:szCs w:val="18"/>
                <w:lang w:bidi="ar"/>
              </w:rPr>
            </w:pPr>
            <w:r>
              <w:rPr>
                <w:rFonts w:ascii="仿宋" w:hAnsi="仿宋" w:eastAsia="仿宋" w:cs="仿宋"/>
                <w:sz w:val="18"/>
                <w:szCs w:val="18"/>
                <w:lang w:bidi="ar"/>
              </w:rPr>
              <w:t>0.64</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560" w:hRule="atLeast"/>
        </w:trPr>
        <w:tc>
          <w:tcPr>
            <w:tcW w:w="97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社会参与度</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43"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517" w:type="pct"/>
            <w:shd w:val="clear" w:color="auto" w:fill="auto"/>
            <w:noWrap/>
            <w:vAlign w:val="center"/>
          </w:tcPr>
          <w:p>
            <w:pPr>
              <w:jc w:val="right"/>
              <w:rPr>
                <w:rFonts w:ascii="仿宋" w:hAnsi="仿宋" w:eastAsia="仿宋" w:cs="仿宋"/>
                <w:sz w:val="18"/>
                <w:szCs w:val="18"/>
              </w:rPr>
            </w:pPr>
            <w:r>
              <w:rPr>
                <w:rFonts w:ascii="仿宋" w:hAnsi="仿宋" w:eastAsia="仿宋" w:cs="仿宋"/>
                <w:sz w:val="18"/>
                <w:szCs w:val="18"/>
                <w:lang w:bidi="ar"/>
              </w:rPr>
              <w:t>2</w:t>
            </w:r>
            <w:r>
              <w:rPr>
                <w:rFonts w:hint="eastAsia" w:ascii="仿宋" w:hAnsi="仿宋" w:eastAsia="仿宋" w:cs="仿宋"/>
                <w:sz w:val="18"/>
                <w:szCs w:val="18"/>
                <w:lang w:bidi="ar"/>
              </w:rPr>
              <w:t>.00</w:t>
            </w:r>
          </w:p>
        </w:tc>
        <w:tc>
          <w:tcPr>
            <w:tcW w:w="2030"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96" w:type="pct"/>
            <w:shd w:val="clear" w:color="auto" w:fill="auto"/>
            <w:vAlign w:val="center"/>
          </w:tcPr>
          <w:p>
            <w:pPr>
              <w:jc w:val="right"/>
              <w:rPr>
                <w:rFonts w:ascii="仿宋" w:hAnsi="仿宋" w:eastAsia="仿宋" w:cs="仿宋"/>
                <w:sz w:val="18"/>
                <w:szCs w:val="18"/>
                <w:lang w:bidi="ar"/>
              </w:rPr>
            </w:pPr>
            <w:r>
              <w:rPr>
                <w:rFonts w:ascii="仿宋" w:hAnsi="仿宋" w:eastAsia="仿宋" w:cs="仿宋"/>
                <w:sz w:val="18"/>
                <w:szCs w:val="18"/>
                <w:lang w:bidi="ar"/>
              </w:rPr>
              <w:t>0.93</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30" w:hRule="atLeast"/>
        </w:trPr>
        <w:tc>
          <w:tcPr>
            <w:tcW w:w="972"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sz w:val="18"/>
                <w:szCs w:val="18"/>
              </w:rPr>
              <w:t>长效机制建立情况</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443"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良好</w:t>
            </w:r>
          </w:p>
        </w:tc>
        <w:tc>
          <w:tcPr>
            <w:tcW w:w="271"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无</w:t>
            </w:r>
          </w:p>
        </w:tc>
        <w:tc>
          <w:tcPr>
            <w:tcW w:w="517" w:type="pct"/>
            <w:shd w:val="clear" w:color="auto" w:fill="auto"/>
            <w:noWrap/>
            <w:vAlign w:val="center"/>
          </w:tcPr>
          <w:p>
            <w:pPr>
              <w:jc w:val="right"/>
              <w:rPr>
                <w:rFonts w:ascii="仿宋" w:hAnsi="仿宋" w:eastAsia="仿宋" w:cs="仿宋"/>
                <w:sz w:val="18"/>
                <w:szCs w:val="18"/>
              </w:rPr>
            </w:pPr>
            <w:r>
              <w:rPr>
                <w:rFonts w:ascii="仿宋" w:hAnsi="仿宋" w:eastAsia="仿宋" w:cs="仿宋"/>
                <w:sz w:val="18"/>
                <w:szCs w:val="18"/>
                <w:lang w:bidi="ar"/>
              </w:rPr>
              <w:t>2</w:t>
            </w:r>
            <w:r>
              <w:rPr>
                <w:rFonts w:hint="eastAsia" w:ascii="仿宋" w:hAnsi="仿宋" w:eastAsia="仿宋" w:cs="仿宋"/>
                <w:sz w:val="18"/>
                <w:szCs w:val="18"/>
                <w:lang w:bidi="ar"/>
              </w:rPr>
              <w:t>.00</w:t>
            </w:r>
          </w:p>
        </w:tc>
        <w:tc>
          <w:tcPr>
            <w:tcW w:w="2030" w:type="pct"/>
            <w:shd w:val="clear" w:color="auto" w:fill="auto"/>
            <w:vAlign w:val="center"/>
          </w:tcPr>
          <w:p>
            <w:pPr>
              <w:rPr>
                <w:rFonts w:ascii="仿宋" w:hAnsi="仿宋" w:eastAsia="仿宋" w:cs="仿宋"/>
                <w:sz w:val="18"/>
                <w:szCs w:val="18"/>
              </w:rPr>
            </w:pPr>
            <w:r>
              <w:rPr>
                <w:rFonts w:hint="eastAsia" w:ascii="仿宋" w:hAnsi="仿宋" w:eastAsia="仿宋" w:cs="仿宋"/>
                <w:sz w:val="18"/>
                <w:szCs w:val="18"/>
              </w:rPr>
              <w:t>根据现场访问及问卷结果综合，结合现场勘查情况，从改造整体效果进行综合打分。</w:t>
            </w:r>
          </w:p>
        </w:tc>
        <w:tc>
          <w:tcPr>
            <w:tcW w:w="496" w:type="pct"/>
            <w:shd w:val="clear" w:color="auto" w:fill="auto"/>
            <w:vAlign w:val="center"/>
          </w:tcPr>
          <w:p>
            <w:pPr>
              <w:jc w:val="right"/>
              <w:rPr>
                <w:rFonts w:ascii="仿宋" w:hAnsi="仿宋" w:eastAsia="仿宋" w:cs="仿宋"/>
                <w:sz w:val="18"/>
                <w:szCs w:val="18"/>
                <w:lang w:bidi="ar"/>
              </w:rPr>
            </w:pPr>
            <w:r>
              <w:rPr>
                <w:rFonts w:ascii="仿宋" w:hAnsi="仿宋" w:eastAsia="仿宋" w:cs="仿宋"/>
                <w:sz w:val="18"/>
                <w:szCs w:val="18"/>
                <w:lang w:bidi="ar"/>
              </w:rPr>
              <w:t>1.22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280" w:hRule="atLeast"/>
        </w:trPr>
        <w:tc>
          <w:tcPr>
            <w:tcW w:w="972" w:type="pct"/>
            <w:shd w:val="clear" w:color="auto" w:fill="auto"/>
            <w:vAlign w:val="center"/>
          </w:tcPr>
          <w:p>
            <w:pPr>
              <w:jc w:val="center"/>
              <w:rPr>
                <w:rFonts w:ascii="仿宋" w:hAnsi="仿宋" w:eastAsia="仿宋" w:cs="仿宋"/>
                <w:sz w:val="18"/>
                <w:szCs w:val="18"/>
              </w:rPr>
            </w:pPr>
            <w:r>
              <w:rPr>
                <w:rFonts w:hint="eastAsia" w:ascii="仿宋" w:hAnsi="仿宋" w:eastAsia="仿宋" w:cs="仿宋"/>
                <w:sz w:val="18"/>
                <w:szCs w:val="18"/>
              </w:rPr>
              <w:t>合计</w:t>
            </w:r>
          </w:p>
        </w:tc>
        <w:tc>
          <w:tcPr>
            <w:tcW w:w="271" w:type="pct"/>
            <w:shd w:val="clear" w:color="auto" w:fill="auto"/>
            <w:noWrap/>
            <w:vAlign w:val="center"/>
          </w:tcPr>
          <w:p>
            <w:pPr>
              <w:rPr>
                <w:rFonts w:ascii="仿宋" w:hAnsi="仿宋" w:eastAsia="仿宋" w:cs="仿宋"/>
                <w:sz w:val="18"/>
                <w:szCs w:val="18"/>
              </w:rPr>
            </w:pPr>
            <w:r>
              <w:rPr>
                <w:rFonts w:hint="eastAsia" w:ascii="仿宋" w:hAnsi="仿宋" w:eastAsia="仿宋" w:cs="仿宋"/>
                <w:sz w:val="18"/>
                <w:szCs w:val="18"/>
              </w:rPr>
              <w:t>　</w:t>
            </w:r>
          </w:p>
        </w:tc>
        <w:tc>
          <w:tcPr>
            <w:tcW w:w="443" w:type="pct"/>
            <w:shd w:val="clear" w:color="auto" w:fill="auto"/>
            <w:noWrap/>
            <w:vAlign w:val="center"/>
          </w:tcPr>
          <w:p>
            <w:pPr>
              <w:rPr>
                <w:rFonts w:ascii="仿宋" w:hAnsi="仿宋" w:eastAsia="仿宋" w:cs="仿宋"/>
                <w:sz w:val="18"/>
                <w:szCs w:val="18"/>
              </w:rPr>
            </w:pPr>
            <w:r>
              <w:rPr>
                <w:rFonts w:hint="eastAsia" w:ascii="仿宋" w:hAnsi="仿宋" w:eastAsia="仿宋" w:cs="仿宋"/>
                <w:sz w:val="18"/>
                <w:szCs w:val="18"/>
              </w:rPr>
              <w:t>　</w:t>
            </w:r>
          </w:p>
        </w:tc>
        <w:tc>
          <w:tcPr>
            <w:tcW w:w="271" w:type="pct"/>
            <w:shd w:val="clear" w:color="auto" w:fill="auto"/>
            <w:noWrap/>
            <w:vAlign w:val="center"/>
          </w:tcPr>
          <w:p>
            <w:pPr>
              <w:rPr>
                <w:rFonts w:ascii="仿宋" w:hAnsi="仿宋" w:eastAsia="仿宋" w:cs="仿宋"/>
                <w:sz w:val="18"/>
                <w:szCs w:val="18"/>
              </w:rPr>
            </w:pPr>
            <w:r>
              <w:rPr>
                <w:rFonts w:hint="eastAsia" w:ascii="仿宋" w:hAnsi="仿宋" w:eastAsia="仿宋" w:cs="仿宋"/>
                <w:sz w:val="18"/>
                <w:szCs w:val="18"/>
              </w:rPr>
              <w:t>　</w:t>
            </w:r>
          </w:p>
        </w:tc>
        <w:tc>
          <w:tcPr>
            <w:tcW w:w="517" w:type="pct"/>
            <w:shd w:val="clear" w:color="auto" w:fill="auto"/>
            <w:noWrap/>
            <w:vAlign w:val="center"/>
          </w:tcPr>
          <w:p>
            <w:pPr>
              <w:jc w:val="right"/>
              <w:rPr>
                <w:rFonts w:ascii="仿宋" w:hAnsi="仿宋" w:eastAsia="仿宋" w:cs="仿宋"/>
                <w:sz w:val="18"/>
                <w:szCs w:val="18"/>
              </w:rPr>
            </w:pPr>
            <w:r>
              <w:rPr>
                <w:rFonts w:ascii="仿宋" w:hAnsi="仿宋" w:eastAsia="仿宋" w:cs="仿宋"/>
                <w:sz w:val="18"/>
                <w:szCs w:val="18"/>
              </w:rPr>
              <w:t>7.00</w:t>
            </w:r>
          </w:p>
        </w:tc>
        <w:tc>
          <w:tcPr>
            <w:tcW w:w="2030" w:type="pct"/>
            <w:shd w:val="clear" w:color="auto" w:fill="auto"/>
            <w:noWrap/>
            <w:vAlign w:val="center"/>
          </w:tcPr>
          <w:p>
            <w:pPr>
              <w:jc w:val="center"/>
              <w:rPr>
                <w:rFonts w:ascii="仿宋" w:hAnsi="仿宋" w:eastAsia="仿宋" w:cs="仿宋"/>
                <w:sz w:val="18"/>
                <w:szCs w:val="18"/>
              </w:rPr>
            </w:pPr>
            <w:r>
              <w:rPr>
                <w:rFonts w:hint="eastAsia" w:ascii="仿宋" w:hAnsi="仿宋" w:eastAsia="仿宋" w:cs="仿宋"/>
                <w:sz w:val="18"/>
                <w:szCs w:val="18"/>
              </w:rPr>
              <w:t>　</w:t>
            </w:r>
          </w:p>
        </w:tc>
        <w:tc>
          <w:tcPr>
            <w:tcW w:w="496" w:type="pct"/>
            <w:shd w:val="clear" w:color="auto" w:fill="auto"/>
            <w:noWrap/>
            <w:vAlign w:val="center"/>
          </w:tcPr>
          <w:p>
            <w:pPr>
              <w:jc w:val="right"/>
              <w:rPr>
                <w:rFonts w:ascii="仿宋" w:hAnsi="仿宋" w:eastAsia="仿宋" w:cs="仿宋"/>
                <w:sz w:val="18"/>
                <w:szCs w:val="18"/>
              </w:rPr>
            </w:pPr>
            <w:r>
              <w:rPr>
                <w:rFonts w:ascii="仿宋" w:hAnsi="仿宋" w:eastAsia="仿宋" w:cs="仿宋"/>
                <w:sz w:val="18"/>
                <w:szCs w:val="18"/>
              </w:rPr>
              <w:t>3.78</w:t>
            </w:r>
          </w:p>
        </w:tc>
      </w:tr>
    </w:tbl>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①居住安全度标准分值为2</w:t>
      </w:r>
      <w:r>
        <w:rPr>
          <w:rFonts w:ascii="仿宋" w:hAnsi="仿宋" w:eastAsia="仿宋" w:cs="仿宋"/>
          <w:color w:val="000000" w:themeColor="text1"/>
          <w:sz w:val="28"/>
          <w:szCs w:val="28"/>
          <w14:textFill>
            <w14:solidFill>
              <w14:schemeClr w14:val="tx1"/>
            </w14:solidFill>
          </w14:textFill>
        </w:rPr>
        <w:t>分:有效问卷35</w:t>
      </w:r>
      <w:r>
        <w:rPr>
          <w:rFonts w:hint="eastAsia" w:ascii="仿宋" w:hAnsi="仿宋" w:eastAsia="仿宋" w:cs="仿宋"/>
          <w:color w:val="000000" w:themeColor="text1"/>
          <w:sz w:val="28"/>
          <w:szCs w:val="28"/>
          <w14:textFill>
            <w14:solidFill>
              <w14:schemeClr w14:val="tx1"/>
            </w14:solidFill>
          </w14:textFill>
        </w:rPr>
        <w:t>份，其中东升楼项目</w:t>
      </w:r>
      <w:r>
        <w:rPr>
          <w:rFonts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份，白象居项目</w:t>
      </w:r>
      <w:r>
        <w:rPr>
          <w:rFonts w:ascii="仿宋" w:hAnsi="仿宋" w:eastAsia="仿宋" w:cs="仿宋"/>
          <w:color w:val="000000" w:themeColor="text1"/>
          <w:sz w:val="28"/>
          <w:szCs w:val="28"/>
          <w14:textFill>
            <w14:solidFill>
              <w14:schemeClr w14:val="tx1"/>
            </w14:solidFill>
          </w14:textFill>
        </w:rPr>
        <w:t>29</w:t>
      </w:r>
      <w:r>
        <w:rPr>
          <w:rFonts w:hint="eastAsia" w:ascii="仿宋" w:hAnsi="仿宋" w:eastAsia="仿宋" w:cs="仿宋"/>
          <w:color w:val="000000" w:themeColor="text1"/>
          <w:sz w:val="28"/>
          <w:szCs w:val="28"/>
          <w14:textFill>
            <w14:solidFill>
              <w14:schemeClr w14:val="tx1"/>
            </w14:solidFill>
          </w14:textFill>
        </w:rPr>
        <w:t>份、解放东路项目</w:t>
      </w:r>
      <w:r>
        <w:rPr>
          <w:rFonts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t>份</w:t>
      </w:r>
      <w:r>
        <w:rPr>
          <w:rFonts w:ascii="仿宋" w:hAnsi="仿宋" w:eastAsia="仿宋" w:cs="仿宋"/>
          <w:color w:val="000000" w:themeColor="text1"/>
          <w:sz w:val="28"/>
          <w:szCs w:val="28"/>
          <w14:textFill>
            <w14:solidFill>
              <w14:schemeClr w14:val="tx1"/>
            </w14:solidFill>
          </w14:textFill>
        </w:rPr>
        <w:t>,综合满意度49.28%,本次绩效评价得0.99</w:t>
      </w:r>
      <w:r>
        <w:rPr>
          <w:rFonts w:hint="eastAsia" w:ascii="仿宋" w:hAnsi="仿宋" w:eastAsia="仿宋" w:cs="仿宋"/>
          <w:color w:val="000000" w:themeColor="text1"/>
          <w:sz w:val="28"/>
          <w:szCs w:val="28"/>
          <w14:textFill>
            <w14:solidFill>
              <w14:schemeClr w14:val="tx1"/>
            </w14:solidFill>
          </w14:textFill>
        </w:rPr>
        <w:t>分。</w:t>
      </w:r>
      <w:r>
        <w:rPr>
          <w:rFonts w:ascii="仿宋" w:hAnsi="仿宋" w:eastAsia="仿宋" w:cs="仿宋"/>
          <w:color w:val="000000" w:themeColor="text1"/>
          <w:sz w:val="28"/>
          <w:szCs w:val="28"/>
          <w14:textFill>
            <w14:solidFill>
              <w14:schemeClr w14:val="tx1"/>
            </w14:solidFill>
          </w14:textFill>
        </w:rPr>
        <w:t>18.84%不满意，20.29%不太满意,33.33%一般，21.74%满意，5.80%非常满意(按各个项目分别统计综合得出满意度）。</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②居住舒适度标准分值为1</w:t>
      </w:r>
      <w:r>
        <w:rPr>
          <w:rFonts w:ascii="仿宋" w:hAnsi="仿宋" w:eastAsia="仿宋" w:cs="仿宋"/>
          <w:color w:val="000000" w:themeColor="text1"/>
          <w:sz w:val="28"/>
          <w:szCs w:val="28"/>
          <w14:textFill>
            <w14:solidFill>
              <w14:schemeClr w14:val="tx1"/>
            </w14:solidFill>
          </w14:textFill>
        </w:rPr>
        <w:t>分:有效问卷80</w:t>
      </w:r>
      <w:r>
        <w:rPr>
          <w:rFonts w:hint="eastAsia" w:ascii="仿宋" w:hAnsi="仿宋" w:eastAsia="仿宋" w:cs="仿宋"/>
          <w:color w:val="000000" w:themeColor="text1"/>
          <w:sz w:val="28"/>
          <w:szCs w:val="28"/>
          <w14:textFill>
            <w14:solidFill>
              <w14:schemeClr w14:val="tx1"/>
            </w14:solidFill>
          </w14:textFill>
        </w:rPr>
        <w:t>份，其中朝千路、棉花街、沧白路项目</w:t>
      </w:r>
      <w:r>
        <w:rPr>
          <w:rFonts w:ascii="仿宋" w:hAnsi="仿宋" w:eastAsia="仿宋" w:cs="仿宋"/>
          <w:color w:val="000000" w:themeColor="text1"/>
          <w:sz w:val="28"/>
          <w:szCs w:val="28"/>
          <w14:textFill>
            <w14:solidFill>
              <w14:schemeClr w14:val="tx1"/>
            </w14:solidFill>
          </w14:textFill>
        </w:rPr>
        <w:t>37</w:t>
      </w:r>
      <w:r>
        <w:rPr>
          <w:rFonts w:hint="eastAsia" w:ascii="仿宋" w:hAnsi="仿宋" w:eastAsia="仿宋" w:cs="仿宋"/>
          <w:color w:val="000000" w:themeColor="text1"/>
          <w:sz w:val="28"/>
          <w:szCs w:val="28"/>
          <w14:textFill>
            <w14:solidFill>
              <w14:schemeClr w14:val="tx1"/>
            </w14:solidFill>
          </w14:textFill>
        </w:rPr>
        <w:t>份、东升楼项目</w:t>
      </w:r>
      <w:r>
        <w:rPr>
          <w:rFonts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份，白象居项目</w:t>
      </w:r>
      <w:r>
        <w:rPr>
          <w:rFonts w:ascii="仿宋" w:hAnsi="仿宋" w:eastAsia="仿宋" w:cs="仿宋"/>
          <w:color w:val="000000" w:themeColor="text1"/>
          <w:sz w:val="28"/>
          <w:szCs w:val="28"/>
          <w14:textFill>
            <w14:solidFill>
              <w14:schemeClr w14:val="tx1"/>
            </w14:solidFill>
          </w14:textFill>
        </w:rPr>
        <w:t>35</w:t>
      </w:r>
      <w:r>
        <w:rPr>
          <w:rFonts w:hint="eastAsia" w:ascii="仿宋" w:hAnsi="仿宋" w:eastAsia="仿宋" w:cs="仿宋"/>
          <w:color w:val="000000" w:themeColor="text1"/>
          <w:sz w:val="28"/>
          <w:szCs w:val="28"/>
          <w14:textFill>
            <w14:solidFill>
              <w14:schemeClr w14:val="tx1"/>
            </w14:solidFill>
          </w14:textFill>
        </w:rPr>
        <w:t>份、解放东路项目</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份，综合满意度</w:t>
      </w:r>
      <w:r>
        <w:rPr>
          <w:rFonts w:ascii="仿宋" w:hAnsi="仿宋" w:eastAsia="仿宋" w:cs="仿宋"/>
          <w:color w:val="000000" w:themeColor="text1"/>
          <w:sz w:val="28"/>
          <w:szCs w:val="28"/>
          <w14:textFill>
            <w14:solidFill>
              <w14:schemeClr w14:val="tx1"/>
            </w14:solidFill>
          </w14:textFill>
        </w:rPr>
        <w:t>64.</w:t>
      </w:r>
      <w:r>
        <w:rPr>
          <w:rFonts w:hint="eastAsia" w:ascii="仿宋" w:hAnsi="仿宋" w:eastAsia="仿宋" w:cs="仿宋"/>
          <w:color w:val="000000" w:themeColor="text1"/>
          <w:sz w:val="28"/>
          <w:szCs w:val="28"/>
          <w14:textFill>
            <w14:solidFill>
              <w14:schemeClr w14:val="tx1"/>
            </w14:solidFill>
          </w14:textFill>
        </w:rPr>
        <w:t>13</w:t>
      </w:r>
      <w:r>
        <w:rPr>
          <w:rFonts w:ascii="仿宋" w:hAnsi="仿宋" w:eastAsia="仿宋" w:cs="仿宋"/>
          <w:color w:val="000000" w:themeColor="text1"/>
          <w:sz w:val="28"/>
          <w:szCs w:val="28"/>
          <w14:textFill>
            <w14:solidFill>
              <w14:schemeClr w14:val="tx1"/>
            </w14:solidFill>
          </w14:textFill>
        </w:rPr>
        <w:t>%，本次绩效评价得0.64</w:t>
      </w:r>
      <w:r>
        <w:rPr>
          <w:rFonts w:hint="eastAsia" w:ascii="仿宋" w:hAnsi="仿宋" w:eastAsia="仿宋" w:cs="仿宋"/>
          <w:color w:val="000000" w:themeColor="text1"/>
          <w:sz w:val="28"/>
          <w:szCs w:val="28"/>
          <w14:textFill>
            <w14:solidFill>
              <w14:schemeClr w14:val="tx1"/>
            </w14:solidFill>
          </w14:textFill>
        </w:rPr>
        <w:t>分。</w:t>
      </w:r>
      <w:r>
        <w:rPr>
          <w:rFonts w:ascii="仿宋" w:hAnsi="仿宋" w:eastAsia="仿宋" w:cs="仿宋"/>
          <w:color w:val="000000" w:themeColor="text1"/>
          <w:sz w:val="28"/>
          <w:szCs w:val="28"/>
          <w14:textFill>
            <w14:solidFill>
              <w14:schemeClr w14:val="tx1"/>
            </w14:solidFill>
          </w14:textFill>
        </w:rPr>
        <w:t>10.00%不满意，11.25%不太满意,24.38%一般，38.7</w:t>
      </w:r>
      <w:r>
        <w:rPr>
          <w:rFonts w:hint="eastAsia" w:ascii="仿宋" w:hAnsi="仿宋" w:eastAsia="仿宋" w:cs="仿宋"/>
          <w:color w:val="000000" w:themeColor="text1"/>
          <w:sz w:val="28"/>
          <w:szCs w:val="28"/>
          <w14:textFill>
            <w14:solidFill>
              <w14:schemeClr w14:val="tx1"/>
            </w14:solidFill>
          </w14:textFill>
        </w:rPr>
        <w:t>4</w:t>
      </w:r>
      <w:r>
        <w:rPr>
          <w:rFonts w:ascii="仿宋" w:hAnsi="仿宋" w:eastAsia="仿宋" w:cs="仿宋"/>
          <w:color w:val="000000" w:themeColor="text1"/>
          <w:sz w:val="28"/>
          <w:szCs w:val="28"/>
          <w14:textFill>
            <w14:solidFill>
              <w14:schemeClr w14:val="tx1"/>
            </w14:solidFill>
          </w14:textFill>
        </w:rPr>
        <w:t>%满意，15.63%非常满意(按各个项目分别统计综合得出满意度）。</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③社会参与度标准分值为2</w:t>
      </w:r>
      <w:r>
        <w:rPr>
          <w:rFonts w:ascii="仿宋" w:hAnsi="仿宋" w:eastAsia="仿宋" w:cs="仿宋"/>
          <w:color w:val="000000" w:themeColor="text1"/>
          <w:sz w:val="28"/>
          <w:szCs w:val="28"/>
          <w14:textFill>
            <w14:solidFill>
              <w14:schemeClr w14:val="tx1"/>
            </w14:solidFill>
          </w14:textFill>
        </w:rPr>
        <w:t>分:有效问卷43</w:t>
      </w:r>
      <w:r>
        <w:rPr>
          <w:rFonts w:hint="eastAsia" w:ascii="仿宋" w:hAnsi="仿宋" w:eastAsia="仿宋" w:cs="仿宋"/>
          <w:color w:val="000000" w:themeColor="text1"/>
          <w:sz w:val="28"/>
          <w:szCs w:val="28"/>
          <w14:textFill>
            <w14:solidFill>
              <w14:schemeClr w14:val="tx1"/>
            </w14:solidFill>
          </w14:textFill>
        </w:rPr>
        <w:t>份，其中东升楼项目</w:t>
      </w:r>
      <w:r>
        <w:rPr>
          <w:rFonts w:ascii="仿宋" w:hAnsi="仿宋" w:eastAsia="仿宋" w:cs="仿宋"/>
          <w:color w:val="000000" w:themeColor="text1"/>
          <w:sz w:val="28"/>
          <w:szCs w:val="28"/>
          <w14:textFill>
            <w14:solidFill>
              <w14:schemeClr w14:val="tx1"/>
            </w14:solidFill>
          </w14:textFill>
        </w:rPr>
        <w:t>2份，白象居项目35</w:t>
      </w:r>
      <w:r>
        <w:rPr>
          <w:rFonts w:hint="eastAsia" w:ascii="仿宋" w:hAnsi="仿宋" w:eastAsia="仿宋" w:cs="仿宋"/>
          <w:color w:val="000000" w:themeColor="text1"/>
          <w:sz w:val="28"/>
          <w:szCs w:val="28"/>
          <w14:textFill>
            <w14:solidFill>
              <w14:schemeClr w14:val="tx1"/>
            </w14:solidFill>
          </w14:textFill>
        </w:rPr>
        <w:t>份、解放东路项目</w:t>
      </w:r>
      <w:r>
        <w:rPr>
          <w:rFonts w:ascii="仿宋" w:hAnsi="仿宋" w:eastAsia="仿宋" w:cs="仿宋"/>
          <w:color w:val="000000" w:themeColor="text1"/>
          <w:sz w:val="28"/>
          <w:szCs w:val="28"/>
          <w14:textFill>
            <w14:solidFill>
              <w14:schemeClr w14:val="tx1"/>
            </w14:solidFill>
          </w14:textFill>
        </w:rPr>
        <w:t>6份，综合满意度46.5</w:t>
      </w:r>
      <w:r>
        <w:rPr>
          <w:rFonts w:hint="eastAsia" w:ascii="仿宋" w:hAnsi="仿宋" w:eastAsia="仿宋" w:cs="仿宋"/>
          <w:color w:val="000000" w:themeColor="text1"/>
          <w:sz w:val="28"/>
          <w:szCs w:val="28"/>
          <w14:textFill>
            <w14:solidFill>
              <w14:schemeClr w14:val="tx1"/>
            </w14:solidFill>
          </w14:textFill>
        </w:rPr>
        <w:t>1</w:t>
      </w:r>
      <w:r>
        <w:rPr>
          <w:rFonts w:ascii="仿宋" w:hAnsi="仿宋" w:eastAsia="仿宋" w:cs="仿宋"/>
          <w:color w:val="000000" w:themeColor="text1"/>
          <w:sz w:val="28"/>
          <w:szCs w:val="28"/>
          <w14:textFill>
            <w14:solidFill>
              <w14:schemeClr w14:val="tx1"/>
            </w14:solidFill>
          </w14:textFill>
        </w:rPr>
        <w:t>%，本次绩效评价得0.93</w:t>
      </w:r>
      <w:r>
        <w:rPr>
          <w:rFonts w:hint="eastAsia" w:ascii="仿宋" w:hAnsi="仿宋" w:eastAsia="仿宋" w:cs="仿宋"/>
          <w:color w:val="000000" w:themeColor="text1"/>
          <w:sz w:val="28"/>
          <w:szCs w:val="28"/>
          <w14:textFill>
            <w14:solidFill>
              <w14:schemeClr w14:val="tx1"/>
            </w14:solidFill>
          </w14:textFill>
        </w:rPr>
        <w:t>分。</w:t>
      </w:r>
      <w:r>
        <w:rPr>
          <w:rFonts w:ascii="仿宋" w:hAnsi="仿宋" w:eastAsia="仿宋" w:cs="仿宋"/>
          <w:color w:val="000000" w:themeColor="text1"/>
          <w:sz w:val="28"/>
          <w:szCs w:val="28"/>
          <w14:textFill>
            <w14:solidFill>
              <w14:schemeClr w14:val="tx1"/>
            </w14:solidFill>
          </w14:textFill>
        </w:rPr>
        <w:t>6.98%不满意，93.02%不太满意,(不满意3</w:t>
      </w:r>
      <w:r>
        <w:rPr>
          <w:rFonts w:hint="eastAsia" w:ascii="仿宋" w:hAnsi="仿宋" w:eastAsia="仿宋" w:cs="仿宋"/>
          <w:color w:val="000000" w:themeColor="text1"/>
          <w:sz w:val="28"/>
          <w:szCs w:val="28"/>
          <w14:textFill>
            <w14:solidFill>
              <w14:schemeClr w14:val="tx1"/>
            </w14:solidFill>
          </w14:textFill>
        </w:rPr>
        <w:t>份，不太满意</w:t>
      </w:r>
      <w:r>
        <w:rPr>
          <w:rFonts w:ascii="仿宋" w:hAnsi="仿宋" w:eastAsia="仿宋" w:cs="仿宋"/>
          <w:color w:val="000000" w:themeColor="text1"/>
          <w:sz w:val="28"/>
          <w:szCs w:val="28"/>
          <w14:textFill>
            <w14:solidFill>
              <w14:schemeClr w14:val="tx1"/>
            </w14:solidFill>
          </w14:textFill>
        </w:rPr>
        <w:t>40</w:t>
      </w:r>
      <w:r>
        <w:rPr>
          <w:rFonts w:hint="eastAsia" w:ascii="仿宋" w:hAnsi="仿宋" w:eastAsia="仿宋" w:cs="仿宋"/>
          <w:color w:val="000000" w:themeColor="text1"/>
          <w:sz w:val="28"/>
          <w:szCs w:val="28"/>
          <w14:textFill>
            <w14:solidFill>
              <w14:schemeClr w14:val="tx1"/>
            </w14:solidFill>
          </w14:textFill>
        </w:rPr>
        <w:t>份）。</w:t>
      </w:r>
    </w:p>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 4 \* GB3 </w:instrText>
      </w:r>
      <w:r>
        <w:rPr>
          <w:rFonts w:hint="eastAsia"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④</w:t>
      </w:r>
      <w:r>
        <w:rPr>
          <w:rFonts w:hint="eastAsia"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长效机制建立情况标准分值为2分:有效问卷80份，其中朝千路、棉花街、沧白路项目37份、东升楼项目2份，白象居项目</w:t>
      </w:r>
      <w:r>
        <w:rPr>
          <w:rFonts w:ascii="仿宋" w:hAnsi="仿宋" w:eastAsia="仿宋" w:cs="仿宋"/>
          <w:color w:val="000000" w:themeColor="text1"/>
          <w:sz w:val="28"/>
          <w:szCs w:val="28"/>
          <w14:textFill>
            <w14:solidFill>
              <w14:schemeClr w14:val="tx1"/>
            </w14:solidFill>
          </w14:textFill>
        </w:rPr>
        <w:t>35份、解放东路项目6份，综合满意度60.99%，本次绩效评价得1.22分。12.35%不满意，22.22%不太满意,14.81%一般，25.93满意，24.69%非常满意(按各个项目分别统计综合得出满意度）。</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color w:val="000000" w:themeColor="text1"/>
          <w:sz w:val="28"/>
          <w:szCs w:val="28"/>
          <w14:textFill>
            <w14:solidFill>
              <w14:schemeClr w14:val="tx1"/>
            </w14:solidFill>
          </w14:textFill>
        </w:rPr>
        <w:t>综上，</w:t>
      </w:r>
      <w:r>
        <w:rPr>
          <w:rFonts w:hint="eastAsia" w:ascii="仿宋" w:hAnsi="仿宋" w:eastAsia="仿宋" w:cs="仿宋"/>
          <w:sz w:val="28"/>
          <w:szCs w:val="28"/>
        </w:rPr>
        <w:t>根据评分标准，实际扣分情况合计为</w:t>
      </w:r>
      <w:r>
        <w:rPr>
          <w:rFonts w:ascii="仿宋" w:hAnsi="仿宋" w:eastAsia="仿宋" w:cs="仿宋"/>
          <w:sz w:val="28"/>
          <w:szCs w:val="28"/>
        </w:rPr>
        <w:t>3.22分，可持续影响指标本次绩效评价得3.78分。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（4）满意度标准分值为10</w:t>
      </w:r>
      <w:r>
        <w:rPr>
          <w:rFonts w:ascii="仿宋" w:hAnsi="仿宋" w:eastAsia="仿宋" w:cs="仿宋"/>
          <w:color w:val="000000" w:themeColor="text1"/>
          <w:sz w:val="28"/>
          <w:szCs w:val="28"/>
          <w14:textFill>
            <w14:solidFill>
              <w14:schemeClr w14:val="tx1"/>
            </w14:solidFill>
          </w14:textFill>
        </w:rPr>
        <w:t>分。</w:t>
      </w:r>
    </w:p>
    <w:p>
      <w:pPr>
        <w:adjustRightInd w:val="0"/>
        <w:snapToGrid w:val="0"/>
        <w:spacing w:before="156" w:beforeLines="50" w:after="312" w:afterLines="10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满意度指标</w:t>
      </w:r>
      <w:r>
        <w:rPr>
          <w:rFonts w:hint="eastAsia" w:ascii="仿宋" w:hAnsi="仿宋" w:eastAsia="仿宋" w:cs="仿宋"/>
          <w:color w:val="000000"/>
          <w:sz w:val="28"/>
          <w:szCs w:val="28"/>
        </w:rPr>
        <w:t>主要</w:t>
      </w:r>
      <w:r>
        <w:rPr>
          <w:rFonts w:hint="eastAsia" w:ascii="仿宋" w:hAnsi="仿宋" w:eastAsia="仿宋" w:cs="仿宋"/>
          <w:color w:val="000000" w:themeColor="text1"/>
          <w:sz w:val="28"/>
          <w:szCs w:val="28"/>
          <w14:textFill>
            <w14:solidFill>
              <w14:schemeClr w14:val="tx1"/>
            </w14:solidFill>
          </w14:textFill>
        </w:rPr>
        <w:t>从受益群体即服务对象的满意度等方面进行评价，指标为：受益对象满意度。</w:t>
      </w:r>
    </w:p>
    <w:tbl>
      <w:tblPr>
        <w:tblStyle w:val="10"/>
        <w:tblW w:w="5000" w:type="pct"/>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155"/>
        <w:gridCol w:w="675"/>
        <w:gridCol w:w="703"/>
        <w:gridCol w:w="786"/>
        <w:gridCol w:w="773"/>
        <w:gridCol w:w="3619"/>
        <w:gridCol w:w="817"/>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701" w:hRule="exact"/>
        </w:trPr>
        <w:tc>
          <w:tcPr>
            <w:tcW w:w="677"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明细指标</w:t>
            </w:r>
          </w:p>
        </w:tc>
        <w:tc>
          <w:tcPr>
            <w:tcW w:w="396"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指标</w:t>
            </w:r>
            <w:r>
              <w:rPr>
                <w:rFonts w:ascii="仿宋" w:hAnsi="仿宋" w:eastAsia="仿宋" w:cs="仿宋"/>
                <w:bCs/>
                <w:color w:val="000000"/>
                <w:sz w:val="18"/>
                <w:szCs w:val="18"/>
                <w:lang w:bidi="ar"/>
              </w:rPr>
              <w:br w:type="textWrapping"/>
            </w:r>
            <w:r>
              <w:rPr>
                <w:rFonts w:hint="eastAsia" w:ascii="仿宋" w:hAnsi="仿宋" w:eastAsia="仿宋" w:cs="仿宋"/>
                <w:bCs/>
                <w:color w:val="000000"/>
                <w:sz w:val="18"/>
                <w:szCs w:val="18"/>
                <w:lang w:bidi="ar"/>
              </w:rPr>
              <w:t>性质</w:t>
            </w:r>
          </w:p>
        </w:tc>
        <w:tc>
          <w:tcPr>
            <w:tcW w:w="412"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指标值</w:t>
            </w:r>
          </w:p>
        </w:tc>
        <w:tc>
          <w:tcPr>
            <w:tcW w:w="461"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计量</w:t>
            </w:r>
            <w:r>
              <w:rPr>
                <w:rFonts w:ascii="仿宋" w:hAnsi="仿宋" w:eastAsia="仿宋" w:cs="仿宋"/>
                <w:bCs/>
                <w:color w:val="000000"/>
                <w:sz w:val="18"/>
                <w:szCs w:val="18"/>
                <w:lang w:bidi="ar"/>
              </w:rPr>
              <w:br w:type="textWrapping"/>
            </w:r>
            <w:r>
              <w:rPr>
                <w:rFonts w:hint="eastAsia" w:ascii="仿宋" w:hAnsi="仿宋" w:eastAsia="仿宋" w:cs="仿宋"/>
                <w:bCs/>
                <w:color w:val="000000"/>
                <w:sz w:val="18"/>
                <w:szCs w:val="18"/>
                <w:lang w:bidi="ar"/>
              </w:rPr>
              <w:t>单位</w:t>
            </w:r>
          </w:p>
        </w:tc>
        <w:tc>
          <w:tcPr>
            <w:tcW w:w="453" w:type="pct"/>
            <w:vAlign w:val="center"/>
          </w:tcPr>
          <w:p>
            <w:pPr>
              <w:jc w:val="center"/>
              <w:textAlignment w:val="center"/>
              <w:rPr>
                <w:rFonts w:ascii="仿宋" w:hAnsi="仿宋" w:eastAsia="仿宋" w:cs="仿宋"/>
                <w:bCs/>
                <w:color w:val="000000"/>
                <w:sz w:val="18"/>
                <w:szCs w:val="18"/>
              </w:rPr>
            </w:pPr>
            <w:r>
              <w:rPr>
                <w:rFonts w:hint="eastAsia" w:ascii="仿宋" w:hAnsi="仿宋" w:eastAsia="仿宋" w:cs="仿宋"/>
                <w:bCs/>
                <w:color w:val="000000"/>
                <w:sz w:val="18"/>
                <w:szCs w:val="18"/>
                <w:lang w:bidi="ar"/>
              </w:rPr>
              <w:t>指标</w:t>
            </w:r>
            <w:r>
              <w:rPr>
                <w:rFonts w:ascii="仿宋" w:hAnsi="仿宋" w:eastAsia="仿宋" w:cs="仿宋"/>
                <w:bCs/>
                <w:color w:val="000000"/>
                <w:sz w:val="18"/>
                <w:szCs w:val="18"/>
                <w:lang w:bidi="ar"/>
              </w:rPr>
              <w:br w:type="textWrapping"/>
            </w:r>
            <w:r>
              <w:rPr>
                <w:rFonts w:hint="eastAsia" w:ascii="仿宋" w:hAnsi="仿宋" w:eastAsia="仿宋" w:cs="仿宋"/>
                <w:bCs/>
                <w:color w:val="000000"/>
                <w:sz w:val="18"/>
                <w:szCs w:val="18"/>
                <w:lang w:bidi="ar"/>
              </w:rPr>
              <w:t>权重</w:t>
            </w:r>
          </w:p>
        </w:tc>
        <w:tc>
          <w:tcPr>
            <w:tcW w:w="2122" w:type="pct"/>
            <w:vAlign w:val="center"/>
          </w:tcPr>
          <w:p>
            <w:pPr>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评价标准</w:t>
            </w:r>
          </w:p>
        </w:tc>
        <w:tc>
          <w:tcPr>
            <w:tcW w:w="479" w:type="pct"/>
            <w:vAlign w:val="center"/>
          </w:tcPr>
          <w:p>
            <w:pPr>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实际</w:t>
            </w:r>
            <w:r>
              <w:rPr>
                <w:rFonts w:ascii="仿宋" w:hAnsi="仿宋" w:eastAsia="仿宋" w:cs="仿宋"/>
                <w:color w:val="000000"/>
                <w:sz w:val="18"/>
                <w:szCs w:val="18"/>
                <w:lang w:bidi="ar"/>
              </w:rPr>
              <w:br w:type="textWrapping"/>
            </w:r>
            <w:r>
              <w:rPr>
                <w:rFonts w:hint="eastAsia" w:ascii="仿宋" w:hAnsi="仿宋" w:eastAsia="仿宋" w:cs="仿宋"/>
                <w:color w:val="000000"/>
                <w:sz w:val="18"/>
                <w:szCs w:val="18"/>
                <w:lang w:bidi="ar"/>
              </w:rPr>
              <w:t>得分</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710" w:hRule="exact"/>
        </w:trPr>
        <w:tc>
          <w:tcPr>
            <w:tcW w:w="677" w:type="pct"/>
            <w:vAlign w:val="center"/>
          </w:tcPr>
          <w:p>
            <w:pPr>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受益对象满意度</w:t>
            </w:r>
          </w:p>
        </w:tc>
        <w:tc>
          <w:tcPr>
            <w:tcW w:w="396" w:type="pct"/>
            <w:vAlign w:val="center"/>
          </w:tcPr>
          <w:p>
            <w:pPr>
              <w:jc w:val="cente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w:t>
            </w:r>
          </w:p>
        </w:tc>
        <w:tc>
          <w:tcPr>
            <w:tcW w:w="412" w:type="pct"/>
            <w:vAlign w:val="center"/>
          </w:tcPr>
          <w:p>
            <w:pPr>
              <w:jc w:val="center"/>
              <w:textAlignment w:val="center"/>
              <w:rPr>
                <w:rFonts w:ascii="仿宋" w:hAnsi="仿宋" w:eastAsia="仿宋" w:cs="仿宋"/>
                <w:color w:val="000000"/>
                <w:sz w:val="18"/>
                <w:szCs w:val="18"/>
              </w:rPr>
            </w:pPr>
            <w:r>
              <w:rPr>
                <w:rFonts w:ascii="仿宋" w:hAnsi="仿宋" w:eastAsia="仿宋" w:cs="仿宋"/>
                <w:color w:val="000000"/>
                <w:sz w:val="18"/>
                <w:szCs w:val="18"/>
                <w:lang w:bidi="ar"/>
              </w:rPr>
              <w:t>90</w:t>
            </w:r>
          </w:p>
        </w:tc>
        <w:tc>
          <w:tcPr>
            <w:tcW w:w="461" w:type="pct"/>
            <w:vAlign w:val="center"/>
          </w:tcPr>
          <w:p>
            <w:pPr>
              <w:jc w:val="center"/>
              <w:textAlignment w:val="center"/>
              <w:rPr>
                <w:rFonts w:ascii="仿宋" w:hAnsi="仿宋" w:eastAsia="仿宋" w:cs="仿宋"/>
                <w:color w:val="000000"/>
                <w:sz w:val="18"/>
                <w:szCs w:val="18"/>
              </w:rPr>
            </w:pPr>
            <w:r>
              <w:rPr>
                <w:rFonts w:ascii="仿宋" w:hAnsi="仿宋" w:eastAsia="仿宋" w:cs="仿宋"/>
                <w:color w:val="000000"/>
                <w:sz w:val="18"/>
                <w:szCs w:val="18"/>
                <w:lang w:bidi="ar"/>
              </w:rPr>
              <w:t>%</w:t>
            </w:r>
          </w:p>
        </w:tc>
        <w:tc>
          <w:tcPr>
            <w:tcW w:w="453" w:type="pct"/>
            <w:vAlign w:val="center"/>
          </w:tcPr>
          <w:p>
            <w:pPr>
              <w:jc w:val="center"/>
              <w:textAlignment w:val="center"/>
              <w:rPr>
                <w:rFonts w:ascii="仿宋" w:hAnsi="仿宋" w:eastAsia="仿宋" w:cs="仿宋"/>
                <w:color w:val="000000"/>
                <w:sz w:val="18"/>
                <w:szCs w:val="18"/>
              </w:rPr>
            </w:pPr>
            <w:r>
              <w:rPr>
                <w:rFonts w:ascii="仿宋" w:hAnsi="仿宋" w:eastAsia="仿宋" w:cs="仿宋"/>
                <w:color w:val="000000"/>
                <w:sz w:val="18"/>
                <w:szCs w:val="18"/>
                <w:lang w:bidi="ar"/>
              </w:rPr>
              <w:t>10</w:t>
            </w:r>
          </w:p>
        </w:tc>
        <w:tc>
          <w:tcPr>
            <w:tcW w:w="2122" w:type="pct"/>
            <w:vAlign w:val="center"/>
          </w:tcPr>
          <w:p>
            <w:pPr>
              <w:textAlignment w:val="center"/>
              <w:rPr>
                <w:rFonts w:ascii="仿宋" w:hAnsi="仿宋" w:eastAsia="仿宋" w:cs="仿宋"/>
                <w:color w:val="000000"/>
                <w:sz w:val="18"/>
                <w:szCs w:val="18"/>
              </w:rPr>
            </w:pPr>
            <w:r>
              <w:rPr>
                <w:rFonts w:hint="eastAsia" w:ascii="仿宋" w:hAnsi="仿宋" w:eastAsia="仿宋" w:cs="仿宋"/>
                <w:color w:val="000000"/>
                <w:sz w:val="18"/>
                <w:szCs w:val="18"/>
                <w:lang w:bidi="ar"/>
              </w:rPr>
              <w:t>满意度≥</w:t>
            </w:r>
            <w:r>
              <w:rPr>
                <w:rFonts w:ascii="仿宋" w:hAnsi="仿宋" w:eastAsia="仿宋" w:cs="仿宋"/>
                <w:color w:val="000000"/>
                <w:sz w:val="18"/>
                <w:szCs w:val="18"/>
                <w:lang w:bidi="ar"/>
              </w:rPr>
              <w:t>90%，得满分；40%≤满意度＜90%，得分=满意度*分值；满意度＜40%，不得分</w:t>
            </w:r>
          </w:p>
        </w:tc>
        <w:tc>
          <w:tcPr>
            <w:tcW w:w="479" w:type="pct"/>
            <w:vAlign w:val="center"/>
          </w:tcPr>
          <w:p>
            <w:pPr>
              <w:jc w:val="center"/>
              <w:textAlignment w:val="center"/>
              <w:rPr>
                <w:rFonts w:ascii="仿宋" w:hAnsi="仿宋" w:eastAsia="仿宋" w:cs="仿宋"/>
                <w:color w:val="000000"/>
                <w:sz w:val="18"/>
                <w:szCs w:val="18"/>
              </w:rPr>
            </w:pPr>
            <w:r>
              <w:rPr>
                <w:rFonts w:ascii="仿宋" w:hAnsi="仿宋" w:eastAsia="仿宋" w:cs="仿宋"/>
                <w:color w:val="000000"/>
                <w:sz w:val="18"/>
                <w:szCs w:val="18"/>
                <w:lang w:bidi="ar"/>
              </w:rPr>
              <w:t>6.57</w:t>
            </w:r>
          </w:p>
        </w:tc>
      </w:tr>
    </w:tbl>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sz w:val="28"/>
          <w:szCs w:val="28"/>
        </w:rPr>
        <w:t>受益对象满意度</w:t>
      </w:r>
      <w:r>
        <w:rPr>
          <w:rFonts w:hint="eastAsia" w:ascii="仿宋" w:hAnsi="仿宋" w:eastAsia="仿宋" w:cs="仿宋"/>
          <w:color w:val="000000" w:themeColor="text1"/>
          <w:sz w:val="28"/>
          <w:szCs w:val="28"/>
          <w14:textFill>
            <w14:solidFill>
              <w14:schemeClr w14:val="tx1"/>
            </w14:solidFill>
          </w14:textFill>
        </w:rPr>
        <w:t>标准</w:t>
      </w:r>
      <w:r>
        <w:rPr>
          <w:rFonts w:hint="eastAsia" w:ascii="仿宋" w:hAnsi="仿宋" w:eastAsia="仿宋" w:cs="仿宋"/>
          <w:color w:val="000000"/>
          <w:sz w:val="28"/>
          <w:szCs w:val="28"/>
        </w:rPr>
        <w:t>分值为</w:t>
      </w:r>
      <w:r>
        <w:rPr>
          <w:rFonts w:ascii="仿宋" w:hAnsi="仿宋" w:eastAsia="仿宋" w:cs="仿宋"/>
          <w:color w:val="000000"/>
          <w:sz w:val="28"/>
          <w:szCs w:val="28"/>
        </w:rPr>
        <w:t>10分。受益对象满意度是以</w:t>
      </w:r>
      <w:r>
        <w:rPr>
          <w:rFonts w:hint="eastAsia" w:ascii="仿宋" w:hAnsi="仿宋" w:eastAsia="仿宋" w:cs="仿宋"/>
          <w:color w:val="000000"/>
          <w:sz w:val="28"/>
          <w:szCs w:val="28"/>
        </w:rPr>
        <w:t>朝千路、棉花街、沧白路居民、白象居居民和游客、东升楼居民、解放东路居民满意度调查结果作为基础进行评分。</w:t>
      </w:r>
      <w:r>
        <w:rPr>
          <w:rFonts w:hint="eastAsia" w:ascii="仿宋" w:hAnsi="仿宋" w:eastAsia="仿宋" w:cs="仿宋"/>
          <w:color w:val="000000" w:themeColor="text1"/>
          <w:sz w:val="28"/>
          <w:szCs w:val="28"/>
          <w14:textFill>
            <w14:solidFill>
              <w14:schemeClr w14:val="tx1"/>
            </w14:solidFill>
          </w14:textFill>
        </w:rPr>
        <w:t>本次我们对受益对象发放问卷143份，包含居民</w:t>
      </w:r>
      <w:r>
        <w:rPr>
          <w:rFonts w:ascii="仿宋" w:hAnsi="仿宋" w:eastAsia="仿宋" w:cs="仿宋"/>
          <w:color w:val="000000" w:themeColor="text1"/>
          <w:sz w:val="28"/>
          <w:szCs w:val="28"/>
          <w14:textFill>
            <w14:solidFill>
              <w14:schemeClr w14:val="tx1"/>
            </w14:solidFill>
          </w14:textFill>
        </w:rPr>
        <w:t>83份、白象居游客60份；获得有效问卷140份，其中居民80份、白象居游客60份。4个子项目按子项目实际支出金额占总项目支出金额的比重确定权重，其中白象居项目按居民满意度的80%、游客满意度的20%的比重，计算白象居项目的满意度；综合考虑</w:t>
      </w:r>
      <w:r>
        <w:rPr>
          <w:rFonts w:hint="eastAsia" w:ascii="仿宋" w:hAnsi="仿宋" w:eastAsia="仿宋" w:cs="仿宋"/>
          <w:color w:val="000000" w:themeColor="text1"/>
          <w:sz w:val="28"/>
          <w:szCs w:val="28"/>
          <w14:textFill>
            <w14:solidFill>
              <w14:schemeClr w14:val="tx1"/>
            </w14:solidFill>
          </w14:textFill>
        </w:rPr>
        <w:t>4个子项目，经</w:t>
      </w:r>
      <w:r>
        <w:rPr>
          <w:rFonts w:ascii="仿宋" w:hAnsi="仿宋" w:eastAsia="仿宋" w:cs="仿宋"/>
          <w:color w:val="000000" w:themeColor="text1"/>
          <w:sz w:val="28"/>
          <w:szCs w:val="28"/>
          <w14:textFill>
            <w14:solidFill>
              <w14:schemeClr w14:val="tx1"/>
            </w14:solidFill>
          </w14:textFill>
        </w:rPr>
        <w:t>计算后综合满意度为65.70%，扣3.43分，得6.57分。</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居民</w:t>
      </w:r>
      <w:r>
        <w:rPr>
          <w:rFonts w:ascii="仿宋" w:hAnsi="仿宋" w:eastAsia="仿宋" w:cs="仿宋"/>
          <w:color w:val="000000" w:themeColor="text1"/>
          <w:sz w:val="28"/>
          <w:szCs w:val="28"/>
          <w14:textFill>
            <w14:solidFill>
              <w14:schemeClr w14:val="tx1"/>
            </w14:solidFill>
          </w14:textFill>
        </w:rPr>
        <w:t>80份调查结果明细如下：</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一是对提升渝中整体形象有用程度：</w:t>
      </w:r>
      <w:r>
        <w:rPr>
          <w:rFonts w:ascii="仿宋" w:hAnsi="仿宋" w:eastAsia="仿宋" w:cs="仿宋"/>
          <w:color w:val="000000" w:themeColor="text1"/>
          <w:sz w:val="28"/>
          <w:szCs w:val="28"/>
          <w14:textFill>
            <w14:solidFill>
              <w14:schemeClr w14:val="tx1"/>
            </w14:solidFill>
          </w14:textFill>
        </w:rPr>
        <w:t>6.25%没作用，10.00%有一定作用，17.50%一般，36.25%比较有作用，30.00%非常有作用(</w:t>
      </w:r>
      <w:r>
        <w:rPr>
          <w:rFonts w:hint="eastAsia" w:ascii="仿宋" w:hAnsi="仿宋" w:eastAsia="仿宋" w:cs="仿宋"/>
          <w:color w:val="000000" w:themeColor="text1"/>
          <w:sz w:val="28"/>
          <w:szCs w:val="28"/>
          <w14:textFill>
            <w14:solidFill>
              <w14:schemeClr w14:val="tx1"/>
            </w14:solidFill>
          </w14:textFill>
        </w:rPr>
        <w:t>没作用</w:t>
      </w:r>
      <w:r>
        <w:rPr>
          <w:rFonts w:ascii="仿宋" w:hAnsi="仿宋" w:eastAsia="仿宋" w:cs="仿宋"/>
          <w:color w:val="000000" w:themeColor="text1"/>
          <w:sz w:val="28"/>
          <w:szCs w:val="28"/>
          <w14:textFill>
            <w14:solidFill>
              <w14:schemeClr w14:val="tx1"/>
            </w14:solidFill>
          </w14:textFill>
        </w:rPr>
        <w:t>5份，有一定作用8份，一般14份，比较有作用29份，非常有作用24份）。</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二是对项目总体满意程度：</w:t>
      </w:r>
      <w:r>
        <w:rPr>
          <w:rFonts w:ascii="仿宋" w:hAnsi="仿宋" w:eastAsia="仿宋" w:cs="仿宋"/>
          <w:color w:val="000000" w:themeColor="text1"/>
          <w:sz w:val="28"/>
          <w:szCs w:val="28"/>
          <w14:textFill>
            <w14:solidFill>
              <w14:schemeClr w14:val="tx1"/>
            </w14:solidFill>
          </w14:textFill>
        </w:rPr>
        <w:t>6.25%不满意，2.50%不太满意，27.50%一般，48.75%满意，15.00%</w:t>
      </w:r>
      <w:r>
        <w:rPr>
          <w:rFonts w:hint="eastAsia" w:ascii="仿宋" w:hAnsi="仿宋" w:eastAsia="仿宋" w:cs="仿宋"/>
          <w:color w:val="000000" w:themeColor="text1"/>
          <w:sz w:val="28"/>
          <w:szCs w:val="28"/>
          <w14:textFill>
            <w14:solidFill>
              <w14:schemeClr w14:val="tx1"/>
            </w14:solidFill>
          </w14:textFill>
        </w:rPr>
        <w:t>非常满意</w:t>
      </w:r>
      <w:r>
        <w:rPr>
          <w:rFonts w:ascii="仿宋" w:hAnsi="仿宋" w:eastAsia="仿宋" w:cs="仿宋"/>
          <w:color w:val="000000" w:themeColor="text1"/>
          <w:sz w:val="28"/>
          <w:szCs w:val="28"/>
          <w14:textFill>
            <w14:solidFill>
              <w14:schemeClr w14:val="tx1"/>
            </w14:solidFill>
          </w14:textFill>
        </w:rPr>
        <w:t>(不满意5份，不太满意2份，一般22份，满意39份，非常满意12份）。</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三是对项目改造时长的满意程度：</w:t>
      </w:r>
      <w:r>
        <w:rPr>
          <w:rFonts w:ascii="仿宋" w:hAnsi="仿宋" w:eastAsia="仿宋" w:cs="仿宋"/>
          <w:color w:val="000000" w:themeColor="text1"/>
          <w:sz w:val="28"/>
          <w:szCs w:val="28"/>
          <w14:textFill>
            <w14:solidFill>
              <w14:schemeClr w14:val="tx1"/>
            </w14:solidFill>
          </w14:textFill>
        </w:rPr>
        <w:t>10.00%不满意，13.75%不太满意，33.75%一般，35.00%满意，7.50%非常满意(不满意8份，不太满意11份，一般27份，满意28份，非常满意6份）。</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四是对项目投诉渠道的畅通程度：</w:t>
      </w:r>
      <w:r>
        <w:rPr>
          <w:rFonts w:ascii="仿宋" w:hAnsi="仿宋" w:eastAsia="仿宋" w:cs="仿宋"/>
          <w:color w:val="000000" w:themeColor="text1"/>
          <w:sz w:val="28"/>
          <w:szCs w:val="28"/>
          <w14:textFill>
            <w14:solidFill>
              <w14:schemeClr w14:val="tx1"/>
            </w14:solidFill>
          </w14:textFill>
        </w:rPr>
        <w:t>12.66%不知道怎么投诉，8.86%不太畅通，21.52%一般，40.50%畅通，16.46%非常畅通(不知道怎么投诉10户，不太畅通7户，一般17户，畅通32户，非常畅通13户）。</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五是项目对提升居民幸福感程度：</w:t>
      </w:r>
      <w:r>
        <w:rPr>
          <w:rFonts w:ascii="仿宋" w:hAnsi="仿宋" w:eastAsia="仿宋" w:cs="仿宋"/>
          <w:color w:val="000000" w:themeColor="text1"/>
          <w:sz w:val="28"/>
          <w:szCs w:val="28"/>
          <w14:textFill>
            <w14:solidFill>
              <w14:schemeClr w14:val="tx1"/>
            </w14:solidFill>
          </w14:textFill>
        </w:rPr>
        <w:t>10.00%没作用，8.75%有一定作用，20.00一般，37.50%比较有作用，23.75%非常有作用(</w:t>
      </w:r>
      <w:r>
        <w:rPr>
          <w:rFonts w:hint="eastAsia" w:ascii="仿宋" w:hAnsi="仿宋" w:eastAsia="仿宋" w:cs="仿宋"/>
          <w:color w:val="000000" w:themeColor="text1"/>
          <w:sz w:val="28"/>
          <w:szCs w:val="28"/>
          <w14:textFill>
            <w14:solidFill>
              <w14:schemeClr w14:val="tx1"/>
            </w14:solidFill>
          </w14:textFill>
        </w:rPr>
        <w:t>没作用</w:t>
      </w:r>
      <w:r>
        <w:rPr>
          <w:rFonts w:ascii="仿宋" w:hAnsi="仿宋" w:eastAsia="仿宋" w:cs="仿宋"/>
          <w:color w:val="000000" w:themeColor="text1"/>
          <w:sz w:val="28"/>
          <w:szCs w:val="28"/>
          <w14:textFill>
            <w14:solidFill>
              <w14:schemeClr w14:val="tx1"/>
            </w14:solidFill>
          </w14:textFill>
        </w:rPr>
        <w:t>8份，有一定作用7份，一般16份，比较有作用30份，非常有作用19份）。</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受益对象满意度实际得分如下表：</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863"/>
        <w:gridCol w:w="2196"/>
        <w:gridCol w:w="1032"/>
        <w:gridCol w:w="1202"/>
        <w:gridCol w:w="1202"/>
        <w:gridCol w:w="103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项目</w:t>
            </w:r>
          </w:p>
        </w:tc>
        <w:tc>
          <w:tcPr>
            <w:tcW w:w="595"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朝千路、棉花街、沧白路</w:t>
            </w:r>
          </w:p>
        </w:tc>
        <w:tc>
          <w:tcPr>
            <w:tcW w:w="744"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东升楼</w:t>
            </w:r>
          </w:p>
        </w:tc>
        <w:tc>
          <w:tcPr>
            <w:tcW w:w="843"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白象居居民</w:t>
            </w:r>
          </w:p>
        </w:tc>
        <w:tc>
          <w:tcPr>
            <w:tcW w:w="843"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白象居游客</w:t>
            </w:r>
          </w:p>
        </w:tc>
        <w:tc>
          <w:tcPr>
            <w:tcW w:w="744"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解放东路</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问卷实际得分</w:t>
            </w:r>
          </w:p>
        </w:tc>
        <w:tc>
          <w:tcPr>
            <w:tcW w:w="595"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134</w:t>
            </w:r>
            <w:r>
              <w:rPr>
                <w:rFonts w:hint="eastAsia" w:ascii="仿宋" w:hAnsi="仿宋" w:eastAsia="仿宋" w:cs="仿宋"/>
                <w:kern w:val="2"/>
                <w:sz w:val="18"/>
                <w:szCs w:val="18"/>
              </w:rPr>
              <w:t>.00</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5</w:t>
            </w:r>
            <w:r>
              <w:rPr>
                <w:rFonts w:hint="eastAsia" w:ascii="仿宋" w:hAnsi="仿宋" w:eastAsia="仿宋" w:cs="仿宋"/>
                <w:kern w:val="2"/>
                <w:sz w:val="18"/>
                <w:szCs w:val="18"/>
              </w:rPr>
              <w:t>.00</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113.4</w:t>
            </w:r>
            <w:r>
              <w:rPr>
                <w:rFonts w:hint="eastAsia" w:ascii="仿宋" w:hAnsi="仿宋" w:eastAsia="仿宋" w:cs="仿宋"/>
                <w:kern w:val="2"/>
                <w:sz w:val="18"/>
                <w:szCs w:val="18"/>
              </w:rPr>
              <w:t>0</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168.9</w:t>
            </w:r>
            <w:r>
              <w:rPr>
                <w:rFonts w:hint="eastAsia" w:ascii="仿宋" w:hAnsi="仿宋" w:eastAsia="仿宋" w:cs="仿宋"/>
                <w:kern w:val="2"/>
                <w:sz w:val="18"/>
                <w:szCs w:val="18"/>
              </w:rPr>
              <w:t>0</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17.1</w:t>
            </w:r>
            <w:r>
              <w:rPr>
                <w:rFonts w:hint="eastAsia" w:ascii="仿宋" w:hAnsi="仿宋" w:eastAsia="仿宋" w:cs="仿宋"/>
                <w:kern w:val="2"/>
                <w:sz w:val="18"/>
                <w:szCs w:val="18"/>
              </w:rPr>
              <w:t>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问卷计数</w:t>
            </w:r>
          </w:p>
        </w:tc>
        <w:tc>
          <w:tcPr>
            <w:tcW w:w="595"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184</w:t>
            </w:r>
            <w:r>
              <w:rPr>
                <w:rFonts w:hint="eastAsia" w:ascii="仿宋" w:hAnsi="仿宋" w:eastAsia="仿宋" w:cs="仿宋"/>
                <w:kern w:val="2"/>
                <w:sz w:val="18"/>
                <w:szCs w:val="18"/>
              </w:rPr>
              <w:t>.00</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10</w:t>
            </w:r>
            <w:r>
              <w:rPr>
                <w:rFonts w:hint="eastAsia" w:ascii="仿宋" w:hAnsi="仿宋" w:eastAsia="仿宋" w:cs="仿宋"/>
                <w:kern w:val="2"/>
                <w:sz w:val="18"/>
                <w:szCs w:val="18"/>
              </w:rPr>
              <w:t>.00</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175</w:t>
            </w:r>
            <w:r>
              <w:rPr>
                <w:rFonts w:hint="eastAsia" w:ascii="仿宋" w:hAnsi="仿宋" w:eastAsia="仿宋" w:cs="仿宋"/>
                <w:kern w:val="2"/>
                <w:sz w:val="18"/>
                <w:szCs w:val="18"/>
              </w:rPr>
              <w:t>.00</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240</w:t>
            </w:r>
            <w:r>
              <w:rPr>
                <w:rFonts w:hint="eastAsia" w:ascii="仿宋" w:hAnsi="仿宋" w:eastAsia="仿宋" w:cs="仿宋"/>
                <w:kern w:val="2"/>
                <w:sz w:val="18"/>
                <w:szCs w:val="18"/>
              </w:rPr>
              <w:t>.00</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30</w:t>
            </w:r>
            <w:r>
              <w:rPr>
                <w:rFonts w:hint="eastAsia" w:ascii="仿宋" w:hAnsi="仿宋" w:eastAsia="仿宋" w:cs="仿宋"/>
                <w:kern w:val="2"/>
                <w:sz w:val="18"/>
                <w:szCs w:val="18"/>
              </w:rPr>
              <w:t>.00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权重</w:t>
            </w:r>
          </w:p>
        </w:tc>
        <w:tc>
          <w:tcPr>
            <w:tcW w:w="595"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30.45%</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9.39%</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40.05%</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10.01%</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10.09%</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标准总分值</w:t>
            </w:r>
          </w:p>
        </w:tc>
        <w:tc>
          <w:tcPr>
            <w:tcW w:w="595"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3.04</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0.94</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4.01</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1.00</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1.01</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实际分值</w:t>
            </w:r>
          </w:p>
        </w:tc>
        <w:tc>
          <w:tcPr>
            <w:tcW w:w="595"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2.22</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0.47</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2.60</w:t>
            </w:r>
          </w:p>
        </w:tc>
        <w:tc>
          <w:tcPr>
            <w:tcW w:w="843"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0.70</w:t>
            </w:r>
          </w:p>
        </w:tc>
        <w:tc>
          <w:tcPr>
            <w:tcW w:w="744" w:type="pct"/>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0.58</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子项目的满意度</w:t>
            </w:r>
          </w:p>
        </w:tc>
        <w:tc>
          <w:tcPr>
            <w:tcW w:w="595" w:type="pct"/>
            <w:shd w:val="clear" w:color="auto" w:fill="auto"/>
            <w:noWrap/>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72.83%</w:t>
            </w:r>
          </w:p>
        </w:tc>
        <w:tc>
          <w:tcPr>
            <w:tcW w:w="744" w:type="pct"/>
            <w:shd w:val="clear" w:color="auto" w:fill="auto"/>
            <w:noWrap/>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50.00%</w:t>
            </w:r>
          </w:p>
        </w:tc>
        <w:tc>
          <w:tcPr>
            <w:tcW w:w="843" w:type="pct"/>
            <w:shd w:val="clear" w:color="auto" w:fill="auto"/>
            <w:noWrap/>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64.80%</w:t>
            </w:r>
          </w:p>
        </w:tc>
        <w:tc>
          <w:tcPr>
            <w:tcW w:w="843" w:type="pct"/>
            <w:shd w:val="clear" w:color="auto" w:fill="auto"/>
            <w:noWrap/>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70.38%</w:t>
            </w:r>
          </w:p>
        </w:tc>
        <w:tc>
          <w:tcPr>
            <w:tcW w:w="744" w:type="pct"/>
            <w:shd w:val="clear" w:color="auto" w:fill="auto"/>
            <w:noWrap/>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57.00%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综合满意度</w:t>
            </w:r>
          </w:p>
        </w:tc>
        <w:tc>
          <w:tcPr>
            <w:tcW w:w="3769" w:type="pct"/>
            <w:gridSpan w:val="5"/>
            <w:shd w:val="clear" w:color="auto" w:fill="auto"/>
            <w:noWrap/>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65.70%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1231"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综合分值</w:t>
            </w:r>
          </w:p>
        </w:tc>
        <w:tc>
          <w:tcPr>
            <w:tcW w:w="3769" w:type="pct"/>
            <w:gridSpan w:val="5"/>
            <w:shd w:val="clear" w:color="auto" w:fill="auto"/>
            <w:noWrap/>
            <w:vAlign w:val="center"/>
          </w:tcPr>
          <w:p>
            <w:pPr>
              <w:snapToGrid w:val="0"/>
              <w:spacing w:line="360" w:lineRule="exact"/>
              <w:jc w:val="center"/>
              <w:rPr>
                <w:rFonts w:ascii="仿宋" w:hAnsi="仿宋" w:eastAsia="仿宋" w:cs="仿宋"/>
                <w:kern w:val="2"/>
                <w:sz w:val="18"/>
                <w:szCs w:val="18"/>
              </w:rPr>
            </w:pPr>
            <w:r>
              <w:rPr>
                <w:rFonts w:ascii="仿宋" w:hAnsi="仿宋" w:eastAsia="仿宋" w:cs="仿宋"/>
                <w:kern w:val="2"/>
                <w:sz w:val="18"/>
                <w:szCs w:val="18"/>
              </w:rPr>
              <w:t>6.57</w:t>
            </w:r>
          </w:p>
        </w:tc>
      </w:tr>
    </w:tbl>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综上，根据评分标准，实际扣分情况合计为</w:t>
      </w:r>
      <w:r>
        <w:rPr>
          <w:rFonts w:ascii="仿宋" w:hAnsi="仿宋" w:eastAsia="仿宋" w:cs="仿宋"/>
          <w:color w:val="000000" w:themeColor="text1"/>
          <w:sz w:val="28"/>
          <w:szCs w:val="28"/>
          <w14:textFill>
            <w14:solidFill>
              <w14:schemeClr w14:val="tx1"/>
            </w14:solidFill>
          </w14:textFill>
        </w:rPr>
        <w:t>3.43分，受益对象满意度指标本次绩效评价得6.57分。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（四）项目管理情况分析</w:t>
      </w:r>
    </w:p>
    <w:p>
      <w:pPr>
        <w:adjustRightInd w:val="0"/>
        <w:snapToGrid w:val="0"/>
        <w:spacing w:after="100" w:afterAutospacing="1"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涉及管理情况的指标主要为：预算执行率、资金使用合规性、财务监控有效性、项目管理有效性、政府采购程序性、管理制度健全性。具体情况如下：</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816"/>
        <w:gridCol w:w="711"/>
        <w:gridCol w:w="849"/>
        <w:gridCol w:w="851"/>
        <w:gridCol w:w="710"/>
        <w:gridCol w:w="3827"/>
        <w:gridCol w:w="76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60" w:hRule="atLeast"/>
          <w:tblHeader/>
        </w:trPr>
        <w:tc>
          <w:tcPr>
            <w:tcW w:w="478" w:type="pct"/>
            <w:noWrap/>
            <w:vAlign w:val="center"/>
          </w:tcPr>
          <w:p>
            <w:pPr>
              <w:jc w:val="center"/>
              <w:rPr>
                <w:rFonts w:ascii="仿宋" w:hAnsi="仿宋" w:eastAsia="仿宋" w:cs="仿宋"/>
                <w:bCs/>
                <w:color w:val="000000"/>
                <w:sz w:val="18"/>
                <w:szCs w:val="18"/>
              </w:rPr>
            </w:pPr>
            <w:r>
              <w:rPr>
                <w:rFonts w:hint="eastAsia" w:ascii="仿宋" w:hAnsi="仿宋" w:eastAsia="仿宋" w:cs="仿宋"/>
                <w:bCs/>
                <w:color w:val="000000"/>
                <w:sz w:val="18"/>
                <w:szCs w:val="18"/>
              </w:rPr>
              <w:t>指标名称</w:t>
            </w:r>
          </w:p>
        </w:tc>
        <w:tc>
          <w:tcPr>
            <w:tcW w:w="417" w:type="pct"/>
            <w:vAlign w:val="center"/>
          </w:tcPr>
          <w:p>
            <w:pPr>
              <w:jc w:val="center"/>
              <w:rPr>
                <w:rFonts w:ascii="仿宋" w:hAnsi="仿宋" w:eastAsia="仿宋" w:cs="仿宋"/>
                <w:bCs/>
                <w:color w:val="000000"/>
                <w:sz w:val="18"/>
                <w:szCs w:val="18"/>
              </w:rPr>
            </w:pPr>
            <w:r>
              <w:rPr>
                <w:rFonts w:hint="eastAsia" w:ascii="仿宋" w:hAnsi="仿宋" w:eastAsia="仿宋" w:cs="仿宋"/>
                <w:bCs/>
                <w:color w:val="000000"/>
                <w:sz w:val="18"/>
                <w:szCs w:val="18"/>
              </w:rPr>
              <w:t>指标</w:t>
            </w:r>
            <w:r>
              <w:rPr>
                <w:rFonts w:ascii="仿宋" w:hAnsi="仿宋" w:eastAsia="仿宋" w:cs="仿宋"/>
                <w:bCs/>
                <w:color w:val="000000"/>
                <w:sz w:val="18"/>
                <w:szCs w:val="18"/>
              </w:rPr>
              <w:br w:type="textWrapping"/>
            </w:r>
            <w:r>
              <w:rPr>
                <w:rFonts w:hint="eastAsia" w:ascii="仿宋" w:hAnsi="仿宋" w:eastAsia="仿宋" w:cs="仿宋"/>
                <w:bCs/>
                <w:color w:val="000000"/>
                <w:sz w:val="18"/>
                <w:szCs w:val="18"/>
              </w:rPr>
              <w:t>性质</w:t>
            </w:r>
          </w:p>
        </w:tc>
        <w:tc>
          <w:tcPr>
            <w:tcW w:w="498" w:type="pct"/>
            <w:noWrap/>
            <w:vAlign w:val="center"/>
          </w:tcPr>
          <w:p>
            <w:pPr>
              <w:jc w:val="center"/>
              <w:rPr>
                <w:rFonts w:ascii="仿宋" w:hAnsi="仿宋" w:eastAsia="仿宋" w:cs="仿宋"/>
                <w:bCs/>
                <w:color w:val="000000"/>
                <w:sz w:val="18"/>
                <w:szCs w:val="18"/>
              </w:rPr>
            </w:pPr>
            <w:r>
              <w:rPr>
                <w:rFonts w:hint="eastAsia" w:ascii="仿宋" w:hAnsi="仿宋" w:eastAsia="仿宋" w:cs="仿宋"/>
                <w:bCs/>
                <w:color w:val="000000"/>
                <w:sz w:val="18"/>
                <w:szCs w:val="18"/>
              </w:rPr>
              <w:t>指标值</w:t>
            </w:r>
          </w:p>
        </w:tc>
        <w:tc>
          <w:tcPr>
            <w:tcW w:w="499" w:type="pct"/>
            <w:vAlign w:val="center"/>
          </w:tcPr>
          <w:p>
            <w:pPr>
              <w:jc w:val="center"/>
              <w:rPr>
                <w:rFonts w:ascii="仿宋" w:hAnsi="仿宋" w:eastAsia="仿宋" w:cs="仿宋"/>
                <w:bCs/>
                <w:color w:val="000000"/>
                <w:sz w:val="18"/>
                <w:szCs w:val="18"/>
              </w:rPr>
            </w:pPr>
            <w:r>
              <w:rPr>
                <w:rFonts w:hint="eastAsia" w:ascii="仿宋" w:hAnsi="仿宋" w:eastAsia="仿宋" w:cs="仿宋"/>
                <w:bCs/>
                <w:color w:val="000000"/>
                <w:sz w:val="18"/>
                <w:szCs w:val="18"/>
              </w:rPr>
              <w:t>计量</w:t>
            </w:r>
            <w:r>
              <w:rPr>
                <w:rFonts w:ascii="仿宋" w:hAnsi="仿宋" w:eastAsia="仿宋" w:cs="仿宋"/>
                <w:bCs/>
                <w:color w:val="000000"/>
                <w:sz w:val="18"/>
                <w:szCs w:val="18"/>
              </w:rPr>
              <w:br w:type="textWrapping"/>
            </w:r>
            <w:r>
              <w:rPr>
                <w:rFonts w:hint="eastAsia" w:ascii="仿宋" w:hAnsi="仿宋" w:eastAsia="仿宋" w:cs="仿宋"/>
                <w:bCs/>
                <w:color w:val="000000"/>
                <w:sz w:val="18"/>
                <w:szCs w:val="18"/>
              </w:rPr>
              <w:t>单位</w:t>
            </w:r>
          </w:p>
        </w:tc>
        <w:tc>
          <w:tcPr>
            <w:tcW w:w="416" w:type="pct"/>
            <w:vAlign w:val="center"/>
          </w:tcPr>
          <w:p>
            <w:pPr>
              <w:jc w:val="center"/>
              <w:rPr>
                <w:rFonts w:ascii="仿宋" w:hAnsi="仿宋" w:eastAsia="仿宋" w:cs="仿宋"/>
                <w:bCs/>
                <w:color w:val="000000"/>
                <w:sz w:val="18"/>
                <w:szCs w:val="18"/>
              </w:rPr>
            </w:pPr>
            <w:r>
              <w:rPr>
                <w:rFonts w:hint="eastAsia" w:ascii="仿宋" w:hAnsi="仿宋" w:eastAsia="仿宋" w:cs="仿宋"/>
                <w:bCs/>
                <w:color w:val="000000"/>
                <w:sz w:val="18"/>
                <w:szCs w:val="18"/>
              </w:rPr>
              <w:t>指标</w:t>
            </w:r>
            <w:r>
              <w:rPr>
                <w:rFonts w:ascii="仿宋" w:hAnsi="仿宋" w:eastAsia="仿宋" w:cs="仿宋"/>
                <w:bCs/>
                <w:color w:val="000000"/>
                <w:sz w:val="18"/>
                <w:szCs w:val="18"/>
              </w:rPr>
              <w:br w:type="textWrapping"/>
            </w:r>
            <w:r>
              <w:rPr>
                <w:rFonts w:hint="eastAsia" w:ascii="仿宋" w:hAnsi="仿宋" w:eastAsia="仿宋" w:cs="仿宋"/>
                <w:bCs/>
                <w:color w:val="000000"/>
                <w:sz w:val="18"/>
                <w:szCs w:val="18"/>
              </w:rPr>
              <w:t>权重</w:t>
            </w:r>
          </w:p>
        </w:tc>
        <w:tc>
          <w:tcPr>
            <w:tcW w:w="2244"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评价标准</w:t>
            </w:r>
          </w:p>
        </w:tc>
        <w:tc>
          <w:tcPr>
            <w:tcW w:w="44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实际</w:t>
            </w:r>
            <w:r>
              <w:rPr>
                <w:rFonts w:ascii="仿宋" w:hAnsi="仿宋" w:eastAsia="仿宋" w:cs="仿宋"/>
                <w:color w:val="000000"/>
                <w:sz w:val="18"/>
                <w:szCs w:val="18"/>
              </w:rPr>
              <w:br w:type="textWrapping"/>
            </w:r>
            <w:r>
              <w:rPr>
                <w:rFonts w:hint="eastAsia" w:ascii="仿宋" w:hAnsi="仿宋" w:eastAsia="仿宋" w:cs="仿宋"/>
                <w:color w:val="000000"/>
                <w:sz w:val="18"/>
                <w:szCs w:val="18"/>
              </w:rPr>
              <w:t>得分</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1317" w:hRule="atLeast"/>
          <w:tblHeader/>
        </w:trPr>
        <w:tc>
          <w:tcPr>
            <w:tcW w:w="478" w:type="pct"/>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预算执行率</w:t>
            </w:r>
          </w:p>
        </w:tc>
        <w:tc>
          <w:tcPr>
            <w:tcW w:w="417"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498" w:type="pct"/>
            <w:noWrap/>
            <w:vAlign w:val="center"/>
          </w:tcPr>
          <w:p>
            <w:pPr>
              <w:jc w:val="center"/>
              <w:rPr>
                <w:rFonts w:ascii="仿宋" w:hAnsi="仿宋" w:eastAsia="仿宋" w:cs="仿宋"/>
                <w:color w:val="000000"/>
                <w:sz w:val="18"/>
                <w:szCs w:val="18"/>
              </w:rPr>
            </w:pPr>
            <w:r>
              <w:rPr>
                <w:rFonts w:ascii="仿宋" w:hAnsi="仿宋" w:eastAsia="仿宋" w:cs="仿宋"/>
                <w:color w:val="000000"/>
                <w:sz w:val="18"/>
                <w:szCs w:val="18"/>
              </w:rPr>
              <w:t>80</w:t>
            </w:r>
          </w:p>
        </w:tc>
        <w:tc>
          <w:tcPr>
            <w:tcW w:w="499" w:type="pct"/>
            <w:noWrap/>
            <w:vAlign w:val="center"/>
          </w:tcPr>
          <w:p>
            <w:pPr>
              <w:jc w:val="center"/>
              <w:rPr>
                <w:rFonts w:ascii="仿宋" w:hAnsi="仿宋" w:eastAsia="仿宋" w:cs="仿宋"/>
                <w:color w:val="000000"/>
                <w:sz w:val="18"/>
                <w:szCs w:val="18"/>
              </w:rPr>
            </w:pPr>
            <w:r>
              <w:rPr>
                <w:rFonts w:ascii="仿宋" w:hAnsi="仿宋" w:eastAsia="仿宋" w:cs="仿宋"/>
                <w:color w:val="000000"/>
                <w:sz w:val="18"/>
                <w:szCs w:val="18"/>
              </w:rPr>
              <w:t>%</w:t>
            </w:r>
          </w:p>
        </w:tc>
        <w:tc>
          <w:tcPr>
            <w:tcW w:w="416"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10</w:t>
            </w:r>
            <w:r>
              <w:rPr>
                <w:rFonts w:hint="eastAsia" w:ascii="仿宋" w:hAnsi="仿宋" w:eastAsia="仿宋" w:cs="仿宋"/>
                <w:color w:val="000000"/>
                <w:sz w:val="18"/>
                <w:szCs w:val="18"/>
                <w:lang w:bidi="ar"/>
              </w:rPr>
              <w:t>.00</w:t>
            </w:r>
          </w:p>
        </w:tc>
        <w:tc>
          <w:tcPr>
            <w:tcW w:w="2244" w:type="pct"/>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预算执行率=项目支出金额</w:t>
            </w:r>
            <w:r>
              <w:rPr>
                <w:rFonts w:ascii="仿宋" w:hAnsi="仿宋" w:eastAsia="仿宋" w:cs="仿宋"/>
                <w:color w:val="000000"/>
                <w:sz w:val="18"/>
                <w:szCs w:val="18"/>
              </w:rPr>
              <w:t>/项目实际收到的资金</w:t>
            </w:r>
            <w:r>
              <w:rPr>
                <w:rFonts w:hint="eastAsia" w:ascii="仿宋" w:hAnsi="仿宋" w:eastAsia="仿宋" w:cs="仿宋"/>
                <w:color w:val="000000"/>
                <w:sz w:val="18"/>
                <w:szCs w:val="18"/>
              </w:rPr>
              <w:t>×</w:t>
            </w:r>
            <w:r>
              <w:rPr>
                <w:rFonts w:ascii="仿宋" w:hAnsi="仿宋" w:eastAsia="仿宋" w:cs="仿宋"/>
                <w:color w:val="000000"/>
                <w:sz w:val="18"/>
                <w:szCs w:val="18"/>
              </w:rPr>
              <w:t>100%，80%以上计满分，每低于5%扣2</w:t>
            </w:r>
            <w:r>
              <w:rPr>
                <w:rFonts w:hint="eastAsia" w:ascii="仿宋" w:hAnsi="仿宋" w:eastAsia="仿宋" w:cs="仿宋"/>
                <w:color w:val="000000"/>
                <w:sz w:val="18"/>
                <w:szCs w:val="18"/>
              </w:rPr>
              <w:t>分，扣完为止。</w:t>
            </w:r>
          </w:p>
        </w:tc>
        <w:tc>
          <w:tcPr>
            <w:tcW w:w="448" w:type="pct"/>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8.00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20" w:hRule="atLeast"/>
          <w:tblHeader/>
        </w:trPr>
        <w:tc>
          <w:tcPr>
            <w:tcW w:w="47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资金使用合规性</w:t>
            </w:r>
          </w:p>
        </w:tc>
        <w:tc>
          <w:tcPr>
            <w:tcW w:w="417"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98"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合规</w:t>
            </w:r>
          </w:p>
        </w:tc>
        <w:tc>
          <w:tcPr>
            <w:tcW w:w="499"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6"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9</w:t>
            </w:r>
            <w:r>
              <w:rPr>
                <w:rFonts w:hint="eastAsia" w:ascii="仿宋" w:hAnsi="仿宋" w:eastAsia="仿宋" w:cs="仿宋"/>
                <w:color w:val="000000"/>
                <w:sz w:val="18"/>
                <w:szCs w:val="18"/>
                <w:lang w:bidi="ar"/>
              </w:rPr>
              <w:t>.00</w:t>
            </w:r>
          </w:p>
        </w:tc>
        <w:tc>
          <w:tcPr>
            <w:tcW w:w="2244" w:type="pct"/>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1.资金拨付有完整的审批程序和手续；</w:t>
            </w:r>
            <w:r>
              <w:rPr>
                <w:rFonts w:ascii="仿宋" w:hAnsi="仿宋" w:eastAsia="仿宋" w:cs="仿宋"/>
                <w:color w:val="000000"/>
                <w:sz w:val="18"/>
                <w:szCs w:val="18"/>
              </w:rPr>
              <w:t>2.不存在截留、挤占、挪用、虚列支出等情况；3.收支独立核算、财务数据准确。以上情况每出现一例不符合要求的扣</w:t>
            </w:r>
            <w:r>
              <w:rPr>
                <w:rFonts w:hint="eastAsia" w:ascii="仿宋" w:hAnsi="仿宋" w:eastAsia="仿宋" w:cs="仿宋"/>
                <w:color w:val="000000"/>
                <w:sz w:val="18"/>
                <w:szCs w:val="18"/>
              </w:rPr>
              <w:t>3分，扣完为止。</w:t>
            </w:r>
          </w:p>
        </w:tc>
        <w:tc>
          <w:tcPr>
            <w:tcW w:w="448" w:type="pct"/>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6.00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20" w:hRule="atLeast"/>
          <w:tblHeader/>
        </w:trPr>
        <w:tc>
          <w:tcPr>
            <w:tcW w:w="47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财务监控有效性</w:t>
            </w:r>
          </w:p>
        </w:tc>
        <w:tc>
          <w:tcPr>
            <w:tcW w:w="417"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98"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有效</w:t>
            </w:r>
          </w:p>
        </w:tc>
        <w:tc>
          <w:tcPr>
            <w:tcW w:w="499"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6"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2</w:t>
            </w:r>
            <w:r>
              <w:rPr>
                <w:rFonts w:hint="eastAsia" w:ascii="仿宋" w:hAnsi="仿宋" w:eastAsia="仿宋" w:cs="仿宋"/>
                <w:color w:val="000000"/>
                <w:sz w:val="18"/>
                <w:szCs w:val="18"/>
                <w:lang w:bidi="ar"/>
              </w:rPr>
              <w:t>.00</w:t>
            </w:r>
          </w:p>
        </w:tc>
        <w:tc>
          <w:tcPr>
            <w:tcW w:w="2244" w:type="pct"/>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1.制定或具有相应的监控机制；</w:t>
            </w:r>
            <w:r>
              <w:rPr>
                <w:rFonts w:ascii="仿宋" w:hAnsi="仿宋" w:eastAsia="仿宋" w:cs="仿宋"/>
                <w:color w:val="000000"/>
                <w:sz w:val="18"/>
                <w:szCs w:val="18"/>
              </w:rPr>
              <w:t>2.采取了相应的财务检查等必要的监控措施或手段。以上有一个不符合要求的扣1分，扣完为止。</w:t>
            </w:r>
          </w:p>
        </w:tc>
        <w:tc>
          <w:tcPr>
            <w:tcW w:w="448" w:type="pct"/>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2.00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20" w:hRule="atLeast"/>
          <w:tblHeader/>
        </w:trPr>
        <w:tc>
          <w:tcPr>
            <w:tcW w:w="47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项目管理有效性</w:t>
            </w:r>
          </w:p>
        </w:tc>
        <w:tc>
          <w:tcPr>
            <w:tcW w:w="417"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98"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明确</w:t>
            </w:r>
          </w:p>
        </w:tc>
        <w:tc>
          <w:tcPr>
            <w:tcW w:w="499"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6"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10</w:t>
            </w:r>
            <w:r>
              <w:rPr>
                <w:rFonts w:hint="eastAsia" w:ascii="仿宋" w:hAnsi="仿宋" w:eastAsia="仿宋" w:cs="仿宋"/>
                <w:color w:val="000000"/>
                <w:sz w:val="18"/>
                <w:szCs w:val="18"/>
                <w:lang w:bidi="ar"/>
              </w:rPr>
              <w:t>.00</w:t>
            </w:r>
          </w:p>
        </w:tc>
        <w:tc>
          <w:tcPr>
            <w:tcW w:w="2244" w:type="pct"/>
            <w:vAlign w:val="center"/>
          </w:tcPr>
          <w:p>
            <w:pPr>
              <w:rPr>
                <w:rFonts w:ascii="仿宋" w:hAnsi="仿宋" w:eastAsia="仿宋" w:cs="仿宋"/>
                <w:color w:val="000000"/>
                <w:sz w:val="18"/>
                <w:szCs w:val="18"/>
              </w:rPr>
            </w:pPr>
            <w:r>
              <w:rPr>
                <w:rFonts w:ascii="仿宋" w:hAnsi="仿宋" w:eastAsia="仿宋" w:cs="仿宋"/>
                <w:color w:val="000000"/>
                <w:sz w:val="18"/>
                <w:szCs w:val="18"/>
              </w:rPr>
              <w:t>1、是否搭建沟通议事平台，充分进行项目前期民意调研。2、是否建立并执行文明施工管理制度。3、是否编制专项改造规划和计划。4、项目完工后是否有维护措施。符合要求1得1分；符合要求2-4，每项3分，合计10分，不符合要求相应扣分。</w:t>
            </w:r>
          </w:p>
        </w:tc>
        <w:tc>
          <w:tcPr>
            <w:tcW w:w="448" w:type="pct"/>
            <w:noWrap/>
            <w:vAlign w:val="center"/>
          </w:tcPr>
          <w:p>
            <w:pPr>
              <w:jc w:val="right"/>
              <w:rPr>
                <w:rFonts w:ascii="仿宋" w:hAnsi="仿宋" w:eastAsia="仿宋" w:cs="仿宋"/>
                <w:color w:val="000000"/>
                <w:sz w:val="18"/>
                <w:szCs w:val="18"/>
                <w:lang w:bidi="ar"/>
              </w:rPr>
            </w:pPr>
            <w:r>
              <w:rPr>
                <w:rFonts w:hint="eastAsia" w:ascii="仿宋" w:hAnsi="仿宋" w:eastAsia="仿宋" w:cs="仿宋"/>
                <w:color w:val="000000"/>
                <w:sz w:val="18"/>
                <w:szCs w:val="18"/>
                <w:lang w:bidi="ar"/>
              </w:rPr>
              <w:t>7</w:t>
            </w:r>
            <w:r>
              <w:rPr>
                <w:rFonts w:ascii="仿宋" w:hAnsi="仿宋" w:eastAsia="仿宋" w:cs="仿宋"/>
                <w:color w:val="000000"/>
                <w:sz w:val="18"/>
                <w:szCs w:val="18"/>
                <w:lang w:bidi="ar"/>
              </w:rPr>
              <w:t>.</w:t>
            </w:r>
            <w:r>
              <w:rPr>
                <w:rFonts w:hint="eastAsia" w:ascii="仿宋" w:hAnsi="仿宋" w:eastAsia="仿宋" w:cs="仿宋"/>
                <w:color w:val="000000"/>
                <w:sz w:val="18"/>
                <w:szCs w:val="18"/>
                <w:lang w:bidi="ar"/>
              </w:rPr>
              <w:t>5</w:t>
            </w:r>
            <w:r>
              <w:rPr>
                <w:rFonts w:ascii="仿宋" w:hAnsi="仿宋" w:eastAsia="仿宋" w:cs="仿宋"/>
                <w:color w:val="000000"/>
                <w:sz w:val="18"/>
                <w:szCs w:val="18"/>
                <w:lang w:bidi="ar"/>
              </w:rPr>
              <w:t>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20" w:hRule="atLeast"/>
          <w:tblHeader/>
        </w:trPr>
        <w:tc>
          <w:tcPr>
            <w:tcW w:w="47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政府采购程序性</w:t>
            </w:r>
          </w:p>
        </w:tc>
        <w:tc>
          <w:tcPr>
            <w:tcW w:w="417"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98"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合规</w:t>
            </w:r>
          </w:p>
        </w:tc>
        <w:tc>
          <w:tcPr>
            <w:tcW w:w="499"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6"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2</w:t>
            </w:r>
            <w:r>
              <w:rPr>
                <w:rFonts w:hint="eastAsia" w:ascii="仿宋" w:hAnsi="仿宋" w:eastAsia="仿宋" w:cs="仿宋"/>
                <w:color w:val="000000"/>
                <w:sz w:val="18"/>
                <w:szCs w:val="18"/>
                <w:lang w:bidi="ar"/>
              </w:rPr>
              <w:t>.00</w:t>
            </w:r>
          </w:p>
        </w:tc>
        <w:tc>
          <w:tcPr>
            <w:tcW w:w="2244" w:type="pct"/>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应进行政府采购的项目按规定程序进行政府采购的得满分。未按程序进行政府采购的根据情节轻重扣分。</w:t>
            </w:r>
          </w:p>
        </w:tc>
        <w:tc>
          <w:tcPr>
            <w:tcW w:w="448" w:type="pct"/>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2.00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20" w:hRule="atLeast"/>
          <w:tblHeader/>
        </w:trPr>
        <w:tc>
          <w:tcPr>
            <w:tcW w:w="47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管理制度健全性</w:t>
            </w:r>
          </w:p>
        </w:tc>
        <w:tc>
          <w:tcPr>
            <w:tcW w:w="417"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98"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健全</w:t>
            </w:r>
          </w:p>
        </w:tc>
        <w:tc>
          <w:tcPr>
            <w:tcW w:w="499" w:type="pct"/>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无</w:t>
            </w:r>
          </w:p>
        </w:tc>
        <w:tc>
          <w:tcPr>
            <w:tcW w:w="416"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lang w:bidi="ar"/>
              </w:rPr>
              <w:t>2</w:t>
            </w:r>
            <w:r>
              <w:rPr>
                <w:rFonts w:hint="eastAsia" w:ascii="仿宋" w:hAnsi="仿宋" w:eastAsia="仿宋" w:cs="仿宋"/>
                <w:color w:val="000000"/>
                <w:sz w:val="18"/>
                <w:szCs w:val="18"/>
                <w:lang w:bidi="ar"/>
              </w:rPr>
              <w:t>.00</w:t>
            </w:r>
          </w:p>
        </w:tc>
        <w:tc>
          <w:tcPr>
            <w:tcW w:w="2244" w:type="pct"/>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1.制定或具有相应的业务管理制度。</w:t>
            </w:r>
            <w:r>
              <w:rPr>
                <w:rFonts w:ascii="仿宋" w:hAnsi="仿宋" w:eastAsia="仿宋" w:cs="仿宋"/>
                <w:color w:val="000000"/>
                <w:sz w:val="18"/>
                <w:szCs w:val="18"/>
              </w:rPr>
              <w:t>2.业务管理制度合法、合</w:t>
            </w:r>
            <w:r>
              <w:rPr>
                <w:rFonts w:hint="eastAsia" w:ascii="仿宋" w:hAnsi="仿宋" w:eastAsia="仿宋" w:cs="仿宋"/>
                <w:color w:val="000000"/>
                <w:sz w:val="18"/>
                <w:szCs w:val="18"/>
              </w:rPr>
              <w:t>规、完整。根据实际情况酌量打分。</w:t>
            </w:r>
          </w:p>
        </w:tc>
        <w:tc>
          <w:tcPr>
            <w:tcW w:w="448" w:type="pct"/>
            <w:noWrap/>
            <w:vAlign w:val="center"/>
          </w:tcPr>
          <w:p>
            <w:pPr>
              <w:jc w:val="right"/>
              <w:rPr>
                <w:rFonts w:ascii="仿宋" w:hAnsi="仿宋" w:eastAsia="仿宋" w:cs="仿宋"/>
                <w:color w:val="000000"/>
                <w:sz w:val="18"/>
                <w:szCs w:val="18"/>
                <w:lang w:bidi="ar"/>
              </w:rPr>
            </w:pPr>
            <w:r>
              <w:rPr>
                <w:rFonts w:ascii="仿宋" w:hAnsi="仿宋" w:eastAsia="仿宋" w:cs="仿宋"/>
                <w:color w:val="000000"/>
                <w:sz w:val="18"/>
                <w:szCs w:val="18"/>
                <w:lang w:bidi="ar"/>
              </w:rPr>
              <w:t>2.00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cantSplit/>
          <w:trHeight w:val="620" w:hRule="atLeast"/>
          <w:tblHeader/>
        </w:trPr>
        <w:tc>
          <w:tcPr>
            <w:tcW w:w="478" w:type="pct"/>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合计</w:t>
            </w:r>
          </w:p>
        </w:tc>
        <w:tc>
          <w:tcPr>
            <w:tcW w:w="417" w:type="pct"/>
            <w:noWrap/>
            <w:vAlign w:val="center"/>
          </w:tcPr>
          <w:p>
            <w:pPr>
              <w:jc w:val="center"/>
              <w:rPr>
                <w:rFonts w:ascii="仿宋" w:hAnsi="仿宋" w:eastAsia="仿宋" w:cs="仿宋"/>
                <w:color w:val="000000"/>
                <w:sz w:val="18"/>
                <w:szCs w:val="18"/>
              </w:rPr>
            </w:pPr>
          </w:p>
        </w:tc>
        <w:tc>
          <w:tcPr>
            <w:tcW w:w="498" w:type="pct"/>
            <w:noWrap/>
            <w:vAlign w:val="center"/>
          </w:tcPr>
          <w:p>
            <w:pPr>
              <w:jc w:val="center"/>
              <w:rPr>
                <w:rFonts w:ascii="仿宋" w:hAnsi="仿宋" w:eastAsia="仿宋" w:cs="仿宋"/>
                <w:color w:val="000000"/>
                <w:sz w:val="18"/>
                <w:szCs w:val="18"/>
              </w:rPr>
            </w:pPr>
          </w:p>
        </w:tc>
        <w:tc>
          <w:tcPr>
            <w:tcW w:w="499" w:type="pct"/>
            <w:noWrap/>
            <w:vAlign w:val="center"/>
          </w:tcPr>
          <w:p>
            <w:pPr>
              <w:jc w:val="center"/>
              <w:rPr>
                <w:rFonts w:ascii="仿宋" w:hAnsi="仿宋" w:eastAsia="仿宋" w:cs="仿宋"/>
                <w:color w:val="000000"/>
                <w:sz w:val="18"/>
                <w:szCs w:val="18"/>
              </w:rPr>
            </w:pPr>
          </w:p>
        </w:tc>
        <w:tc>
          <w:tcPr>
            <w:tcW w:w="416" w:type="pct"/>
            <w:noWrap/>
            <w:vAlign w:val="center"/>
          </w:tcPr>
          <w:p>
            <w:pPr>
              <w:jc w:val="center"/>
              <w:rPr>
                <w:rFonts w:ascii="仿宋" w:hAnsi="仿宋" w:eastAsia="仿宋" w:cs="仿宋"/>
                <w:color w:val="000000"/>
                <w:sz w:val="18"/>
                <w:szCs w:val="18"/>
              </w:rPr>
            </w:pPr>
            <w:r>
              <w:rPr>
                <w:rFonts w:ascii="仿宋" w:hAnsi="仿宋" w:eastAsia="仿宋" w:cs="仿宋"/>
                <w:color w:val="000000"/>
                <w:sz w:val="18"/>
                <w:szCs w:val="18"/>
              </w:rPr>
              <w:t>35.00</w:t>
            </w:r>
          </w:p>
        </w:tc>
        <w:tc>
          <w:tcPr>
            <w:tcW w:w="2244" w:type="pct"/>
            <w:vAlign w:val="center"/>
          </w:tcPr>
          <w:p>
            <w:pPr>
              <w:rPr>
                <w:rFonts w:ascii="仿宋" w:hAnsi="仿宋" w:eastAsia="仿宋" w:cs="仿宋"/>
                <w:color w:val="000000"/>
                <w:sz w:val="18"/>
                <w:szCs w:val="18"/>
              </w:rPr>
            </w:pPr>
          </w:p>
        </w:tc>
        <w:tc>
          <w:tcPr>
            <w:tcW w:w="448" w:type="pct"/>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2</w:t>
            </w:r>
            <w:r>
              <w:rPr>
                <w:rFonts w:hint="eastAsia" w:ascii="仿宋" w:hAnsi="仿宋" w:eastAsia="仿宋" w:cs="仿宋"/>
                <w:color w:val="000000"/>
                <w:sz w:val="18"/>
                <w:szCs w:val="18"/>
              </w:rPr>
              <w:t>7</w:t>
            </w:r>
            <w:r>
              <w:rPr>
                <w:rFonts w:ascii="仿宋" w:hAnsi="仿宋" w:eastAsia="仿宋" w:cs="仿宋"/>
                <w:color w:val="000000"/>
                <w:sz w:val="18"/>
                <w:szCs w:val="18"/>
              </w:rPr>
              <w:t>.</w:t>
            </w:r>
            <w:r>
              <w:rPr>
                <w:rFonts w:hint="eastAsia" w:ascii="仿宋" w:hAnsi="仿宋" w:eastAsia="仿宋" w:cs="仿宋"/>
                <w:color w:val="000000"/>
                <w:sz w:val="18"/>
                <w:szCs w:val="18"/>
              </w:rPr>
              <w:t>5</w:t>
            </w:r>
            <w:r>
              <w:rPr>
                <w:rFonts w:ascii="仿宋" w:hAnsi="仿宋" w:eastAsia="仿宋" w:cs="仿宋"/>
                <w:color w:val="000000"/>
                <w:sz w:val="18"/>
                <w:szCs w:val="18"/>
              </w:rPr>
              <w:t>0</w:t>
            </w:r>
          </w:p>
        </w:tc>
      </w:tr>
    </w:tbl>
    <w:p>
      <w:pPr>
        <w:adjustRightInd w:val="0"/>
        <w:snapToGrid w:val="0"/>
        <w:spacing w:after="100" w:afterAutospacing="1" w:line="360" w:lineRule="auto"/>
        <w:ind w:firstLine="560" w:firstLineChars="200"/>
        <w:outlineLvl w:val="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1）预算</w:t>
      </w:r>
      <w:r>
        <w:rPr>
          <w:rFonts w:hint="eastAsia" w:ascii="仿宋" w:hAnsi="仿宋" w:eastAsia="仿宋" w:cs="仿宋"/>
          <w:color w:val="000000" w:themeColor="text1"/>
          <w:sz w:val="28"/>
          <w:szCs w:val="28"/>
          <w14:textFill>
            <w14:solidFill>
              <w14:schemeClr w14:val="tx1"/>
            </w14:solidFill>
          </w14:textFill>
        </w:rPr>
        <w:t>执行率</w:t>
      </w:r>
      <w:r>
        <w:rPr>
          <w:rFonts w:hint="eastAsia" w:ascii="仿宋" w:hAnsi="仿宋" w:eastAsia="仿宋" w:cs="仿宋"/>
          <w:sz w:val="28"/>
          <w:szCs w:val="28"/>
        </w:rPr>
        <w:t>标准分值为</w:t>
      </w:r>
      <w:r>
        <w:rPr>
          <w:rFonts w:ascii="仿宋" w:hAnsi="仿宋" w:eastAsia="仿宋" w:cs="仿宋"/>
          <w:sz w:val="28"/>
          <w:szCs w:val="28"/>
        </w:rPr>
        <w:t>10</w:t>
      </w:r>
      <w:r>
        <w:rPr>
          <w:rFonts w:hint="eastAsia" w:ascii="仿宋" w:hAnsi="仿宋" w:eastAsia="仿宋" w:cs="仿宋"/>
          <w:sz w:val="28"/>
          <w:szCs w:val="28"/>
        </w:rPr>
        <w:t>分，朝天门街道实施的老旧小区改造提升项目共有</w:t>
      </w:r>
      <w:r>
        <w:rPr>
          <w:rFonts w:ascii="仿宋" w:hAnsi="仿宋" w:eastAsia="仿宋" w:cs="仿宋"/>
          <w:sz w:val="28"/>
          <w:szCs w:val="28"/>
        </w:rPr>
        <w:t>4个项目，分别为：朝千路、棉花街、</w:t>
      </w:r>
      <w:r>
        <w:rPr>
          <w:rFonts w:hint="eastAsia" w:ascii="仿宋" w:hAnsi="仿宋" w:eastAsia="仿宋" w:cs="仿宋"/>
          <w:sz w:val="28"/>
          <w:szCs w:val="28"/>
        </w:rPr>
        <w:t>沧白路；白象居；东升楼；解放东路。根据项目实际收到的资金，项目支出预算执行情况明细如下表（注：朝千路、棉花街、沧白路项目</w:t>
      </w:r>
      <w:r>
        <w:rPr>
          <w:rFonts w:ascii="仿宋" w:hAnsi="仿宋" w:eastAsia="仿宋" w:cs="仿宋"/>
          <w:sz w:val="28"/>
          <w:szCs w:val="28"/>
        </w:rPr>
        <w:t>2019年支付150,000.00元包含于项目支出金额中）：</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2234"/>
        <w:gridCol w:w="2127"/>
        <w:gridCol w:w="2125"/>
        <w:gridCol w:w="2042"/>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02" w:hRule="atLeast"/>
        </w:trPr>
        <w:tc>
          <w:tcPr>
            <w:tcW w:w="1310"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项目名称</w:t>
            </w:r>
          </w:p>
        </w:tc>
        <w:tc>
          <w:tcPr>
            <w:tcW w:w="1247"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项目实际收到的资金</w:t>
            </w:r>
          </w:p>
        </w:tc>
        <w:tc>
          <w:tcPr>
            <w:tcW w:w="1246"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项目支出金额</w:t>
            </w:r>
          </w:p>
        </w:tc>
        <w:tc>
          <w:tcPr>
            <w:tcW w:w="1197"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项目预算执行率</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1310"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朝千路、棉花街、沧白路</w:t>
            </w:r>
          </w:p>
        </w:tc>
        <w:tc>
          <w:tcPr>
            <w:tcW w:w="1247"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8,840,000.00</w:t>
            </w:r>
          </w:p>
        </w:tc>
        <w:tc>
          <w:tcPr>
            <w:tcW w:w="1246"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7,969,986.00</w:t>
            </w:r>
          </w:p>
        </w:tc>
        <w:tc>
          <w:tcPr>
            <w:tcW w:w="1197" w:type="pct"/>
            <w:noWrap/>
            <w:vAlign w:val="center"/>
          </w:tcPr>
          <w:p>
            <w:pPr>
              <w:jc w:val="right"/>
              <w:rPr>
                <w:rFonts w:ascii="仿宋" w:hAnsi="仿宋" w:eastAsia="仿宋" w:cs="仿宋"/>
                <w:color w:val="000000"/>
                <w:sz w:val="18"/>
                <w:szCs w:val="18"/>
              </w:rPr>
            </w:pPr>
            <w:r>
              <w:rPr>
                <w:rFonts w:hint="eastAsia" w:ascii="仿宋" w:hAnsi="仿宋" w:eastAsia="仿宋"/>
                <w:color w:val="000000"/>
                <w:sz w:val="18"/>
                <w:szCs w:val="18"/>
              </w:rPr>
              <w:t>90.16%</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1310"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东升楼</w:t>
            </w:r>
          </w:p>
        </w:tc>
        <w:tc>
          <w:tcPr>
            <w:tcW w:w="1247"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2,800,000.00</w:t>
            </w:r>
          </w:p>
        </w:tc>
        <w:tc>
          <w:tcPr>
            <w:tcW w:w="1246"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2,458,925.00</w:t>
            </w:r>
          </w:p>
        </w:tc>
        <w:tc>
          <w:tcPr>
            <w:tcW w:w="1197" w:type="pct"/>
            <w:noWrap/>
            <w:vAlign w:val="center"/>
          </w:tcPr>
          <w:p>
            <w:pPr>
              <w:jc w:val="right"/>
              <w:rPr>
                <w:rFonts w:ascii="仿宋" w:hAnsi="仿宋" w:eastAsia="仿宋" w:cs="仿宋"/>
                <w:color w:val="000000"/>
                <w:sz w:val="18"/>
                <w:szCs w:val="18"/>
              </w:rPr>
            </w:pPr>
            <w:r>
              <w:rPr>
                <w:rFonts w:hint="eastAsia" w:ascii="仿宋" w:hAnsi="仿宋" w:eastAsia="仿宋"/>
                <w:color w:val="000000"/>
                <w:sz w:val="18"/>
                <w:szCs w:val="18"/>
              </w:rPr>
              <w:t>87.82%</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1310"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白象居</w:t>
            </w:r>
          </w:p>
        </w:tc>
        <w:tc>
          <w:tcPr>
            <w:tcW w:w="1247"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16,200,000.00</w:t>
            </w:r>
          </w:p>
        </w:tc>
        <w:tc>
          <w:tcPr>
            <w:tcW w:w="1246"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13,105,221.00</w:t>
            </w:r>
          </w:p>
        </w:tc>
        <w:tc>
          <w:tcPr>
            <w:tcW w:w="1197" w:type="pct"/>
            <w:noWrap/>
            <w:vAlign w:val="center"/>
          </w:tcPr>
          <w:p>
            <w:pPr>
              <w:jc w:val="right"/>
              <w:rPr>
                <w:rFonts w:ascii="仿宋" w:hAnsi="仿宋" w:eastAsia="仿宋" w:cs="仿宋"/>
                <w:color w:val="000000"/>
                <w:sz w:val="18"/>
                <w:szCs w:val="18"/>
              </w:rPr>
            </w:pPr>
            <w:r>
              <w:rPr>
                <w:rFonts w:hint="eastAsia" w:ascii="仿宋" w:hAnsi="仿宋" w:eastAsia="仿宋"/>
                <w:color w:val="000000"/>
                <w:sz w:val="18"/>
                <w:szCs w:val="18"/>
              </w:rPr>
              <w:t>80.90%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1310"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解放东路</w:t>
            </w:r>
          </w:p>
        </w:tc>
        <w:tc>
          <w:tcPr>
            <w:tcW w:w="1247"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7,122,450.00</w:t>
            </w:r>
          </w:p>
        </w:tc>
        <w:tc>
          <w:tcPr>
            <w:tcW w:w="1246"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2,640,563.00</w:t>
            </w:r>
          </w:p>
        </w:tc>
        <w:tc>
          <w:tcPr>
            <w:tcW w:w="1197" w:type="pct"/>
            <w:noWrap/>
            <w:vAlign w:val="center"/>
          </w:tcPr>
          <w:p>
            <w:pPr>
              <w:jc w:val="right"/>
              <w:rPr>
                <w:rFonts w:ascii="仿宋" w:hAnsi="仿宋" w:eastAsia="仿宋" w:cs="仿宋"/>
                <w:color w:val="000000"/>
                <w:sz w:val="18"/>
                <w:szCs w:val="18"/>
              </w:rPr>
            </w:pPr>
            <w:r>
              <w:rPr>
                <w:rFonts w:hint="eastAsia" w:ascii="仿宋" w:hAnsi="仿宋" w:eastAsia="仿宋"/>
                <w:color w:val="000000"/>
                <w:sz w:val="18"/>
                <w:szCs w:val="18"/>
              </w:rPr>
              <w:t>37.07%</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1310" w:type="pct"/>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合计金额</w:t>
            </w:r>
          </w:p>
        </w:tc>
        <w:tc>
          <w:tcPr>
            <w:tcW w:w="1247"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34,962,450.00</w:t>
            </w:r>
          </w:p>
        </w:tc>
        <w:tc>
          <w:tcPr>
            <w:tcW w:w="1246" w:type="pct"/>
            <w:noWrap/>
            <w:vAlign w:val="center"/>
          </w:tcPr>
          <w:p>
            <w:pPr>
              <w:jc w:val="right"/>
              <w:rPr>
                <w:rFonts w:ascii="仿宋" w:hAnsi="仿宋" w:eastAsia="仿宋" w:cs="仿宋"/>
                <w:color w:val="000000"/>
                <w:sz w:val="18"/>
                <w:szCs w:val="22"/>
              </w:rPr>
            </w:pPr>
            <w:r>
              <w:rPr>
                <w:rFonts w:ascii="仿宋" w:hAnsi="仿宋" w:eastAsia="仿宋" w:cs="仿宋"/>
                <w:color w:val="000000"/>
                <w:sz w:val="18"/>
                <w:szCs w:val="22"/>
              </w:rPr>
              <w:t>26,174,695.00</w:t>
            </w:r>
          </w:p>
        </w:tc>
        <w:tc>
          <w:tcPr>
            <w:tcW w:w="1197" w:type="pct"/>
            <w:noWrap/>
            <w:vAlign w:val="center"/>
          </w:tcPr>
          <w:p>
            <w:pPr>
              <w:jc w:val="right"/>
              <w:rPr>
                <w:rFonts w:ascii="仿宋" w:hAnsi="仿宋" w:eastAsia="仿宋" w:cs="仿宋"/>
                <w:color w:val="000000"/>
                <w:sz w:val="18"/>
                <w:szCs w:val="22"/>
              </w:rPr>
            </w:pPr>
            <w:r>
              <w:rPr>
                <w:rFonts w:hint="eastAsia" w:ascii="仿宋" w:hAnsi="仿宋" w:eastAsia="仿宋"/>
                <w:color w:val="000000"/>
                <w:sz w:val="18"/>
                <w:szCs w:val="18"/>
              </w:rPr>
              <w:t>74.87%</w:t>
            </w:r>
          </w:p>
        </w:tc>
      </w:tr>
    </w:tbl>
    <w:p>
      <w:pPr>
        <w:adjustRightInd w:val="0"/>
        <w:snapToGrid w:val="0"/>
        <w:spacing w:before="156" w:beforeLines="50" w:line="360" w:lineRule="auto"/>
        <w:ind w:firstLine="560" w:firstLineChars="200"/>
        <w:jc w:val="both"/>
        <w:rPr>
          <w:rFonts w:ascii="仿宋" w:hAnsi="仿宋" w:eastAsia="仿宋" w:cs="仿宋"/>
          <w:sz w:val="28"/>
          <w:szCs w:val="28"/>
        </w:rPr>
      </w:pPr>
      <w:r>
        <w:rPr>
          <w:rFonts w:hint="eastAsia" w:ascii="仿宋" w:hAnsi="仿宋" w:eastAsia="仿宋" w:cs="仿宋"/>
          <w:sz w:val="28"/>
          <w:szCs w:val="28"/>
        </w:rPr>
        <w:t>项目实际收到资金</w:t>
      </w:r>
      <w:r>
        <w:rPr>
          <w:rFonts w:ascii="仿宋" w:hAnsi="仿宋" w:eastAsia="仿宋" w:cs="仿宋"/>
          <w:sz w:val="28"/>
          <w:szCs w:val="28"/>
        </w:rPr>
        <w:t>34,962,450.00元，项目支出资金26,174,695.00元，</w:t>
      </w:r>
      <w:r>
        <w:rPr>
          <w:rFonts w:hint="eastAsia" w:ascii="仿宋" w:hAnsi="仿宋" w:eastAsia="仿宋" w:cs="仿宋"/>
          <w:sz w:val="28"/>
          <w:szCs w:val="28"/>
        </w:rPr>
        <w:t>预算执行率为</w:t>
      </w:r>
      <w:r>
        <w:rPr>
          <w:rFonts w:ascii="仿宋" w:hAnsi="仿宋" w:eastAsia="仿宋" w:cs="仿宋"/>
          <w:sz w:val="28"/>
          <w:szCs w:val="28"/>
        </w:rPr>
        <w:t>74.87%，</w:t>
      </w:r>
      <w:r>
        <w:rPr>
          <w:rFonts w:hint="eastAsia" w:ascii="仿宋" w:hAnsi="仿宋" w:eastAsia="仿宋" w:cs="仿宋"/>
          <w:sz w:val="28"/>
          <w:szCs w:val="28"/>
        </w:rPr>
        <w:t>根据评价标准，本次评价扣</w:t>
      </w:r>
      <w:r>
        <w:rPr>
          <w:rFonts w:ascii="仿宋" w:hAnsi="仿宋" w:eastAsia="仿宋" w:cs="仿宋"/>
          <w:sz w:val="28"/>
          <w:szCs w:val="28"/>
        </w:rPr>
        <w:t>2</w:t>
      </w:r>
      <w:r>
        <w:rPr>
          <w:rFonts w:hint="eastAsia" w:ascii="仿宋" w:hAnsi="仿宋" w:eastAsia="仿宋" w:cs="仿宋"/>
          <w:sz w:val="28"/>
          <w:szCs w:val="28"/>
        </w:rPr>
        <w:t>.00分。预算执行率本次绩效评价得分</w:t>
      </w:r>
      <w:r>
        <w:rPr>
          <w:rFonts w:ascii="仿宋" w:hAnsi="仿宋" w:eastAsia="仿宋" w:cs="仿宋"/>
          <w:sz w:val="28"/>
          <w:szCs w:val="28"/>
        </w:rPr>
        <w:t>8</w:t>
      </w:r>
      <w:r>
        <w:rPr>
          <w:rFonts w:hint="eastAsia" w:ascii="仿宋" w:hAnsi="仿宋" w:eastAsia="仿宋" w:cs="仿宋"/>
          <w:sz w:val="28"/>
          <w:szCs w:val="28"/>
        </w:rPr>
        <w:t>.00分。</w:t>
      </w:r>
    </w:p>
    <w:p>
      <w:pPr>
        <w:adjustRightInd w:val="0"/>
        <w:snapToGrid w:val="0"/>
        <w:spacing w:before="156" w:beforeLines="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综上，根据评分标准，实际扣分情况合计为</w:t>
      </w:r>
      <w:r>
        <w:rPr>
          <w:rFonts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.00分，预算执行率指标本次绩效评价得</w:t>
      </w:r>
      <w:r>
        <w:rPr>
          <w:rFonts w:ascii="仿宋" w:hAnsi="仿宋" w:eastAsia="仿宋" w:cs="仿宋"/>
          <w:color w:val="000000" w:themeColor="text1"/>
          <w:sz w:val="28"/>
          <w:szCs w:val="28"/>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.00分。</w:t>
      </w:r>
    </w:p>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2）资金使用合</w:t>
      </w:r>
      <w:r>
        <w:rPr>
          <w:rFonts w:hint="eastAsia" w:ascii="仿宋" w:hAnsi="仿宋" w:eastAsia="仿宋" w:cs="仿宋"/>
          <w:color w:val="000000" w:themeColor="text1"/>
          <w:sz w:val="28"/>
          <w:szCs w:val="28"/>
          <w14:textFill>
            <w14:solidFill>
              <w14:schemeClr w14:val="tx1"/>
            </w14:solidFill>
          </w14:textFill>
        </w:rPr>
        <w:t>规性标准分值</w:t>
      </w:r>
      <w:r>
        <w:rPr>
          <w:rFonts w:ascii="仿宋" w:hAnsi="仿宋" w:eastAsia="仿宋" w:cs="仿宋"/>
          <w:color w:val="000000" w:themeColor="text1"/>
          <w:sz w:val="28"/>
          <w:szCs w:val="28"/>
          <w14:textFill>
            <w14:solidFill>
              <w14:schemeClr w14:val="tx1"/>
            </w14:solidFill>
          </w14:textFill>
        </w:rPr>
        <w:t>9</w:t>
      </w:r>
      <w:r>
        <w:rPr>
          <w:rFonts w:hint="eastAsia" w:ascii="仿宋" w:hAnsi="仿宋" w:eastAsia="仿宋" w:cs="仿宋"/>
          <w:color w:val="000000" w:themeColor="text1"/>
          <w:sz w:val="28"/>
          <w:szCs w:val="28"/>
          <w14:textFill>
            <w14:solidFill>
              <w14:schemeClr w14:val="tx1"/>
            </w14:solidFill>
          </w14:textFill>
        </w:rPr>
        <w:t>.00分。经检查朝天门街道提供的白象居综合整治改造工程辅助明细账，</w:t>
      </w:r>
      <w:r>
        <w:rPr>
          <w:rFonts w:ascii="仿宋" w:hAnsi="仿宋" w:eastAsia="仿宋" w:cs="仿宋"/>
          <w:color w:val="000000" w:themeColor="text1"/>
          <w:sz w:val="28"/>
          <w:szCs w:val="28"/>
          <w14:textFill>
            <w14:solidFill>
              <w14:schemeClr w14:val="tx1"/>
            </w14:solidFill>
          </w14:textFill>
        </w:rPr>
        <w:t>2020年度该子项目实际收到6,500,000.00元，2020年该子项目实际支出13,105,221.00元,存在该子项目实际支付金额超过辅助明细账收款金额，业务部门提供各子项目的资金明细，未与财务部门资金明细保持一致，存在子项目的收支未完全独立核算；</w:t>
      </w:r>
      <w:r>
        <w:rPr>
          <w:rFonts w:hint="eastAsia" w:ascii="仿宋" w:hAnsi="仿宋" w:eastAsia="仿宋" w:cs="仿宋"/>
          <w:color w:val="000000" w:themeColor="text1"/>
          <w:sz w:val="28"/>
          <w:szCs w:val="28"/>
          <w14:textFill>
            <w14:solidFill>
              <w14:schemeClr w14:val="tx1"/>
            </w14:solidFill>
          </w14:textFill>
        </w:rPr>
        <w:t>本次评价扣</w:t>
      </w:r>
      <w:r>
        <w:rPr>
          <w:rFonts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.00分，资金分配合理性本次绩效评价得分</w:t>
      </w:r>
      <w:r>
        <w:rPr>
          <w:rFonts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.00分。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项目财务部门明细账与业务部门明细账差异明细表：</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976"/>
        <w:gridCol w:w="1296"/>
        <w:gridCol w:w="1176"/>
        <w:gridCol w:w="1476"/>
        <w:gridCol w:w="1291"/>
        <w:gridCol w:w="1313"/>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633" w:type="pct"/>
            <w:shd w:val="clear" w:color="auto" w:fill="auto"/>
            <w:noWrap/>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项目名称</w:t>
            </w:r>
          </w:p>
        </w:tc>
        <w:tc>
          <w:tcPr>
            <w:tcW w:w="811" w:type="pct"/>
            <w:shd w:val="clear" w:color="auto" w:fill="auto"/>
            <w:noWrap/>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子项目明细账</w:t>
            </w:r>
          </w:p>
        </w:tc>
        <w:tc>
          <w:tcPr>
            <w:tcW w:w="825"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安居工程专项资金辅助明细账</w:t>
            </w:r>
          </w:p>
        </w:tc>
        <w:tc>
          <w:tcPr>
            <w:tcW w:w="876" w:type="pct"/>
            <w:shd w:val="clear" w:color="auto" w:fill="auto"/>
            <w:noWrap/>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财务明细账合计</w:t>
            </w:r>
          </w:p>
        </w:tc>
        <w:tc>
          <w:tcPr>
            <w:tcW w:w="980" w:type="pct"/>
            <w:shd w:val="clear" w:color="auto" w:fill="auto"/>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业务部门</w:t>
            </w:r>
            <w:r>
              <w:rPr>
                <w:rFonts w:ascii="仿宋" w:hAnsi="仿宋" w:eastAsia="仿宋" w:cs="仿宋"/>
                <w:color w:val="000000"/>
                <w:sz w:val="18"/>
                <w:szCs w:val="22"/>
              </w:rPr>
              <w:t>-项目已拨款金额</w:t>
            </w:r>
          </w:p>
        </w:tc>
        <w:tc>
          <w:tcPr>
            <w:tcW w:w="876" w:type="pct"/>
            <w:shd w:val="clear" w:color="auto" w:fill="auto"/>
            <w:noWrap/>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差异额</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633" w:type="pct"/>
            <w:shd w:val="clear" w:color="auto" w:fill="auto"/>
            <w:noWrap/>
            <w:vAlign w:val="center"/>
          </w:tcPr>
          <w:p>
            <w:pPr>
              <w:jc w:val="center"/>
              <w:rPr>
                <w:rFonts w:ascii="仿宋" w:hAnsi="仿宋" w:eastAsia="仿宋" w:cs="仿宋"/>
                <w:color w:val="000000"/>
                <w:sz w:val="16"/>
                <w:szCs w:val="22"/>
              </w:rPr>
            </w:pPr>
            <w:r>
              <w:rPr>
                <w:rFonts w:hint="eastAsia" w:ascii="仿宋" w:hAnsi="仿宋" w:eastAsia="仿宋" w:cs="仿宋"/>
                <w:color w:val="000000"/>
                <w:sz w:val="16"/>
                <w:szCs w:val="22"/>
              </w:rPr>
              <w:t>朝千路、棉花街、沧白路</w:t>
            </w:r>
          </w:p>
        </w:tc>
        <w:tc>
          <w:tcPr>
            <w:tcW w:w="811"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15,350,000.00</w:t>
            </w:r>
          </w:p>
        </w:tc>
        <w:tc>
          <w:tcPr>
            <w:tcW w:w="825"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7,680,000.00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23,030,000.00</w:t>
            </w:r>
          </w:p>
        </w:tc>
        <w:tc>
          <w:tcPr>
            <w:tcW w:w="980"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8,840,000.00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14,190,000.00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633" w:type="pct"/>
            <w:shd w:val="clear" w:color="auto" w:fill="auto"/>
            <w:noWrap/>
            <w:vAlign w:val="center"/>
          </w:tcPr>
          <w:p>
            <w:pPr>
              <w:jc w:val="center"/>
              <w:rPr>
                <w:rFonts w:ascii="仿宋" w:hAnsi="仿宋" w:eastAsia="仿宋" w:cs="仿宋"/>
                <w:color w:val="000000"/>
                <w:sz w:val="16"/>
                <w:szCs w:val="22"/>
              </w:rPr>
            </w:pPr>
            <w:r>
              <w:rPr>
                <w:rFonts w:hint="eastAsia" w:ascii="仿宋" w:hAnsi="仿宋" w:eastAsia="仿宋" w:cs="仿宋"/>
                <w:color w:val="000000"/>
                <w:sz w:val="16"/>
                <w:szCs w:val="22"/>
              </w:rPr>
              <w:t>东升楼</w:t>
            </w:r>
          </w:p>
        </w:tc>
        <w:tc>
          <w:tcPr>
            <w:tcW w:w="811"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1,980,000.00</w:t>
            </w:r>
          </w:p>
        </w:tc>
        <w:tc>
          <w:tcPr>
            <w:tcW w:w="825" w:type="pct"/>
            <w:shd w:val="clear" w:color="auto" w:fill="auto"/>
            <w:noWrap/>
            <w:vAlign w:val="center"/>
          </w:tcPr>
          <w:p>
            <w:pPr>
              <w:jc w:val="right"/>
              <w:rPr>
                <w:rFonts w:ascii="仿宋" w:hAnsi="仿宋" w:eastAsia="仿宋" w:cs="仿宋"/>
                <w:color w:val="000000"/>
                <w:sz w:val="16"/>
                <w:szCs w:val="22"/>
              </w:rPr>
            </w:pP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1,980,000.00</w:t>
            </w:r>
          </w:p>
        </w:tc>
        <w:tc>
          <w:tcPr>
            <w:tcW w:w="980"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2,800,000.00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-820,000.00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633" w:type="pct"/>
            <w:shd w:val="clear" w:color="auto" w:fill="auto"/>
            <w:noWrap/>
            <w:vAlign w:val="center"/>
          </w:tcPr>
          <w:p>
            <w:pPr>
              <w:jc w:val="center"/>
              <w:rPr>
                <w:rFonts w:ascii="仿宋" w:hAnsi="仿宋" w:eastAsia="仿宋" w:cs="仿宋"/>
                <w:color w:val="000000"/>
                <w:sz w:val="16"/>
                <w:szCs w:val="22"/>
              </w:rPr>
            </w:pPr>
            <w:r>
              <w:rPr>
                <w:rFonts w:hint="eastAsia" w:ascii="仿宋" w:hAnsi="仿宋" w:eastAsia="仿宋" w:cs="仿宋"/>
                <w:color w:val="000000"/>
                <w:sz w:val="16"/>
                <w:szCs w:val="22"/>
              </w:rPr>
              <w:t>白象居</w:t>
            </w:r>
          </w:p>
        </w:tc>
        <w:tc>
          <w:tcPr>
            <w:tcW w:w="811"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6,500,000.00</w:t>
            </w:r>
          </w:p>
        </w:tc>
        <w:tc>
          <w:tcPr>
            <w:tcW w:w="825" w:type="pct"/>
            <w:shd w:val="clear" w:color="auto" w:fill="auto"/>
            <w:noWrap/>
            <w:vAlign w:val="center"/>
          </w:tcPr>
          <w:p>
            <w:pPr>
              <w:jc w:val="right"/>
              <w:rPr>
                <w:rFonts w:ascii="仿宋" w:hAnsi="仿宋" w:eastAsia="仿宋" w:cs="仿宋"/>
                <w:color w:val="000000"/>
                <w:sz w:val="16"/>
                <w:szCs w:val="22"/>
              </w:rPr>
            </w:pPr>
            <w:r>
              <w:rPr>
                <w:rFonts w:hint="eastAsia" w:ascii="仿宋" w:hAnsi="仿宋" w:eastAsia="仿宋" w:cs="仿宋"/>
                <w:color w:val="000000"/>
                <w:sz w:val="16"/>
                <w:szCs w:val="22"/>
              </w:rPr>
              <w:t>　</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6,500,000.00</w:t>
            </w:r>
          </w:p>
        </w:tc>
        <w:tc>
          <w:tcPr>
            <w:tcW w:w="980"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16,200,000.00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-9,700,000.00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633" w:type="pct"/>
            <w:shd w:val="clear" w:color="auto" w:fill="auto"/>
            <w:noWrap/>
            <w:vAlign w:val="center"/>
          </w:tcPr>
          <w:p>
            <w:pPr>
              <w:jc w:val="center"/>
              <w:rPr>
                <w:rFonts w:ascii="仿宋" w:hAnsi="仿宋" w:eastAsia="仿宋" w:cs="仿宋"/>
                <w:color w:val="000000"/>
                <w:sz w:val="16"/>
                <w:szCs w:val="22"/>
              </w:rPr>
            </w:pPr>
            <w:r>
              <w:rPr>
                <w:rFonts w:hint="eastAsia" w:ascii="仿宋" w:hAnsi="仿宋" w:eastAsia="仿宋" w:cs="仿宋"/>
                <w:color w:val="000000"/>
                <w:sz w:val="16"/>
                <w:szCs w:val="22"/>
              </w:rPr>
              <w:t>解放东路</w:t>
            </w:r>
          </w:p>
        </w:tc>
        <w:tc>
          <w:tcPr>
            <w:tcW w:w="811"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2,522,450.00</w:t>
            </w:r>
          </w:p>
        </w:tc>
        <w:tc>
          <w:tcPr>
            <w:tcW w:w="825"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930,000.00　</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3,452,450.00</w:t>
            </w:r>
          </w:p>
        </w:tc>
        <w:tc>
          <w:tcPr>
            <w:tcW w:w="980"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7,122,450.00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-3,670,000.00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97" w:hRule="atLeast"/>
        </w:trPr>
        <w:tc>
          <w:tcPr>
            <w:tcW w:w="633" w:type="pct"/>
            <w:shd w:val="clear" w:color="auto" w:fill="auto"/>
            <w:noWrap/>
            <w:vAlign w:val="center"/>
          </w:tcPr>
          <w:p>
            <w:pPr>
              <w:jc w:val="center"/>
              <w:rPr>
                <w:rFonts w:ascii="仿宋" w:hAnsi="仿宋" w:eastAsia="仿宋" w:cs="仿宋"/>
                <w:color w:val="000000"/>
                <w:sz w:val="18"/>
                <w:szCs w:val="22"/>
              </w:rPr>
            </w:pPr>
            <w:r>
              <w:rPr>
                <w:rFonts w:hint="eastAsia" w:ascii="仿宋" w:hAnsi="仿宋" w:eastAsia="仿宋" w:cs="仿宋"/>
                <w:color w:val="000000"/>
                <w:sz w:val="18"/>
                <w:szCs w:val="22"/>
              </w:rPr>
              <w:t>合计</w:t>
            </w:r>
          </w:p>
        </w:tc>
        <w:tc>
          <w:tcPr>
            <w:tcW w:w="811"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26,352,450.00</w:t>
            </w:r>
          </w:p>
        </w:tc>
        <w:tc>
          <w:tcPr>
            <w:tcW w:w="825"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8,610,000.00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34,962,450.00</w:t>
            </w:r>
          </w:p>
        </w:tc>
        <w:tc>
          <w:tcPr>
            <w:tcW w:w="980"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34,962,450.00</w:t>
            </w:r>
          </w:p>
        </w:tc>
        <w:tc>
          <w:tcPr>
            <w:tcW w:w="876" w:type="pct"/>
            <w:shd w:val="clear" w:color="auto" w:fill="auto"/>
            <w:noWrap/>
            <w:vAlign w:val="center"/>
          </w:tcPr>
          <w:p>
            <w:pPr>
              <w:jc w:val="right"/>
              <w:rPr>
                <w:rFonts w:ascii="仿宋" w:hAnsi="仿宋" w:eastAsia="仿宋" w:cs="仿宋"/>
                <w:color w:val="000000"/>
                <w:sz w:val="16"/>
                <w:szCs w:val="22"/>
              </w:rPr>
            </w:pPr>
            <w:r>
              <w:rPr>
                <w:rFonts w:ascii="仿宋" w:hAnsi="仿宋" w:eastAsia="仿宋" w:cs="仿宋"/>
                <w:color w:val="000000"/>
                <w:sz w:val="16"/>
                <w:szCs w:val="22"/>
              </w:rPr>
              <w:t>-</w:t>
            </w:r>
          </w:p>
        </w:tc>
      </w:tr>
    </w:tbl>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3）财务监控有效性标准分值2分，本次评价经抽查朝天门街道实施的老旧小区改造提升项目财务凭证，支出签批符合业务层面内部控制制度规定。朝天门街道为保障资金的安全、规范运行而采取了</w:t>
      </w:r>
      <w:r>
        <w:rPr>
          <w:rFonts w:hint="eastAsia" w:ascii="仿宋" w:hAnsi="仿宋" w:eastAsia="仿宋" w:cs="仿宋"/>
          <w:color w:val="000000" w:themeColor="text1"/>
          <w:sz w:val="28"/>
          <w:szCs w:val="28"/>
          <w14:textFill>
            <w14:solidFill>
              <w14:schemeClr w14:val="tx1"/>
            </w14:solidFill>
          </w14:textFill>
        </w:rPr>
        <w:t>必要的监控措施，资金支付具备完整的审批程序和手续。项目财务监控有效性本次绩效评价得分</w:t>
      </w:r>
      <w:r>
        <w:rPr>
          <w:rFonts w:ascii="仿宋" w:hAnsi="仿宋" w:eastAsia="仿宋" w:cs="仿宋"/>
          <w:color w:val="000000" w:themeColor="text1"/>
          <w:sz w:val="28"/>
          <w:szCs w:val="28"/>
          <w14:textFill>
            <w14:solidFill>
              <w14:schemeClr w14:val="tx1"/>
            </w14:solidFill>
          </w14:textFill>
        </w:rPr>
        <w:t>2分。</w:t>
      </w:r>
    </w:p>
    <w:p>
      <w:pPr>
        <w:adjustRightInd w:val="0"/>
        <w:snapToGrid w:val="0"/>
        <w:spacing w:line="360" w:lineRule="auto"/>
        <w:ind w:firstLine="560" w:firstLineChars="200"/>
        <w:jc w:val="both"/>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4）项目管理有效性标准分值10</w:t>
      </w:r>
      <w:r>
        <w:rPr>
          <w:rFonts w:hint="eastAsia" w:ascii="仿宋" w:hAnsi="仿宋" w:eastAsia="仿宋" w:cs="仿宋"/>
          <w:color w:val="000000" w:themeColor="text1"/>
          <w:sz w:val="28"/>
          <w:szCs w:val="28"/>
          <w14:textFill>
            <w14:solidFill>
              <w14:schemeClr w14:val="tx1"/>
            </w14:solidFill>
          </w14:textFill>
        </w:rPr>
        <w:t>分，根据现场访问，了解到朝天门街道实施的老旧小区改造提升项目：</w:t>
      </w:r>
      <w:r>
        <w:rPr>
          <w:rFonts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w:instrText>
      </w:r>
      <w:r>
        <w:rPr>
          <w:rFonts w:hint="eastAsia" w:ascii="仿宋" w:hAnsi="仿宋" w:eastAsia="仿宋" w:cs="仿宋"/>
          <w:color w:val="000000" w:themeColor="text1"/>
          <w:sz w:val="28"/>
          <w:szCs w:val="28"/>
          <w14:textFill>
            <w14:solidFill>
              <w14:schemeClr w14:val="tx1"/>
            </w14:solidFill>
          </w14:textFill>
        </w:rPr>
        <w:instrText xml:space="preserve">= 1 \* GB3</w:instrText>
      </w:r>
      <w:r>
        <w:rPr>
          <w:rFonts w:ascii="仿宋" w:hAnsi="仿宋" w:eastAsia="仿宋" w:cs="仿宋"/>
          <w:color w:val="000000" w:themeColor="text1"/>
          <w:sz w:val="28"/>
          <w:szCs w:val="28"/>
          <w14:textFill>
            <w14:solidFill>
              <w14:schemeClr w14:val="tx1"/>
            </w14:solidFill>
          </w14:textFill>
        </w:rPr>
        <w:instrText xml:space="preserve"> </w:instrText>
      </w:r>
      <w:r>
        <w:rPr>
          <w:rFonts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①</w:t>
      </w:r>
      <w:r>
        <w:rPr>
          <w:rFonts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社区进行民意调研，得1</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00</w:t>
      </w:r>
      <w:r>
        <w:rPr>
          <w:rFonts w:ascii="仿宋" w:hAnsi="仿宋" w:eastAsia="仿宋" w:cs="仿宋"/>
          <w:color w:val="000000" w:themeColor="text1"/>
          <w:sz w:val="28"/>
          <w:szCs w:val="28"/>
          <w14:textFill>
            <w14:solidFill>
              <w14:schemeClr w14:val="tx1"/>
            </w14:solidFill>
          </w14:textFill>
        </w:rPr>
        <w:t>分</w:t>
      </w: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w:instrText>
      </w:r>
      <w:r>
        <w:rPr>
          <w:rFonts w:hint="eastAsia" w:ascii="仿宋" w:hAnsi="仿宋" w:eastAsia="仿宋" w:cs="仿宋"/>
          <w:color w:val="000000" w:themeColor="text1"/>
          <w:sz w:val="28"/>
          <w:szCs w:val="28"/>
          <w14:textFill>
            <w14:solidFill>
              <w14:schemeClr w14:val="tx1"/>
            </w14:solidFill>
          </w14:textFill>
        </w:rPr>
        <w:instrText xml:space="preserve">= 2 \* GB3</w:instrText>
      </w:r>
      <w:r>
        <w:rPr>
          <w:rFonts w:ascii="仿宋" w:hAnsi="仿宋" w:eastAsia="仿宋" w:cs="仿宋"/>
          <w:color w:val="000000" w:themeColor="text1"/>
          <w:sz w:val="28"/>
          <w:szCs w:val="28"/>
          <w14:textFill>
            <w14:solidFill>
              <w14:schemeClr w14:val="tx1"/>
            </w14:solidFill>
          </w14:textFill>
        </w:rPr>
        <w:instrText xml:space="preserve"> </w:instrText>
      </w:r>
      <w:r>
        <w:rPr>
          <w:rFonts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②</w:t>
      </w:r>
      <w:r>
        <w:rPr>
          <w:rFonts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未完全按照重庆市文明施工管理要求建立相应制度，导致个别不文明施工的情况，如：施工单位人员正式施工前未与居民联系，出现多次强行施工的现象，扣</w:t>
      </w:r>
      <w:r>
        <w:rPr>
          <w:rFonts w:ascii="仿宋" w:hAnsi="仿宋" w:eastAsia="仿宋" w:cs="仿宋"/>
          <w:color w:val="000000" w:themeColor="text1"/>
          <w:sz w:val="28"/>
          <w:szCs w:val="28"/>
          <w14:textFill>
            <w14:solidFill>
              <w14:schemeClr w14:val="tx1"/>
            </w14:solidFill>
          </w14:textFill>
        </w:rPr>
        <w:t>1分；</w:t>
      </w:r>
      <w:r>
        <w:rPr>
          <w:rFonts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w:instrText>
      </w:r>
      <w:r>
        <w:rPr>
          <w:rFonts w:hint="eastAsia" w:ascii="仿宋" w:hAnsi="仿宋" w:eastAsia="仿宋" w:cs="仿宋"/>
          <w:color w:val="000000" w:themeColor="text1"/>
          <w:sz w:val="28"/>
          <w:szCs w:val="28"/>
          <w14:textFill>
            <w14:solidFill>
              <w14:schemeClr w14:val="tx1"/>
            </w14:solidFill>
          </w14:textFill>
        </w:rPr>
        <w:instrText xml:space="preserve">= 3 \* GB3</w:instrText>
      </w:r>
      <w:r>
        <w:rPr>
          <w:rFonts w:ascii="仿宋" w:hAnsi="仿宋" w:eastAsia="仿宋" w:cs="仿宋"/>
          <w:color w:val="000000" w:themeColor="text1"/>
          <w:sz w:val="28"/>
          <w:szCs w:val="28"/>
          <w14:textFill>
            <w14:solidFill>
              <w14:schemeClr w14:val="tx1"/>
            </w14:solidFill>
          </w14:textFill>
        </w:rPr>
        <w:instrText xml:space="preserve"> </w:instrText>
      </w:r>
      <w:r>
        <w:rPr>
          <w:rFonts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③</w:t>
      </w:r>
      <w:r>
        <w:rPr>
          <w:rFonts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项目施工过程中，根据施工单位的工程周报、监理例会会议纪要安排施工，未单独编制项目计划，扣</w:t>
      </w:r>
      <w:r>
        <w:rPr>
          <w:rFonts w:ascii="仿宋" w:hAnsi="仿宋" w:eastAsia="仿宋" w:cs="仿宋"/>
          <w:color w:val="000000" w:themeColor="text1"/>
          <w:sz w:val="28"/>
          <w:szCs w:val="28"/>
          <w14:textFill>
            <w14:solidFill>
              <w14:schemeClr w14:val="tx1"/>
            </w14:solidFill>
          </w14:textFill>
        </w:rPr>
        <w:t>1分；</w:t>
      </w:r>
      <w:r>
        <w:rPr>
          <w:rFonts w:ascii="仿宋" w:hAnsi="仿宋" w:eastAsia="仿宋" w:cs="仿宋"/>
          <w:color w:val="000000" w:themeColor="text1"/>
          <w:sz w:val="28"/>
          <w:szCs w:val="28"/>
          <w14:textFill>
            <w14:solidFill>
              <w14:schemeClr w14:val="tx1"/>
            </w14:solidFill>
          </w14:textFill>
        </w:rPr>
        <w:fldChar w:fldCharType="begin"/>
      </w:r>
      <w:r>
        <w:rPr>
          <w:rFonts w:ascii="仿宋" w:hAnsi="仿宋" w:eastAsia="仿宋" w:cs="仿宋"/>
          <w:color w:val="000000" w:themeColor="text1"/>
          <w:sz w:val="28"/>
          <w:szCs w:val="28"/>
          <w14:textFill>
            <w14:solidFill>
              <w14:schemeClr w14:val="tx1"/>
            </w14:solidFill>
          </w14:textFill>
        </w:rPr>
        <w:instrText xml:space="preserve"> </w:instrText>
      </w:r>
      <w:r>
        <w:rPr>
          <w:rFonts w:hint="eastAsia" w:ascii="仿宋" w:hAnsi="仿宋" w:eastAsia="仿宋" w:cs="仿宋"/>
          <w:color w:val="000000" w:themeColor="text1"/>
          <w:sz w:val="28"/>
          <w:szCs w:val="28"/>
          <w14:textFill>
            <w14:solidFill>
              <w14:schemeClr w14:val="tx1"/>
            </w14:solidFill>
          </w14:textFill>
        </w:rPr>
        <w:instrText xml:space="preserve">= 4 \* GB3</w:instrText>
      </w:r>
      <w:r>
        <w:rPr>
          <w:rFonts w:ascii="仿宋" w:hAnsi="仿宋" w:eastAsia="仿宋" w:cs="仿宋"/>
          <w:color w:val="000000" w:themeColor="text1"/>
          <w:sz w:val="28"/>
          <w:szCs w:val="28"/>
          <w14:textFill>
            <w14:solidFill>
              <w14:schemeClr w14:val="tx1"/>
            </w14:solidFill>
          </w14:textFill>
        </w:rPr>
        <w:instrText xml:space="preserve"> </w:instrText>
      </w:r>
      <w:r>
        <w:rPr>
          <w:rFonts w:ascii="仿宋" w:hAnsi="仿宋" w:eastAsia="仿宋" w:cs="仿宋"/>
          <w:color w:val="000000" w:themeColor="text1"/>
          <w:sz w:val="28"/>
          <w:szCs w:val="28"/>
          <w14:textFill>
            <w14:solidFill>
              <w14:schemeClr w14:val="tx1"/>
            </w14:solidFill>
          </w14:textFill>
        </w:rPr>
        <w:fldChar w:fldCharType="separate"/>
      </w:r>
      <w:r>
        <w:rPr>
          <w:rFonts w:hint="eastAsia" w:ascii="仿宋" w:hAnsi="仿宋" w:eastAsia="仿宋" w:cs="仿宋"/>
          <w:color w:val="000000" w:themeColor="text1"/>
          <w:sz w:val="28"/>
          <w:szCs w:val="28"/>
          <w14:textFill>
            <w14:solidFill>
              <w14:schemeClr w14:val="tx1"/>
            </w14:solidFill>
          </w14:textFill>
        </w:rPr>
        <w:t>④</w:t>
      </w:r>
      <w:r>
        <w:rPr>
          <w:rFonts w:ascii="仿宋" w:hAnsi="仿宋" w:eastAsia="仿宋" w:cs="仿宋"/>
          <w:color w:val="000000" w:themeColor="text1"/>
          <w:sz w:val="28"/>
          <w:szCs w:val="28"/>
          <w14:textFill>
            <w14:solidFill>
              <w14:schemeClr w14:val="tx1"/>
            </w14:solidFill>
          </w14:textFill>
        </w:rPr>
        <w:fldChar w:fldCharType="end"/>
      </w:r>
      <w:r>
        <w:rPr>
          <w:rFonts w:hint="eastAsia" w:ascii="仿宋" w:hAnsi="仿宋" w:eastAsia="仿宋" w:cs="仿宋"/>
          <w:color w:val="000000" w:themeColor="text1"/>
          <w:sz w:val="28"/>
          <w:szCs w:val="28"/>
          <w14:textFill>
            <w14:solidFill>
              <w14:schemeClr w14:val="tx1"/>
            </w14:solidFill>
          </w14:textFill>
        </w:rPr>
        <w:t>项目完工后，东升楼项目因客观原因未进行交付使用，扣0.5</w:t>
      </w:r>
      <w:r>
        <w:rPr>
          <w:rFonts w:ascii="仿宋" w:hAnsi="仿宋" w:eastAsia="仿宋" w:cs="仿宋"/>
          <w:color w:val="000000" w:themeColor="text1"/>
          <w:sz w:val="28"/>
          <w:szCs w:val="28"/>
          <w14:textFill>
            <w14:solidFill>
              <w14:schemeClr w14:val="tx1"/>
            </w14:solidFill>
          </w14:textFill>
        </w:rPr>
        <w:t>分</w:t>
      </w:r>
      <w:r>
        <w:rPr>
          <w:rFonts w:hint="eastAsia" w:ascii="仿宋" w:hAnsi="仿宋" w:eastAsia="仿宋" w:cs="仿宋"/>
          <w:color w:val="000000" w:themeColor="text1"/>
          <w:sz w:val="28"/>
          <w:szCs w:val="28"/>
          <w14:textFill>
            <w14:solidFill>
              <w14:schemeClr w14:val="tx1"/>
            </w14:solidFill>
          </w14:textFill>
        </w:rPr>
        <w:t>。本次评价扣2</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50分，项目管理有效性本次绩效评价得分7</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50分。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5）政府采购程序性标准分值2分，本次评价经抽查项目概算批复文件、招投标资料，项目相关合同等相关资料，未发现政府采购程序不合</w:t>
      </w:r>
      <w:r>
        <w:rPr>
          <w:rFonts w:hint="eastAsia" w:ascii="仿宋" w:hAnsi="仿宋" w:eastAsia="仿宋" w:cs="仿宋"/>
          <w:color w:val="000000" w:themeColor="text1"/>
          <w:sz w:val="28"/>
          <w:szCs w:val="28"/>
          <w14:textFill>
            <w14:solidFill>
              <w14:schemeClr w14:val="tx1"/>
            </w14:solidFill>
          </w14:textFill>
        </w:rPr>
        <w:t>规情况。政府采购程序性本次绩效评价得分</w:t>
      </w:r>
      <w:r>
        <w:rPr>
          <w:rFonts w:ascii="仿宋" w:hAnsi="仿宋" w:eastAsia="仿宋" w:cs="仿宋"/>
          <w:color w:val="000000" w:themeColor="text1"/>
          <w:sz w:val="28"/>
          <w:szCs w:val="28"/>
          <w14:textFill>
            <w14:solidFill>
              <w14:schemeClr w14:val="tx1"/>
            </w14:solidFill>
          </w14:textFill>
        </w:rPr>
        <w:t>2分。</w:t>
      </w:r>
    </w:p>
    <w:p>
      <w:pPr>
        <w:adjustRightInd w:val="0"/>
        <w:snapToGrid w:val="0"/>
        <w:spacing w:line="360" w:lineRule="auto"/>
        <w:ind w:firstLine="560" w:firstLineChars="200"/>
        <w:outlineLvl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w:t>
      </w:r>
      <w:r>
        <w:rPr>
          <w:rFonts w:ascii="仿宋" w:hAnsi="仿宋" w:eastAsia="仿宋" w:cs="仿宋"/>
          <w:color w:val="000000" w:themeColor="text1"/>
          <w:sz w:val="28"/>
          <w:szCs w:val="28"/>
          <w14:textFill>
            <w14:solidFill>
              <w14:schemeClr w14:val="tx1"/>
            </w14:solidFill>
          </w14:textFill>
        </w:rPr>
        <w:t>6）管理制度健全性标准分值2分，根据现场检查朝天门街道办事处内部控制情况，办事处制定的业务管理制度、业务管理制度，不存在不合法、不合</w:t>
      </w:r>
      <w:r>
        <w:rPr>
          <w:rFonts w:hint="eastAsia" w:ascii="仿宋" w:hAnsi="仿宋" w:eastAsia="仿宋" w:cs="仿宋"/>
          <w:color w:val="000000" w:themeColor="text1"/>
          <w:sz w:val="28"/>
          <w:szCs w:val="28"/>
          <w14:textFill>
            <w14:solidFill>
              <w14:schemeClr w14:val="tx1"/>
            </w14:solidFill>
          </w14:textFill>
        </w:rPr>
        <w:t>规等情况，管理制度健全性本次绩效评价得分</w:t>
      </w:r>
      <w:r>
        <w:rPr>
          <w:rFonts w:ascii="仿宋" w:hAnsi="仿宋" w:eastAsia="仿宋" w:cs="仿宋"/>
          <w:color w:val="000000" w:themeColor="text1"/>
          <w:sz w:val="28"/>
          <w:szCs w:val="28"/>
          <w14:textFill>
            <w14:solidFill>
              <w14:schemeClr w14:val="tx1"/>
            </w14:solidFill>
          </w14:textFill>
        </w:rPr>
        <w:t>2分。</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四、综合评价情况及评价结论</w:t>
      </w:r>
    </w:p>
    <w:p>
      <w:pPr>
        <w:adjustRightInd w:val="0"/>
        <w:snapToGrid w:val="0"/>
        <w:spacing w:line="360" w:lineRule="auto"/>
        <w:ind w:firstLine="560" w:firstLineChars="200"/>
        <w:rPr>
          <w:rFonts w:ascii="仿宋" w:hAnsi="仿宋" w:eastAsia="仿宋" w:cs="仿宋"/>
          <w:color w:val="FF0000"/>
          <w:sz w:val="28"/>
          <w:szCs w:val="28"/>
        </w:rPr>
      </w:pPr>
      <w:r>
        <w:rPr>
          <w:rFonts w:hint="eastAsia" w:ascii="仿宋" w:hAnsi="仿宋" w:eastAsia="仿宋" w:cs="仿宋"/>
          <w:color w:val="000000" w:themeColor="text1"/>
          <w:sz w:val="28"/>
          <w:szCs w:val="28"/>
          <w14:textFill>
            <w14:solidFill>
              <w14:schemeClr w14:val="tx1"/>
            </w14:solidFill>
          </w14:textFill>
        </w:rPr>
        <w:t>根据设定的绩效目标，</w:t>
      </w:r>
      <w:r>
        <w:rPr>
          <w:rFonts w:ascii="仿宋" w:hAnsi="仿宋" w:eastAsia="仿宋" w:cs="仿宋"/>
          <w:color w:val="000000" w:themeColor="text1"/>
          <w:sz w:val="28"/>
          <w:szCs w:val="28"/>
          <w14:textFill>
            <w14:solidFill>
              <w14:schemeClr w14:val="tx1"/>
            </w14:solidFill>
          </w14:textFill>
        </w:rPr>
        <w:t>老旧小区改造提升项目绩效评价得</w:t>
      </w:r>
      <w:r>
        <w:rPr>
          <w:rFonts w:hint="eastAsia" w:ascii="仿宋" w:hAnsi="仿宋" w:eastAsia="仿宋" w:cs="仿宋"/>
          <w:sz w:val="28"/>
          <w:szCs w:val="28"/>
        </w:rPr>
        <w:t>分为76</w:t>
      </w:r>
      <w:r>
        <w:rPr>
          <w:rFonts w:ascii="仿宋" w:hAnsi="仿宋" w:eastAsia="仿宋" w:cs="仿宋"/>
          <w:sz w:val="28"/>
          <w:szCs w:val="28"/>
        </w:rPr>
        <w:t>.27</w:t>
      </w:r>
      <w:r>
        <w:rPr>
          <w:rFonts w:hint="eastAsia" w:ascii="仿宋" w:hAnsi="仿宋" w:eastAsia="仿宋" w:cs="仿宋"/>
          <w:sz w:val="28"/>
          <w:szCs w:val="28"/>
        </w:rPr>
        <w:t>分，绩效评价等级为：中，各项指标得分情况如下：</w:t>
      </w:r>
    </w:p>
    <w:tbl>
      <w:tblPr>
        <w:tblStyle w:val="10"/>
        <w:tblW w:w="5000" w:type="pct"/>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1331"/>
        <w:gridCol w:w="1322"/>
        <w:gridCol w:w="2153"/>
        <w:gridCol w:w="2278"/>
        <w:gridCol w:w="1444"/>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780"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项目</w:t>
            </w:r>
          </w:p>
        </w:tc>
        <w:tc>
          <w:tcPr>
            <w:tcW w:w="775"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产出</w:t>
            </w:r>
          </w:p>
        </w:tc>
        <w:tc>
          <w:tcPr>
            <w:tcW w:w="1262"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效益</w:t>
            </w:r>
          </w:p>
          <w:p>
            <w:pPr>
              <w:jc w:val="center"/>
              <w:rPr>
                <w:rFonts w:ascii="仿宋" w:hAnsi="仿宋" w:eastAsia="仿宋" w:cs="仿宋"/>
                <w:color w:val="000000"/>
                <w:sz w:val="18"/>
                <w:szCs w:val="18"/>
              </w:rPr>
            </w:pPr>
            <w:r>
              <w:rPr>
                <w:rFonts w:hint="eastAsia" w:ascii="仿宋" w:hAnsi="仿宋" w:eastAsia="仿宋" w:cs="仿宋"/>
                <w:color w:val="000000"/>
                <w:sz w:val="18"/>
                <w:szCs w:val="18"/>
              </w:rPr>
              <w:t>满意度</w:t>
            </w:r>
          </w:p>
        </w:tc>
        <w:tc>
          <w:tcPr>
            <w:tcW w:w="1335" w:type="pct"/>
          </w:tcPr>
          <w:p>
            <w:pPr>
              <w:jc w:val="center"/>
              <w:rPr>
                <w:rFonts w:ascii="仿宋" w:hAnsi="仿宋" w:eastAsia="仿宋" w:cs="仿宋"/>
                <w:color w:val="000000"/>
                <w:sz w:val="18"/>
                <w:szCs w:val="18"/>
              </w:rPr>
            </w:pPr>
            <w:r>
              <w:rPr>
                <w:rFonts w:hint="eastAsia" w:ascii="仿宋" w:hAnsi="仿宋" w:eastAsia="仿宋" w:cs="仿宋"/>
                <w:color w:val="000000"/>
                <w:sz w:val="18"/>
                <w:szCs w:val="18"/>
              </w:rPr>
              <w:t>管理</w:t>
            </w:r>
          </w:p>
        </w:tc>
        <w:tc>
          <w:tcPr>
            <w:tcW w:w="846" w:type="pct"/>
            <w:shd w:val="clear" w:color="auto" w:fill="auto"/>
            <w:noWrap/>
            <w:vAlign w:val="center"/>
          </w:tcPr>
          <w:p>
            <w:pPr>
              <w:jc w:val="center"/>
              <w:rPr>
                <w:rFonts w:ascii="仿宋" w:hAnsi="仿宋" w:eastAsia="仿宋" w:cs="仿宋"/>
                <w:color w:val="000000"/>
                <w:sz w:val="18"/>
                <w:szCs w:val="18"/>
              </w:rPr>
            </w:pPr>
            <w:r>
              <w:rPr>
                <w:rFonts w:hint="eastAsia" w:ascii="仿宋" w:hAnsi="仿宋" w:eastAsia="仿宋" w:cs="仿宋"/>
                <w:color w:val="000000"/>
                <w:sz w:val="18"/>
                <w:szCs w:val="18"/>
              </w:rPr>
              <w:t>合计</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780"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标准分</w:t>
            </w:r>
          </w:p>
        </w:tc>
        <w:tc>
          <w:tcPr>
            <w:tcW w:w="775"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40.00</w:t>
            </w:r>
          </w:p>
        </w:tc>
        <w:tc>
          <w:tcPr>
            <w:tcW w:w="1262"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25.00</w:t>
            </w:r>
          </w:p>
          <w:p>
            <w:pPr>
              <w:jc w:val="right"/>
              <w:rPr>
                <w:rFonts w:ascii="仿宋" w:hAnsi="仿宋" w:eastAsia="仿宋" w:cs="仿宋"/>
                <w:color w:val="000000"/>
                <w:sz w:val="18"/>
                <w:szCs w:val="18"/>
              </w:rPr>
            </w:pPr>
            <w:r>
              <w:rPr>
                <w:rFonts w:ascii="仿宋" w:hAnsi="仿宋" w:eastAsia="仿宋" w:cs="仿宋"/>
                <w:color w:val="000000"/>
                <w:sz w:val="18"/>
                <w:szCs w:val="18"/>
              </w:rPr>
              <w:t>10.00</w:t>
            </w:r>
          </w:p>
        </w:tc>
        <w:tc>
          <w:tcPr>
            <w:tcW w:w="1335" w:type="pct"/>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35.00</w:t>
            </w:r>
          </w:p>
        </w:tc>
        <w:tc>
          <w:tcPr>
            <w:tcW w:w="846"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100.00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340" w:hRule="exact"/>
        </w:trPr>
        <w:tc>
          <w:tcPr>
            <w:tcW w:w="780" w:type="pct"/>
            <w:shd w:val="clear" w:color="auto" w:fill="auto"/>
            <w:noWrap/>
            <w:vAlign w:val="center"/>
          </w:tcPr>
          <w:p>
            <w:pPr>
              <w:rPr>
                <w:rFonts w:ascii="仿宋" w:hAnsi="仿宋" w:eastAsia="仿宋" w:cs="仿宋"/>
                <w:color w:val="000000"/>
                <w:sz w:val="18"/>
                <w:szCs w:val="18"/>
              </w:rPr>
            </w:pPr>
            <w:r>
              <w:rPr>
                <w:rFonts w:hint="eastAsia" w:ascii="仿宋" w:hAnsi="仿宋" w:eastAsia="仿宋" w:cs="仿宋"/>
                <w:color w:val="000000"/>
                <w:sz w:val="18"/>
                <w:szCs w:val="18"/>
              </w:rPr>
              <w:t>得分</w:t>
            </w:r>
          </w:p>
        </w:tc>
        <w:tc>
          <w:tcPr>
            <w:tcW w:w="775" w:type="pct"/>
            <w:shd w:val="clear" w:color="auto" w:fill="auto"/>
            <w:noWrap/>
            <w:vAlign w:val="center"/>
          </w:tcPr>
          <w:p>
            <w:pPr>
              <w:jc w:val="right"/>
              <w:rPr>
                <w:rFonts w:ascii="仿宋" w:hAnsi="仿宋" w:eastAsia="仿宋" w:cs="仿宋"/>
                <w:color w:val="000000"/>
                <w:sz w:val="18"/>
                <w:szCs w:val="18"/>
              </w:rPr>
            </w:pPr>
            <w:r>
              <w:rPr>
                <w:rFonts w:ascii="仿宋" w:hAnsi="仿宋" w:eastAsia="仿宋" w:cs="仿宋"/>
                <w:color w:val="000000"/>
                <w:sz w:val="18"/>
                <w:szCs w:val="18"/>
              </w:rPr>
              <w:t>3</w:t>
            </w:r>
            <w:r>
              <w:rPr>
                <w:rFonts w:hint="eastAsia" w:ascii="仿宋" w:hAnsi="仿宋" w:eastAsia="仿宋" w:cs="仿宋"/>
                <w:color w:val="000000"/>
                <w:sz w:val="18"/>
                <w:szCs w:val="18"/>
              </w:rPr>
              <w:t>2</w:t>
            </w:r>
            <w:r>
              <w:rPr>
                <w:rFonts w:ascii="仿宋" w:hAnsi="仿宋" w:eastAsia="仿宋" w:cs="仿宋"/>
                <w:color w:val="000000"/>
                <w:sz w:val="18"/>
                <w:szCs w:val="18"/>
              </w:rPr>
              <w:t>.</w:t>
            </w:r>
            <w:r>
              <w:rPr>
                <w:rFonts w:hint="eastAsia" w:ascii="仿宋" w:hAnsi="仿宋" w:eastAsia="仿宋" w:cs="仿宋"/>
                <w:color w:val="000000"/>
                <w:sz w:val="18"/>
                <w:szCs w:val="18"/>
              </w:rPr>
              <w:t>9</w:t>
            </w:r>
            <w:r>
              <w:rPr>
                <w:rFonts w:ascii="仿宋" w:hAnsi="仿宋" w:eastAsia="仿宋" w:cs="仿宋"/>
                <w:color w:val="000000"/>
                <w:sz w:val="18"/>
                <w:szCs w:val="18"/>
              </w:rPr>
              <w:t>0</w:t>
            </w:r>
          </w:p>
        </w:tc>
        <w:tc>
          <w:tcPr>
            <w:tcW w:w="1262" w:type="pct"/>
            <w:shd w:val="clear" w:color="auto" w:fill="auto"/>
            <w:noWrap/>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15.87</w:t>
            </w:r>
          </w:p>
        </w:tc>
        <w:tc>
          <w:tcPr>
            <w:tcW w:w="1335" w:type="pct"/>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27.50</w:t>
            </w:r>
          </w:p>
        </w:tc>
        <w:tc>
          <w:tcPr>
            <w:tcW w:w="846" w:type="pct"/>
            <w:shd w:val="clear" w:color="auto" w:fill="auto"/>
            <w:noWrap/>
            <w:vAlign w:val="center"/>
          </w:tcPr>
          <w:p>
            <w:pPr>
              <w:jc w:val="right"/>
              <w:rPr>
                <w:rFonts w:ascii="仿宋" w:hAnsi="仿宋" w:eastAsia="仿宋" w:cs="仿宋"/>
                <w:color w:val="000000"/>
                <w:sz w:val="18"/>
                <w:szCs w:val="18"/>
              </w:rPr>
            </w:pPr>
            <w:r>
              <w:rPr>
                <w:rFonts w:hint="eastAsia" w:ascii="仿宋" w:hAnsi="仿宋" w:eastAsia="仿宋" w:cs="仿宋"/>
                <w:color w:val="000000"/>
                <w:sz w:val="18"/>
                <w:szCs w:val="18"/>
              </w:rPr>
              <w:t>76.27</w:t>
            </w:r>
          </w:p>
        </w:tc>
      </w:tr>
    </w:tbl>
    <w:p>
      <w:pPr>
        <w:pStyle w:val="5"/>
        <w:adjustRightInd w:val="0"/>
        <w:snapToGrid w:val="0"/>
        <w:spacing w:before="156" w:beforeLines="5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项目合计概算金额为</w:t>
      </w:r>
      <w:r>
        <w:rPr>
          <w:rFonts w:ascii="仿宋" w:hAnsi="仿宋" w:eastAsia="仿宋" w:cs="仿宋"/>
          <w:color w:val="000000" w:themeColor="text1"/>
          <w:sz w:val="28"/>
          <w:szCs w:val="28"/>
          <w14:textFill>
            <w14:solidFill>
              <w14:schemeClr w14:val="tx1"/>
            </w14:solidFill>
          </w14:textFill>
        </w:rPr>
        <w:t>5,963.56万元，项目合计支出金额2,617.47万元；2020年实际收到资金3,496.245万元，支出金额占收到资金的完成比例74.87%。朝天门街道实施的老旧小区改造提升项目，其中朝千路、棉花街、</w:t>
      </w:r>
      <w:r>
        <w:rPr>
          <w:rFonts w:hint="eastAsia" w:ascii="仿宋" w:hAnsi="仿宋" w:eastAsia="仿宋" w:cs="仿宋"/>
          <w:color w:val="000000" w:themeColor="text1"/>
          <w:sz w:val="28"/>
          <w:szCs w:val="28"/>
          <w14:textFill>
            <w14:solidFill>
              <w14:schemeClr w14:val="tx1"/>
            </w14:solidFill>
          </w14:textFill>
        </w:rPr>
        <w:t>沧白路；东升楼子项目已验收，</w:t>
      </w:r>
      <w:r>
        <w:rPr>
          <w:rFonts w:hint="eastAsia" w:ascii="仿宋" w:hAnsi="仿宋" w:eastAsia="仿宋" w:cs="仿宋"/>
          <w:color w:val="000000" w:themeColor="text1"/>
          <w:sz w:val="28"/>
          <w:szCs w:val="28"/>
          <w:lang w:eastAsia="zh-CN"/>
          <w14:textFill>
            <w14:solidFill>
              <w14:schemeClr w14:val="tx1"/>
            </w14:solidFill>
          </w14:textFill>
        </w:rPr>
        <w:t>截至</w:t>
      </w:r>
      <w:r>
        <w:rPr>
          <w:rFonts w:hint="eastAsia" w:ascii="仿宋" w:hAnsi="仿宋" w:eastAsia="仿宋" w:cs="仿宋"/>
          <w:color w:val="000000" w:themeColor="text1"/>
          <w:sz w:val="28"/>
          <w:szCs w:val="28"/>
          <w14:textFill>
            <w14:solidFill>
              <w14:schemeClr w14:val="tx1"/>
            </w14:solidFill>
          </w14:textFill>
        </w:rPr>
        <w:t>审核报告日，未办理竣工结算；白象居、解放东路子项目在实施过程中。在绩效评价过程中，朝天门街道按照财务管理制度及工程管理制度，规范工程支出，但存在“六、存在的问题和建议”所述项目未达目标的情况。</w:t>
      </w:r>
    </w:p>
    <w:p>
      <w:pPr>
        <w:autoSpaceDE w:val="0"/>
        <w:autoSpaceDN w:val="0"/>
        <w:adjustRightIn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五、项目资金和组织管理情况</w:t>
      </w:r>
    </w:p>
    <w:p>
      <w:pPr>
        <w:autoSpaceDE w:val="0"/>
        <w:autoSpaceDN w:val="0"/>
        <w:adjustRightInd w:val="0"/>
        <w:spacing w:before="156" w:beforeLines="5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（一）项目资金投入情况</w:t>
      </w:r>
    </w:p>
    <w:p>
      <w:pPr>
        <w:pStyle w:val="38"/>
        <w:snapToGrid w:val="0"/>
        <w:spacing w:before="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朝天门街道负责实施的</w:t>
      </w:r>
      <w:r>
        <w:rPr>
          <w:rFonts w:ascii="仿宋" w:hAnsi="仿宋" w:eastAsia="仿宋" w:cs="仿宋"/>
          <w:color w:val="000000" w:themeColor="text1"/>
          <w:sz w:val="28"/>
          <w:szCs w:val="28"/>
          <w14:textFill>
            <w14:solidFill>
              <w14:schemeClr w14:val="tx1"/>
            </w14:solidFill>
          </w14:textFill>
        </w:rPr>
        <w:t>老旧小区改造提升项目合计概算金额为59,635,600.00元。</w:t>
      </w:r>
      <w:r>
        <w:rPr>
          <w:rFonts w:hint="eastAsia" w:ascii="仿宋" w:hAnsi="仿宋" w:eastAsia="仿宋" w:cs="仿宋"/>
          <w:color w:val="000000" w:themeColor="text1"/>
          <w:sz w:val="28"/>
          <w:szCs w:val="28"/>
          <w:lang w:eastAsia="zh-CN"/>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2020年12月31日，项目实际支出金额26,174,695.00元。2020年实际收到资金34,962,450.00元，</w:t>
      </w:r>
      <w:r>
        <w:rPr>
          <w:rFonts w:hint="eastAsia" w:ascii="仿宋" w:hAnsi="仿宋" w:eastAsia="仿宋" w:cs="仿宋"/>
          <w:color w:val="000000" w:themeColor="text1"/>
          <w:sz w:val="28"/>
          <w:szCs w:val="28"/>
          <w:lang w:eastAsia="zh-CN"/>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2020年末，支出26,174,695.00元，结余8,787,755.00元。</w:t>
      </w:r>
    </w:p>
    <w:p>
      <w:pPr>
        <w:autoSpaceDE w:val="0"/>
        <w:autoSpaceDN w:val="0"/>
        <w:adjustRightInd w:val="0"/>
        <w:spacing w:before="156" w:beforeLines="5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（二）项目资金支出情况</w:t>
      </w:r>
    </w:p>
    <w:p>
      <w:pPr>
        <w:pStyle w:val="38"/>
        <w:snapToGrid w:val="0"/>
        <w:spacing w:before="50"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2020年12月31日止，重庆市渝中区人民政府朝天门街道办事处老旧小区改造提升项目累计支付投资金额26,174,695.00元。</w:t>
      </w:r>
    </w:p>
    <w:p>
      <w:pPr>
        <w:autoSpaceDE w:val="0"/>
        <w:autoSpaceDN w:val="0"/>
        <w:adjustRightInd w:val="0"/>
        <w:spacing w:before="156" w:beforeLines="5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（三）项目资金结余情况</w:t>
      </w:r>
    </w:p>
    <w:p>
      <w:pPr>
        <w:pStyle w:val="5"/>
        <w:adjustRightInd w:val="0"/>
        <w:snapToGrid w:val="0"/>
        <w:spacing w:before="156" w:beforeLines="50"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截至</w:t>
      </w:r>
      <w:r>
        <w:rPr>
          <w:rFonts w:ascii="仿宋" w:hAnsi="仿宋" w:eastAsia="仿宋" w:cs="仿宋"/>
          <w:color w:val="000000" w:themeColor="text1"/>
          <w:sz w:val="28"/>
          <w:szCs w:val="28"/>
          <w14:textFill>
            <w14:solidFill>
              <w14:schemeClr w14:val="tx1"/>
            </w14:solidFill>
          </w14:textFill>
        </w:rPr>
        <w:t>2020年12月31日，重庆市渝中区人民政府朝天门街道办事处老旧小区改造提升项目资金结余8,787,755.00元。</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六、存在的问题和建议</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（一）项目建设过程中缺乏对居民意见的反馈</w:t>
      </w:r>
    </w:p>
    <w:p>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问题：经现场访谈，项目实施内容与受益对象需求存在部分偏差的情况，如：白象居公共楼道楼梯间窗户外安装雨棚的需求；项目实施过程中，针对居民反馈意见缺乏及时处理，如：白象居雨棚拆除，产生其他的安全问题</w:t>
      </w:r>
      <w:r>
        <w:rPr>
          <w:rFonts w:ascii="仿宋" w:hAnsi="仿宋" w:eastAsia="仿宋" w:cs="仿宋"/>
          <w:color w:val="000000" w:themeColor="text1"/>
          <w:sz w:val="28"/>
          <w:szCs w:val="28"/>
          <w14:textFill>
            <w14:solidFill>
              <w14:schemeClr w14:val="tx1"/>
            </w14:solidFill>
          </w14:textFill>
        </w:rPr>
        <w:t>。</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（二）项目建设管理中存在的问题</w:t>
      </w:r>
    </w:p>
    <w:p>
      <w:pPr>
        <w:adjustRightInd w:val="0"/>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sz w:val="28"/>
          <w:szCs w:val="28"/>
        </w:rPr>
        <w:t>1.</w:t>
      </w:r>
      <w:r>
        <w:rPr>
          <w:rFonts w:hint="eastAsia" w:ascii="仿宋" w:hAnsi="仿宋" w:eastAsia="仿宋" w:cs="仿宋"/>
          <w:color w:val="000000" w:themeColor="text1"/>
          <w:sz w:val="28"/>
          <w:szCs w:val="28"/>
          <w14:textFill>
            <w14:solidFill>
              <w14:schemeClr w14:val="tx1"/>
            </w14:solidFill>
          </w14:textFill>
        </w:rPr>
        <w:t>项目过程管理方面：未完全按照重庆市文明施工管理要求建立相应制度，导致个别不文明施工的情况，如：施工单位人员正式施工前未与居民联系，出现多次强行施工的现象；项目施工过程中，根据施工单位的工程周报、监理例会会议纪要安排施工，未单独编制项目计划；项目完工后，东升楼项目因客观原因未进行交付使用。</w:t>
      </w:r>
    </w:p>
    <w:p>
      <w:pPr>
        <w:adjustRightInd w:val="0"/>
        <w:ind w:firstLine="562"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sz w:val="28"/>
          <w:szCs w:val="28"/>
        </w:rPr>
        <w:t>2.</w:t>
      </w:r>
      <w:r>
        <w:rPr>
          <w:rFonts w:hint="eastAsia" w:ascii="仿宋" w:hAnsi="仿宋" w:eastAsia="仿宋" w:cs="仿宋"/>
          <w:color w:val="000000" w:themeColor="text1"/>
          <w:sz w:val="28"/>
          <w:szCs w:val="28"/>
          <w14:textFill>
            <w14:solidFill>
              <w14:schemeClr w14:val="tx1"/>
            </w14:solidFill>
          </w14:textFill>
        </w:rPr>
        <w:t>项目质量管控方面：朝千路、棉花街、沧白路；东升楼已完工，各方已验收，但在现场勘察时，发现存在个别质量问题，如：人行道不平整、楼梯间扶手仍为损坏状态等。</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（三）建议</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针对本次绩效评价中发现的主要问题和扣分点，建议从以下方面加强老旧小区改造的管理：</w:t>
      </w:r>
    </w:p>
    <w:p>
      <w:pPr>
        <w:pStyle w:val="42"/>
        <w:numPr>
          <w:ilvl w:val="0"/>
          <w:numId w:val="3"/>
        </w:numPr>
        <w:adjustRightInd w:val="0"/>
        <w:snapToGrid w:val="0"/>
        <w:spacing w:line="360" w:lineRule="auto"/>
        <w:ind w:firstLineChars="0"/>
        <w:outlineLvl w:val="0"/>
        <w:rPr>
          <w:rFonts w:ascii="仿宋" w:hAnsi="仿宋" w:eastAsia="仿宋" w:cs="仿宋"/>
          <w:color w:val="000000" w:themeColor="text1"/>
          <w:sz w:val="28"/>
          <w:szCs w:val="28"/>
          <w14:textFill>
            <w14:solidFill>
              <w14:schemeClr w14:val="tx1"/>
            </w14:solidFill>
          </w14:textFill>
        </w:rPr>
      </w:pPr>
      <w:r>
        <w:rPr>
          <w:rFonts w:ascii="仿宋" w:hAnsi="仿宋" w:eastAsia="仿宋" w:cs="仿宋"/>
          <w:b/>
          <w:sz w:val="28"/>
          <w:szCs w:val="28"/>
        </w:rPr>
        <w:t>完善改造项目审批流程</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鉴于老旧老区改造工程有别于新建工程项目，建议构建</w:t>
      </w:r>
      <w:r>
        <w:rPr>
          <w:rFonts w:hint="eastAsia" w:ascii="仿宋" w:hAnsi="仿宋" w:eastAsia="仿宋" w:cs="仿宋"/>
          <w:color w:val="000000" w:themeColor="text1"/>
          <w:sz w:val="28"/>
          <w:szCs w:val="28"/>
          <w14:textFill>
            <w14:solidFill>
              <w14:schemeClr w14:val="tx1"/>
            </w14:solidFill>
          </w14:textFill>
        </w:rPr>
        <w:t>精简改造工程审批事项和环节，构建快速审批流程，提高项目审批效率。如：根据相关</w:t>
      </w:r>
      <w:r>
        <w:rPr>
          <w:rFonts w:hint="eastAsia" w:ascii="仿宋" w:hAnsi="仿宋" w:eastAsia="仿宋"/>
          <w:color w:val="000000" w:themeColor="text1"/>
          <w:sz w:val="28"/>
          <w:szCs w:val="28"/>
          <w14:textFill>
            <w14:solidFill>
              <w14:schemeClr w14:val="tx1"/>
            </w14:solidFill>
          </w14:textFill>
        </w:rPr>
        <w:t>部门</w:t>
      </w:r>
      <w:r>
        <w:rPr>
          <w:rFonts w:hint="eastAsia" w:ascii="仿宋" w:hAnsi="仿宋" w:eastAsia="仿宋" w:cs="仿宋"/>
          <w:color w:val="000000" w:themeColor="text1"/>
          <w:sz w:val="28"/>
          <w:szCs w:val="28"/>
          <w14:textFill>
            <w14:solidFill>
              <w14:schemeClr w14:val="tx1"/>
            </w14:solidFill>
          </w14:textFill>
        </w:rPr>
        <w:t>联合审查的改造方案，简化相关审批手续，相关部门直接办理立项等审批，避免出现项目无立项审批的情况、开工日期早于概算批复日期的情况。</w:t>
      </w:r>
    </w:p>
    <w:p>
      <w:pPr>
        <w:pStyle w:val="42"/>
        <w:numPr>
          <w:ilvl w:val="0"/>
          <w:numId w:val="3"/>
        </w:numPr>
        <w:adjustRightInd w:val="0"/>
        <w:snapToGrid w:val="0"/>
        <w:spacing w:line="360" w:lineRule="auto"/>
        <w:ind w:firstLineChars="0"/>
        <w:outlineLvl w:val="0"/>
        <w:rPr>
          <w:rFonts w:ascii="仿宋" w:hAnsi="仿宋" w:eastAsia="仿宋" w:cs="仿宋"/>
          <w:b/>
          <w:sz w:val="28"/>
          <w:szCs w:val="28"/>
        </w:rPr>
      </w:pPr>
      <w:r>
        <w:rPr>
          <w:rFonts w:hint="eastAsia" w:ascii="仿宋" w:hAnsi="仿宋" w:eastAsia="仿宋" w:cs="仿宋"/>
          <w:b/>
          <w:sz w:val="28"/>
          <w:szCs w:val="28"/>
        </w:rPr>
        <w:t>健全居民参与机制，坚持以人为本，把握改造重点为原则</w:t>
      </w:r>
    </w:p>
    <w:p>
      <w:pPr>
        <w:pStyle w:val="38"/>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从受益对象最关心最直接最现实的利益问题出发，建议项目实施前应当加大政策的宣传力度，并搭建沟通议事平台，运用</w:t>
      </w:r>
      <w:r>
        <w:rPr>
          <w:rFonts w:ascii="仿宋" w:hAnsi="仿宋" w:eastAsia="仿宋" w:cs="仿宋"/>
          <w:color w:val="000000" w:themeColor="text1"/>
          <w:sz w:val="28"/>
          <w:szCs w:val="28"/>
          <w14:textFill>
            <w14:solidFill>
              <w14:schemeClr w14:val="tx1"/>
            </w14:solidFill>
          </w14:textFill>
        </w:rPr>
        <w:t>实地走访、</w:t>
      </w:r>
      <w:r>
        <w:rPr>
          <w:rFonts w:hint="eastAsia" w:ascii="仿宋" w:hAnsi="仿宋" w:eastAsia="仿宋" w:cs="仿宋"/>
          <w:color w:val="000000" w:themeColor="text1"/>
          <w:sz w:val="28"/>
          <w:szCs w:val="28"/>
          <w14:textFill>
            <w14:solidFill>
              <w14:schemeClr w14:val="tx1"/>
            </w14:solidFill>
          </w14:textFill>
        </w:rPr>
        <w:t>公众号、</w:t>
      </w:r>
      <w:r>
        <w:rPr>
          <w:rFonts w:ascii="仿宋" w:hAnsi="仿宋" w:eastAsia="仿宋" w:cs="仿宋"/>
          <w:color w:val="000000" w:themeColor="text1"/>
          <w:sz w:val="28"/>
          <w:szCs w:val="28"/>
          <w14:textFill>
            <w14:solidFill>
              <w14:schemeClr w14:val="tx1"/>
            </w14:solidFill>
          </w14:textFill>
        </w:rPr>
        <w:t>电话、宣传栏等多种方式，</w:t>
      </w:r>
      <w:r>
        <w:rPr>
          <w:rFonts w:hint="eastAsia" w:ascii="仿宋" w:hAnsi="仿宋" w:eastAsia="仿宋" w:cs="仿宋"/>
          <w:color w:val="000000" w:themeColor="text1"/>
          <w:sz w:val="28"/>
          <w:szCs w:val="28"/>
          <w14:textFill>
            <w14:solidFill>
              <w14:schemeClr w14:val="tx1"/>
            </w14:solidFill>
          </w14:textFill>
        </w:rPr>
        <w:t>主动了解居民诉求，促进居民形成共识，确定存在隐患、亟待提升的区域等，充分发动居民积极参与改造方案制定。从而</w:t>
      </w:r>
      <w:r>
        <w:rPr>
          <w:rFonts w:ascii="仿宋" w:hAnsi="仿宋" w:eastAsia="仿宋" w:cs="仿宋"/>
          <w:color w:val="000000" w:themeColor="text1"/>
          <w:sz w:val="28"/>
          <w:szCs w:val="28"/>
          <w14:textFill>
            <w14:solidFill>
              <w14:schemeClr w14:val="tx1"/>
            </w14:solidFill>
          </w14:textFill>
        </w:rPr>
        <w:t>提升直接受益对象的参与度与满意度，提高</w:t>
      </w:r>
      <w:r>
        <w:rPr>
          <w:rFonts w:hint="eastAsia" w:ascii="仿宋" w:hAnsi="仿宋" w:eastAsia="仿宋" w:cs="仿宋"/>
          <w:color w:val="000000" w:themeColor="text1"/>
          <w:sz w:val="28"/>
          <w:szCs w:val="28"/>
          <w14:textFill>
            <w14:solidFill>
              <w14:schemeClr w14:val="tx1"/>
            </w14:solidFill>
          </w14:textFill>
        </w:rPr>
        <w:t>整体改造成果的效益</w:t>
      </w:r>
      <w:r>
        <w:rPr>
          <w:rFonts w:ascii="仿宋" w:hAnsi="仿宋" w:eastAsia="仿宋" w:cs="仿宋"/>
          <w:color w:val="000000" w:themeColor="text1"/>
          <w:sz w:val="28"/>
          <w:szCs w:val="28"/>
          <w14:textFill>
            <w14:solidFill>
              <w14:schemeClr w14:val="tx1"/>
            </w14:solidFill>
          </w14:textFill>
        </w:rPr>
        <w:t>。</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3.加强项目建设过程管理</w:t>
      </w:r>
    </w:p>
    <w:p>
      <w:pPr>
        <w:pStyle w:val="38"/>
        <w:snapToGrid w:val="0"/>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①完善项目管理机制，推进项目有序实施。完善文明施工相关制度、改造施工管理制度、专用资金监督管理制度等相关管理制度，并有效执行。确保项目实施过程中不扰民、文明施工，针对不文明施工现象，造成居民上访的，应予以相应处罚；施工按计划管理，并加强施工进度检查；按项目收支独立核算。避免出现不文明施工、无施工计划施工、</w:t>
      </w:r>
      <w:r>
        <w:rPr>
          <w:rFonts w:hint="eastAsia" w:ascii="仿宋" w:hAnsi="仿宋" w:eastAsia="仿宋" w:cs="仿宋"/>
          <w:color w:val="000000" w:themeColor="text1"/>
          <w:sz w:val="28"/>
          <w:szCs w:val="28"/>
          <w14:textFill>
            <w14:solidFill>
              <w14:schemeClr w14:val="tx1"/>
            </w14:solidFill>
          </w14:textFill>
        </w:rPr>
        <w:t>施工顺序不合理、</w:t>
      </w:r>
      <w:r>
        <w:rPr>
          <w:rFonts w:hint="eastAsia" w:ascii="仿宋" w:hAnsi="仿宋" w:eastAsia="仿宋"/>
          <w:color w:val="000000" w:themeColor="text1"/>
          <w:sz w:val="28"/>
          <w:szCs w:val="28"/>
          <w14:textFill>
            <w14:solidFill>
              <w14:schemeClr w14:val="tx1"/>
            </w14:solidFill>
          </w14:textFill>
        </w:rPr>
        <w:t>施工时间</w:t>
      </w:r>
      <w:r>
        <w:rPr>
          <w:rFonts w:hint="eastAsia" w:ascii="仿宋" w:hAnsi="仿宋" w:eastAsia="仿宋" w:cs="仿宋"/>
          <w:color w:val="000000" w:themeColor="text1"/>
          <w:sz w:val="28"/>
          <w:szCs w:val="28"/>
          <w14:textFill>
            <w14:solidFill>
              <w14:schemeClr w14:val="tx1"/>
            </w14:solidFill>
          </w14:textFill>
        </w:rPr>
        <w:t>拖沓延误的情况。</w:t>
      </w:r>
    </w:p>
    <w:p>
      <w:pPr>
        <w:pStyle w:val="38"/>
        <w:snapToGrid w:val="0"/>
        <w:spacing w:line="360" w:lineRule="auto"/>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②加强改造质量的管控。项目实施单位应根据相关改造项目文件要求，项目施工过程中加强对质量的管控。通过居民的反馈、监理方监督，施工过程跟踪，了解施工单位实际状态，确保项目改造质量；对已验收的项目，持续关注易产生质量问题的事项，有问题的事项应当及时处理，确保改造项目质量的有效性。</w:t>
      </w:r>
    </w:p>
    <w:p>
      <w:pPr>
        <w:adjustRightInd w:val="0"/>
        <w:snapToGrid w:val="0"/>
        <w:spacing w:line="360" w:lineRule="auto"/>
        <w:ind w:firstLine="562" w:firstLineChars="200"/>
        <w:outlineLvl w:val="0"/>
        <w:rPr>
          <w:rFonts w:ascii="仿宋" w:hAnsi="仿宋" w:eastAsia="仿宋" w:cs="仿宋"/>
          <w:b/>
          <w:sz w:val="28"/>
          <w:szCs w:val="28"/>
        </w:rPr>
      </w:pPr>
      <w:r>
        <w:rPr>
          <w:rFonts w:hint="eastAsia" w:ascii="仿宋" w:hAnsi="仿宋" w:eastAsia="仿宋" w:cs="仿宋"/>
          <w:b/>
          <w:sz w:val="28"/>
          <w:szCs w:val="28"/>
        </w:rPr>
        <w:t>4.完善小区长效管理机制</w:t>
      </w:r>
    </w:p>
    <w:p>
      <w:pPr>
        <w:adjustRightInd w:val="0"/>
        <w:ind w:firstLine="560" w:firstLineChars="200"/>
        <w:jc w:val="both"/>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结合</w:t>
      </w:r>
      <w:r>
        <w:rPr>
          <w:rFonts w:hint="eastAsia" w:ascii="仿宋" w:hAnsi="仿宋" w:eastAsia="仿宋" w:cs="仿宋"/>
          <w:color w:val="000000" w:themeColor="text1"/>
          <w:sz w:val="28"/>
          <w:szCs w:val="28"/>
          <w14:textFill>
            <w14:solidFill>
              <w14:schemeClr w14:val="tx1"/>
            </w14:solidFill>
          </w14:textFill>
        </w:rPr>
        <w:t>老旧小区改造提升项目的实际情况和改造成果的情况，完善以社区居民委员会配合，业主、物业服务企业或社区物业服务中心等共同参与的联合管理机制，引导居民协商确定改造后小区的管理模式、管理规约及业主议事规则，共同维护改造成果。如：对于由企业物业或社区物业服务中心管理的小区，在改造完成后由街道移交物业公司、社区物业服务中心负责后期管理，并完善移交手续。完善老旧小区住宅专项维修资金归集、使用、续筹机制，促进小区改造后维护更新进入良性轨道。</w:t>
      </w:r>
    </w:p>
    <w:p>
      <w:pPr>
        <w:adjustRightInd w:val="0"/>
        <w:ind w:firstLine="560" w:firstLineChars="200"/>
        <w:jc w:val="both"/>
        <w:rPr>
          <w:rFonts w:ascii="仿宋" w:hAnsi="仿宋" w:eastAsia="仿宋" w:cs="仿宋"/>
          <w:color w:val="000000" w:themeColor="text1"/>
          <w:sz w:val="28"/>
          <w:szCs w:val="28"/>
          <w14:textFill>
            <w14:solidFill>
              <w14:schemeClr w14:val="tx1"/>
            </w14:solidFill>
          </w14:textFill>
        </w:rPr>
      </w:pPr>
    </w:p>
    <w:p>
      <w:pPr>
        <w:adjustRightInd w:val="0"/>
        <w:ind w:firstLine="560" w:firstLineChars="200"/>
        <w:jc w:val="both"/>
        <w:rPr>
          <w:rFonts w:ascii="仿宋" w:hAnsi="仿宋" w:eastAsia="仿宋" w:cs="仿宋"/>
          <w:color w:val="000000" w:themeColor="text1"/>
          <w:sz w:val="28"/>
          <w:szCs w:val="28"/>
          <w14:textFill>
            <w14:solidFill>
              <w14:schemeClr w14:val="tx1"/>
            </w14:solidFill>
          </w14:textFill>
        </w:rPr>
      </w:pPr>
    </w:p>
    <w:p>
      <w:pPr>
        <w:adjustRightInd w:val="0"/>
        <w:ind w:firstLine="560" w:firstLineChars="200"/>
        <w:jc w:val="both"/>
        <w:rPr>
          <w:rFonts w:ascii="仿宋" w:hAnsi="仿宋" w:eastAsia="仿宋" w:cs="仿宋"/>
          <w:color w:val="000000" w:themeColor="text1"/>
          <w:sz w:val="28"/>
          <w:szCs w:val="28"/>
          <w14:textFill>
            <w14:solidFill>
              <w14:schemeClr w14:val="tx1"/>
            </w14:solidFill>
          </w14:textFill>
        </w:rPr>
      </w:pPr>
    </w:p>
    <w:p>
      <w:pPr>
        <w:adjustRightInd w:val="0"/>
        <w:ind w:firstLine="560" w:firstLineChars="200"/>
        <w:jc w:val="righ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大华会计师事务所(特殊普通合伙)</w:t>
      </w:r>
      <w:r>
        <w:rPr>
          <w:rFonts w:hint="eastAsia" w:ascii="仿宋" w:hAnsi="仿宋" w:eastAsia="仿宋" w:cs="仿宋"/>
          <w:color w:val="000000" w:themeColor="text1"/>
          <w:sz w:val="28"/>
          <w:szCs w:val="28"/>
          <w14:textFill>
            <w14:solidFill>
              <w14:schemeClr w14:val="tx1"/>
            </w14:solidFill>
          </w14:textFill>
        </w:rPr>
        <w:t xml:space="preserve"> 重庆分所</w:t>
      </w:r>
    </w:p>
    <w:p>
      <w:pPr>
        <w:adjustRightInd w:val="0"/>
        <w:ind w:firstLine="560" w:firstLineChars="200"/>
        <w:jc w:val="righ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2021年6月30日</w:t>
      </w:r>
    </w:p>
    <w:p>
      <w:pPr>
        <w:adjustRightInd w:val="0"/>
        <w:ind w:firstLine="560" w:firstLineChars="200"/>
        <w:jc w:val="both"/>
        <w:rPr>
          <w:rFonts w:ascii="仿宋" w:hAnsi="仿宋" w:eastAsia="仿宋" w:cs="仿宋"/>
          <w:color w:val="000000" w:themeColor="text1"/>
          <w:sz w:val="28"/>
          <w:szCs w:val="28"/>
          <w14:textFill>
            <w14:solidFill>
              <w14:schemeClr w14:val="tx1"/>
            </w14:solidFill>
          </w14:textFill>
        </w:rPr>
      </w:pPr>
    </w:p>
    <w:p>
      <w:pPr>
        <w:spacing w:line="360" w:lineRule="auto"/>
        <w:rPr>
          <w:rFonts w:ascii="仿宋" w:hAnsi="仿宋" w:eastAsia="仿宋" w:cs="仿宋"/>
          <w:b/>
          <w:color w:val="FF0000"/>
        </w:rPr>
      </w:pPr>
    </w:p>
    <w:sectPr>
      <w:footerReference r:id="rId11" w:type="first"/>
      <w:footerReference r:id="rId10" w:type="default"/>
      <w:pgSz w:w="11906" w:h="16838"/>
      <w:pgMar w:top="1723" w:right="1797" w:bottom="1440" w:left="179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Impact">
    <w:panose1 w:val="020B0806030902050204"/>
    <w:charset w:val="00"/>
    <w:family w:val="swiss"/>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posOffset>2484755</wp:posOffset>
              </wp:positionH>
              <wp:positionV relativeFrom="paragraph">
                <wp:posOffset>2540</wp:posOffset>
              </wp:positionV>
              <wp:extent cx="444500" cy="133350"/>
              <wp:effectExtent l="0" t="0" r="12700" b="0"/>
              <wp:wrapNone/>
              <wp:docPr id="5" name="文本框 5"/>
              <wp:cNvGraphicFramePr/>
              <a:graphic xmlns:a="http://schemas.openxmlformats.org/drawingml/2006/main">
                <a:graphicData uri="http://schemas.microsoft.com/office/word/2010/wordprocessingShape">
                  <wps:wsp>
                    <wps:cNvSpPr txBox="1"/>
                    <wps:spPr>
                      <a:xfrm>
                        <a:off x="0" y="0"/>
                        <a:ext cx="444500" cy="1333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37</w:t>
                          </w:r>
                          <w:r>
                            <w:rPr>
                              <w:rFonts w:hint="eastAsia"/>
                              <w:sz w:val="18"/>
                            </w:rPr>
                            <w:fldChar w:fldCharType="end"/>
                          </w:r>
                          <w:r>
                            <w:rPr>
                              <w:rFonts w:hint="eastAsia"/>
                              <w:sz w:val="18"/>
                            </w:rPr>
                            <w:t>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5.65pt;margin-top:0.2pt;height:10.5pt;width:35pt;mso-position-horizontal-relative:margin;z-index:251659264;mso-width-relative:page;mso-height-relative:page;" filled="f" stroked="f" coordsize="21600,21600" o:gfxdata="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3vQ5l1QAAAAcBAAAPAAAAAAAAAAEAIAAAACIAAABkcnMvZG93bnJldi54bWxQSwEC&#10;FAAUAAAACACHTuJAacyi0zACAABVBAAADgAAAAAAAAABACAAAAAkAQAAZHJzL2Uyb0RvYy54bWxQ&#10;SwUGAAAAAAYABgBZAQAAxgUAAAAA&#10;">
              <v:fill on="f" focussize="0,0"/>
              <v:stroke on="f" weight="0.5pt"/>
              <v:imagedata o:title=""/>
              <o:lock v:ext="edit" aspectratio="f"/>
              <v:textbox inset="0mm,0mm,0mm,0mm">
                <w:txbxContent>
                  <w:p>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37</w:t>
                    </w:r>
                    <w:r>
                      <w:rPr>
                        <w:rFonts w:hint="eastAsia"/>
                        <w:sz w:val="18"/>
                      </w:rPr>
                      <w:fldChar w:fldCharType="end"/>
                    </w:r>
                    <w:r>
                      <w:rPr>
                        <w:rFonts w:hint="eastAsia"/>
                        <w:sz w:val="18"/>
                      </w:rPr>
                      <w:t>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72110" cy="147955"/>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372110" cy="147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w:t>
                          </w:r>
                          <w:r>
                            <w:rPr>
                              <w:rFonts w:hint="eastAsia"/>
                              <w:sz w:val="18"/>
                              <w:szCs w:val="18"/>
                            </w:rPr>
                            <w:fldChar w:fldCharType="end"/>
                          </w:r>
                          <w:r>
                            <w:rPr>
                              <w:rFonts w:hint="eastAsia"/>
                              <w:sz w:val="18"/>
                              <w:szCs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65pt;width:29.3pt;mso-position-horizontal:center;mso-position-horizontal-relative:margin;mso-wrap-style:none;z-index:251660288;mso-width-relative:page;mso-height-relative:page;" filled="f" stroked="f" coordsize="21600,21600" o:gfxdata="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auBu20gAAAAMBAAAPAAAAAAAAAAEAIAAAACIAAABkcnMvZG93bnJldi54bWxQSwECFAAU&#10;AAAACACHTuJA0pyQTTACAABTBAAADgAAAAAAAAABACAAAAAhAQAAZHJzL2Uyb0RvYy54bWxQSwUG&#10;AAAAAAYABgBZAQAAwwUAAAAA&#10;">
              <v:fill on="f" focussize="0,0"/>
              <v:stroke on="f" weight="0.5pt"/>
              <v:imagedata o:title=""/>
              <o:lock v:ext="edit" aspectratio="f"/>
              <v:textbox inset="0mm,0mm,0mm,0mm" style="mso-fit-shape-to-text:t;">
                <w:txbxContent>
                  <w:p>
                    <w:pPr>
                      <w:snapToGrid w:val="0"/>
                      <w:rPr>
                        <w:sz w:val="18"/>
                      </w:rPr>
                    </w:pPr>
                    <w:r>
                      <w:rPr>
                        <w:rFonts w:hint="eastAsia"/>
                        <w:sz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w:t>
                    </w:r>
                    <w:r>
                      <w:rPr>
                        <w:rFonts w:hint="eastAsia"/>
                        <w:sz w:val="18"/>
                        <w:szCs w:val="18"/>
                      </w:rPr>
                      <w:fldChar w:fldCharType="end"/>
                    </w:r>
                    <w:r>
                      <w:rPr>
                        <w:rFonts w:hint="eastAsia"/>
                        <w:sz w:val="18"/>
                        <w:szCs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both"/>
    </w:pPr>
    <w:r>
      <w:drawing>
        <wp:inline distT="0" distB="0" distL="0" distR="0">
          <wp:extent cx="1838325" cy="23749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841252" cy="237868"/>
                  </a:xfrm>
                  <a:prstGeom prst="rect">
                    <a:avLst/>
                  </a:prstGeom>
                </pic:spPr>
              </pic:pic>
            </a:graphicData>
          </a:graphic>
        </wp:inline>
      </w:drawing>
    </w:r>
    <w:r>
      <w:rPr>
        <w:rFonts w:hint="eastAsia"/>
      </w:rPr>
      <w:t xml:space="preserve"> </w:t>
    </w:r>
    <w:r>
      <w:t xml:space="preserve">                         </w:t>
    </w:r>
    <w:r>
      <w:rPr>
        <w:rFonts w:hint="eastAsia"/>
      </w:rPr>
      <w:t>大华咨字[2021]250021号绩效评价报告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C5E95"/>
    <w:multiLevelType w:val="multilevel"/>
    <w:tmpl w:val="0D4C5E95"/>
    <w:lvl w:ilvl="0" w:tentative="0">
      <w:start w:val="1"/>
      <w:numFmt w:val="decimal"/>
      <w:lvlText w:val="%1."/>
      <w:lvlJc w:val="left"/>
      <w:pPr>
        <w:ind w:left="982" w:hanging="420"/>
      </w:pPr>
      <w:rPr>
        <w:rFonts w:hint="default"/>
        <w:b/>
        <w:color w:val="auto"/>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5B8302E9"/>
    <w:multiLevelType w:val="multilevel"/>
    <w:tmpl w:val="5B8302E9"/>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6A127D93"/>
    <w:multiLevelType w:val="multilevel"/>
    <w:tmpl w:val="6A127D93"/>
    <w:lvl w:ilvl="0" w:tentative="0">
      <w:start w:val="1"/>
      <w:numFmt w:val="decimal"/>
      <w:lvlText w:val="%1."/>
      <w:lvlJc w:val="left"/>
      <w:pPr>
        <w:ind w:left="982" w:hanging="420"/>
      </w:pPr>
      <w:rPr>
        <w:rFonts w:hint="default"/>
        <w:b/>
        <w:color w:val="auto"/>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2YzAxZjkyNjNmZWNiZTIxMGYwMWUwYTk5ZDhmMDYifQ=="/>
  </w:docVars>
  <w:rsids>
    <w:rsidRoot w:val="006F652A"/>
    <w:rsid w:val="000029F7"/>
    <w:rsid w:val="00002A16"/>
    <w:rsid w:val="000030D2"/>
    <w:rsid w:val="00005E39"/>
    <w:rsid w:val="00006D18"/>
    <w:rsid w:val="00011E83"/>
    <w:rsid w:val="00014493"/>
    <w:rsid w:val="00014975"/>
    <w:rsid w:val="00014A30"/>
    <w:rsid w:val="00014C59"/>
    <w:rsid w:val="00014F55"/>
    <w:rsid w:val="00021418"/>
    <w:rsid w:val="0002231D"/>
    <w:rsid w:val="00022DC2"/>
    <w:rsid w:val="00023165"/>
    <w:rsid w:val="000237E5"/>
    <w:rsid w:val="000245D8"/>
    <w:rsid w:val="00024764"/>
    <w:rsid w:val="00024B3D"/>
    <w:rsid w:val="00024BF1"/>
    <w:rsid w:val="000270C9"/>
    <w:rsid w:val="000300F5"/>
    <w:rsid w:val="00030908"/>
    <w:rsid w:val="00034257"/>
    <w:rsid w:val="00034E43"/>
    <w:rsid w:val="000350D9"/>
    <w:rsid w:val="00035493"/>
    <w:rsid w:val="00036623"/>
    <w:rsid w:val="000372AF"/>
    <w:rsid w:val="0004073F"/>
    <w:rsid w:val="00040D76"/>
    <w:rsid w:val="00041F43"/>
    <w:rsid w:val="00041F7C"/>
    <w:rsid w:val="00042ADB"/>
    <w:rsid w:val="00042EAA"/>
    <w:rsid w:val="000430E7"/>
    <w:rsid w:val="0004423A"/>
    <w:rsid w:val="00044E6B"/>
    <w:rsid w:val="000454E4"/>
    <w:rsid w:val="000466B3"/>
    <w:rsid w:val="00046CF0"/>
    <w:rsid w:val="00050277"/>
    <w:rsid w:val="000508AB"/>
    <w:rsid w:val="000508B4"/>
    <w:rsid w:val="0005132F"/>
    <w:rsid w:val="00052349"/>
    <w:rsid w:val="00052947"/>
    <w:rsid w:val="00052957"/>
    <w:rsid w:val="00053C01"/>
    <w:rsid w:val="00053FFC"/>
    <w:rsid w:val="00054BCE"/>
    <w:rsid w:val="00054F75"/>
    <w:rsid w:val="000572B6"/>
    <w:rsid w:val="00064036"/>
    <w:rsid w:val="0006420A"/>
    <w:rsid w:val="00065244"/>
    <w:rsid w:val="00066397"/>
    <w:rsid w:val="0006662C"/>
    <w:rsid w:val="000675D2"/>
    <w:rsid w:val="000679D6"/>
    <w:rsid w:val="000713D7"/>
    <w:rsid w:val="00071C5F"/>
    <w:rsid w:val="0007338E"/>
    <w:rsid w:val="00073975"/>
    <w:rsid w:val="00075FFE"/>
    <w:rsid w:val="0007660B"/>
    <w:rsid w:val="00076809"/>
    <w:rsid w:val="00076A33"/>
    <w:rsid w:val="0008086C"/>
    <w:rsid w:val="00082DAA"/>
    <w:rsid w:val="0008336B"/>
    <w:rsid w:val="00085122"/>
    <w:rsid w:val="00085A6D"/>
    <w:rsid w:val="00085E71"/>
    <w:rsid w:val="000865DB"/>
    <w:rsid w:val="000866AF"/>
    <w:rsid w:val="0008754B"/>
    <w:rsid w:val="00087790"/>
    <w:rsid w:val="00090361"/>
    <w:rsid w:val="00090C97"/>
    <w:rsid w:val="000921B0"/>
    <w:rsid w:val="000939AA"/>
    <w:rsid w:val="000943FC"/>
    <w:rsid w:val="00094F8B"/>
    <w:rsid w:val="00095FD0"/>
    <w:rsid w:val="000968EC"/>
    <w:rsid w:val="0009734B"/>
    <w:rsid w:val="00097F7F"/>
    <w:rsid w:val="000A0273"/>
    <w:rsid w:val="000A0D0A"/>
    <w:rsid w:val="000A3040"/>
    <w:rsid w:val="000A31C0"/>
    <w:rsid w:val="000A32BE"/>
    <w:rsid w:val="000A39E6"/>
    <w:rsid w:val="000A4733"/>
    <w:rsid w:val="000A72DE"/>
    <w:rsid w:val="000B082B"/>
    <w:rsid w:val="000B09A8"/>
    <w:rsid w:val="000B0B2A"/>
    <w:rsid w:val="000B3AFB"/>
    <w:rsid w:val="000B41DA"/>
    <w:rsid w:val="000B5AF0"/>
    <w:rsid w:val="000B5B5C"/>
    <w:rsid w:val="000B615B"/>
    <w:rsid w:val="000B71C2"/>
    <w:rsid w:val="000C0A66"/>
    <w:rsid w:val="000C1405"/>
    <w:rsid w:val="000C2DF0"/>
    <w:rsid w:val="000C2EFB"/>
    <w:rsid w:val="000C422B"/>
    <w:rsid w:val="000C51E7"/>
    <w:rsid w:val="000C78BC"/>
    <w:rsid w:val="000C7C69"/>
    <w:rsid w:val="000D1556"/>
    <w:rsid w:val="000D36E6"/>
    <w:rsid w:val="000D4E67"/>
    <w:rsid w:val="000D60BF"/>
    <w:rsid w:val="000D7944"/>
    <w:rsid w:val="000D7E6E"/>
    <w:rsid w:val="000E04F0"/>
    <w:rsid w:val="000E097E"/>
    <w:rsid w:val="000E11C8"/>
    <w:rsid w:val="000E15BD"/>
    <w:rsid w:val="000E167F"/>
    <w:rsid w:val="000E303C"/>
    <w:rsid w:val="000E3C41"/>
    <w:rsid w:val="000E4BCE"/>
    <w:rsid w:val="000F0A94"/>
    <w:rsid w:val="000F161F"/>
    <w:rsid w:val="000F24F1"/>
    <w:rsid w:val="000F278A"/>
    <w:rsid w:val="000F45C6"/>
    <w:rsid w:val="000F4A29"/>
    <w:rsid w:val="000F6D1C"/>
    <w:rsid w:val="000F73A2"/>
    <w:rsid w:val="000F74B9"/>
    <w:rsid w:val="000F7CF9"/>
    <w:rsid w:val="00103549"/>
    <w:rsid w:val="00103A1A"/>
    <w:rsid w:val="00104D88"/>
    <w:rsid w:val="00107EAC"/>
    <w:rsid w:val="00110416"/>
    <w:rsid w:val="00110700"/>
    <w:rsid w:val="001114DF"/>
    <w:rsid w:val="0011291D"/>
    <w:rsid w:val="00112F40"/>
    <w:rsid w:val="001142AA"/>
    <w:rsid w:val="00114DD5"/>
    <w:rsid w:val="00115AD5"/>
    <w:rsid w:val="00116230"/>
    <w:rsid w:val="001162F5"/>
    <w:rsid w:val="00121CBD"/>
    <w:rsid w:val="001220BE"/>
    <w:rsid w:val="001238FB"/>
    <w:rsid w:val="00123BE9"/>
    <w:rsid w:val="00123D7C"/>
    <w:rsid w:val="00123E66"/>
    <w:rsid w:val="001245CC"/>
    <w:rsid w:val="0012639D"/>
    <w:rsid w:val="001309C1"/>
    <w:rsid w:val="00131669"/>
    <w:rsid w:val="001325B3"/>
    <w:rsid w:val="0013322F"/>
    <w:rsid w:val="00133629"/>
    <w:rsid w:val="00133E26"/>
    <w:rsid w:val="00134FFF"/>
    <w:rsid w:val="00135402"/>
    <w:rsid w:val="0013770A"/>
    <w:rsid w:val="00137E99"/>
    <w:rsid w:val="0014080B"/>
    <w:rsid w:val="001446A7"/>
    <w:rsid w:val="001448F9"/>
    <w:rsid w:val="001454FA"/>
    <w:rsid w:val="0014556D"/>
    <w:rsid w:val="00146D1F"/>
    <w:rsid w:val="001478B8"/>
    <w:rsid w:val="00150103"/>
    <w:rsid w:val="00150C8D"/>
    <w:rsid w:val="001513FC"/>
    <w:rsid w:val="00151894"/>
    <w:rsid w:val="00152300"/>
    <w:rsid w:val="00152FA2"/>
    <w:rsid w:val="00154205"/>
    <w:rsid w:val="0015429A"/>
    <w:rsid w:val="001542C7"/>
    <w:rsid w:val="00154365"/>
    <w:rsid w:val="001561AC"/>
    <w:rsid w:val="00156EEB"/>
    <w:rsid w:val="00157311"/>
    <w:rsid w:val="00160945"/>
    <w:rsid w:val="0016107C"/>
    <w:rsid w:val="00162DBF"/>
    <w:rsid w:val="00163876"/>
    <w:rsid w:val="001639F2"/>
    <w:rsid w:val="001649F1"/>
    <w:rsid w:val="00164FFA"/>
    <w:rsid w:val="00165D88"/>
    <w:rsid w:val="00166381"/>
    <w:rsid w:val="00166DD1"/>
    <w:rsid w:val="00167AF6"/>
    <w:rsid w:val="00167CF8"/>
    <w:rsid w:val="00167E50"/>
    <w:rsid w:val="001700F9"/>
    <w:rsid w:val="001707D1"/>
    <w:rsid w:val="00170C9D"/>
    <w:rsid w:val="001711D4"/>
    <w:rsid w:val="0017155A"/>
    <w:rsid w:val="00172221"/>
    <w:rsid w:val="00173041"/>
    <w:rsid w:val="00174757"/>
    <w:rsid w:val="00175EFF"/>
    <w:rsid w:val="001763D4"/>
    <w:rsid w:val="00177FA9"/>
    <w:rsid w:val="0018131A"/>
    <w:rsid w:val="0018189E"/>
    <w:rsid w:val="001821C9"/>
    <w:rsid w:val="00182C5D"/>
    <w:rsid w:val="00182DDA"/>
    <w:rsid w:val="00184202"/>
    <w:rsid w:val="001856FC"/>
    <w:rsid w:val="00185BF1"/>
    <w:rsid w:val="00186F6E"/>
    <w:rsid w:val="00187DD4"/>
    <w:rsid w:val="00191576"/>
    <w:rsid w:val="001929A4"/>
    <w:rsid w:val="001931B8"/>
    <w:rsid w:val="00193329"/>
    <w:rsid w:val="00194E65"/>
    <w:rsid w:val="00195C68"/>
    <w:rsid w:val="00195D02"/>
    <w:rsid w:val="00197268"/>
    <w:rsid w:val="001977C2"/>
    <w:rsid w:val="0019782D"/>
    <w:rsid w:val="00197A05"/>
    <w:rsid w:val="00197BF4"/>
    <w:rsid w:val="00197DE4"/>
    <w:rsid w:val="001A10E3"/>
    <w:rsid w:val="001A1AA9"/>
    <w:rsid w:val="001A2F13"/>
    <w:rsid w:val="001A2F41"/>
    <w:rsid w:val="001A30A8"/>
    <w:rsid w:val="001A42F9"/>
    <w:rsid w:val="001A462E"/>
    <w:rsid w:val="001A5B53"/>
    <w:rsid w:val="001A6C4F"/>
    <w:rsid w:val="001A763C"/>
    <w:rsid w:val="001A796B"/>
    <w:rsid w:val="001B11E4"/>
    <w:rsid w:val="001B15DB"/>
    <w:rsid w:val="001B19DC"/>
    <w:rsid w:val="001B2392"/>
    <w:rsid w:val="001B24CD"/>
    <w:rsid w:val="001B3A3F"/>
    <w:rsid w:val="001B497E"/>
    <w:rsid w:val="001B51F2"/>
    <w:rsid w:val="001B5A8F"/>
    <w:rsid w:val="001B5D61"/>
    <w:rsid w:val="001B6282"/>
    <w:rsid w:val="001B662D"/>
    <w:rsid w:val="001B68A4"/>
    <w:rsid w:val="001B6F0E"/>
    <w:rsid w:val="001B767D"/>
    <w:rsid w:val="001B7709"/>
    <w:rsid w:val="001C044D"/>
    <w:rsid w:val="001C352D"/>
    <w:rsid w:val="001C354F"/>
    <w:rsid w:val="001C45CA"/>
    <w:rsid w:val="001C530C"/>
    <w:rsid w:val="001C6379"/>
    <w:rsid w:val="001C69B7"/>
    <w:rsid w:val="001D54C4"/>
    <w:rsid w:val="001D5983"/>
    <w:rsid w:val="001D7712"/>
    <w:rsid w:val="001D7876"/>
    <w:rsid w:val="001E0A53"/>
    <w:rsid w:val="001E103F"/>
    <w:rsid w:val="001E10F8"/>
    <w:rsid w:val="001E2544"/>
    <w:rsid w:val="001E3B63"/>
    <w:rsid w:val="001E4B1D"/>
    <w:rsid w:val="001E569A"/>
    <w:rsid w:val="001E7099"/>
    <w:rsid w:val="001F037D"/>
    <w:rsid w:val="001F0AC2"/>
    <w:rsid w:val="001F1846"/>
    <w:rsid w:val="001F2A53"/>
    <w:rsid w:val="001F37E1"/>
    <w:rsid w:val="001F5A1D"/>
    <w:rsid w:val="001F6D06"/>
    <w:rsid w:val="001F6D5F"/>
    <w:rsid w:val="001F6FEF"/>
    <w:rsid w:val="001F714B"/>
    <w:rsid w:val="001F74F4"/>
    <w:rsid w:val="001F7F69"/>
    <w:rsid w:val="00201CC4"/>
    <w:rsid w:val="00202780"/>
    <w:rsid w:val="00202A38"/>
    <w:rsid w:val="00203045"/>
    <w:rsid w:val="00204C38"/>
    <w:rsid w:val="00205240"/>
    <w:rsid w:val="00205BD1"/>
    <w:rsid w:val="00206553"/>
    <w:rsid w:val="00206A68"/>
    <w:rsid w:val="002071C0"/>
    <w:rsid w:val="002103C2"/>
    <w:rsid w:val="00210832"/>
    <w:rsid w:val="00211055"/>
    <w:rsid w:val="0021116B"/>
    <w:rsid w:val="00211CDD"/>
    <w:rsid w:val="002135C9"/>
    <w:rsid w:val="0021424A"/>
    <w:rsid w:val="00215AAC"/>
    <w:rsid w:val="00216647"/>
    <w:rsid w:val="00220DA9"/>
    <w:rsid w:val="00222624"/>
    <w:rsid w:val="0022292B"/>
    <w:rsid w:val="002237D3"/>
    <w:rsid w:val="00223DEF"/>
    <w:rsid w:val="00224215"/>
    <w:rsid w:val="002242EB"/>
    <w:rsid w:val="0022434A"/>
    <w:rsid w:val="00225076"/>
    <w:rsid w:val="002274CE"/>
    <w:rsid w:val="00227980"/>
    <w:rsid w:val="00227AEC"/>
    <w:rsid w:val="00233848"/>
    <w:rsid w:val="00234BCB"/>
    <w:rsid w:val="0023724F"/>
    <w:rsid w:val="00237F5C"/>
    <w:rsid w:val="00240624"/>
    <w:rsid w:val="0024102F"/>
    <w:rsid w:val="00241162"/>
    <w:rsid w:val="00241354"/>
    <w:rsid w:val="00241508"/>
    <w:rsid w:val="0024173E"/>
    <w:rsid w:val="00242003"/>
    <w:rsid w:val="0024221F"/>
    <w:rsid w:val="002438C3"/>
    <w:rsid w:val="0024444C"/>
    <w:rsid w:val="00244760"/>
    <w:rsid w:val="002506FF"/>
    <w:rsid w:val="00252151"/>
    <w:rsid w:val="00253224"/>
    <w:rsid w:val="0025572F"/>
    <w:rsid w:val="002579CC"/>
    <w:rsid w:val="00257DAA"/>
    <w:rsid w:val="00260640"/>
    <w:rsid w:val="002621FF"/>
    <w:rsid w:val="0026289A"/>
    <w:rsid w:val="00262AE7"/>
    <w:rsid w:val="00266B05"/>
    <w:rsid w:val="0027064B"/>
    <w:rsid w:val="0027216E"/>
    <w:rsid w:val="00272666"/>
    <w:rsid w:val="00275866"/>
    <w:rsid w:val="00275D8D"/>
    <w:rsid w:val="00276158"/>
    <w:rsid w:val="0027679A"/>
    <w:rsid w:val="00280309"/>
    <w:rsid w:val="00280C1B"/>
    <w:rsid w:val="00281B17"/>
    <w:rsid w:val="00282437"/>
    <w:rsid w:val="002837C8"/>
    <w:rsid w:val="002839A8"/>
    <w:rsid w:val="00283A6D"/>
    <w:rsid w:val="00285BEE"/>
    <w:rsid w:val="00287BC9"/>
    <w:rsid w:val="00287EA9"/>
    <w:rsid w:val="002902B9"/>
    <w:rsid w:val="00290479"/>
    <w:rsid w:val="00291658"/>
    <w:rsid w:val="0029227C"/>
    <w:rsid w:val="00293185"/>
    <w:rsid w:val="0029331C"/>
    <w:rsid w:val="00293D3D"/>
    <w:rsid w:val="00294B2B"/>
    <w:rsid w:val="00295D62"/>
    <w:rsid w:val="00295DEC"/>
    <w:rsid w:val="002A0E60"/>
    <w:rsid w:val="002A1914"/>
    <w:rsid w:val="002A1EC6"/>
    <w:rsid w:val="002A2928"/>
    <w:rsid w:val="002A3CE7"/>
    <w:rsid w:val="002A5759"/>
    <w:rsid w:val="002A7645"/>
    <w:rsid w:val="002B0ACC"/>
    <w:rsid w:val="002B2394"/>
    <w:rsid w:val="002B2F01"/>
    <w:rsid w:val="002B482A"/>
    <w:rsid w:val="002B5D17"/>
    <w:rsid w:val="002B7323"/>
    <w:rsid w:val="002B7A4A"/>
    <w:rsid w:val="002B7FF5"/>
    <w:rsid w:val="002C1C7E"/>
    <w:rsid w:val="002C2976"/>
    <w:rsid w:val="002C31E1"/>
    <w:rsid w:val="002C3EA8"/>
    <w:rsid w:val="002C44DA"/>
    <w:rsid w:val="002C46DC"/>
    <w:rsid w:val="002C4F1C"/>
    <w:rsid w:val="002C5BE2"/>
    <w:rsid w:val="002C5D2E"/>
    <w:rsid w:val="002D323D"/>
    <w:rsid w:val="002D3772"/>
    <w:rsid w:val="002D3E0F"/>
    <w:rsid w:val="002D3E23"/>
    <w:rsid w:val="002D5603"/>
    <w:rsid w:val="002D5F04"/>
    <w:rsid w:val="002D5FF4"/>
    <w:rsid w:val="002D693D"/>
    <w:rsid w:val="002E06BE"/>
    <w:rsid w:val="002E1B62"/>
    <w:rsid w:val="002E1EE9"/>
    <w:rsid w:val="002E2A75"/>
    <w:rsid w:val="002E3595"/>
    <w:rsid w:val="002E3955"/>
    <w:rsid w:val="002E4D47"/>
    <w:rsid w:val="002E51FF"/>
    <w:rsid w:val="002F068D"/>
    <w:rsid w:val="002F08B8"/>
    <w:rsid w:val="002F0FB0"/>
    <w:rsid w:val="002F15B7"/>
    <w:rsid w:val="002F3358"/>
    <w:rsid w:val="002F3AC5"/>
    <w:rsid w:val="002F3C90"/>
    <w:rsid w:val="002F5398"/>
    <w:rsid w:val="002F5DF0"/>
    <w:rsid w:val="002F5F40"/>
    <w:rsid w:val="002F6FC5"/>
    <w:rsid w:val="00304F24"/>
    <w:rsid w:val="003061A4"/>
    <w:rsid w:val="00306A3D"/>
    <w:rsid w:val="0030747F"/>
    <w:rsid w:val="00307F2D"/>
    <w:rsid w:val="0031031D"/>
    <w:rsid w:val="0031086C"/>
    <w:rsid w:val="00311C05"/>
    <w:rsid w:val="00312825"/>
    <w:rsid w:val="00312E8B"/>
    <w:rsid w:val="00314F07"/>
    <w:rsid w:val="00315991"/>
    <w:rsid w:val="00316E47"/>
    <w:rsid w:val="0031721C"/>
    <w:rsid w:val="003175EF"/>
    <w:rsid w:val="003200B3"/>
    <w:rsid w:val="00320209"/>
    <w:rsid w:val="00321C62"/>
    <w:rsid w:val="003237F9"/>
    <w:rsid w:val="00323DEA"/>
    <w:rsid w:val="00325073"/>
    <w:rsid w:val="003254BB"/>
    <w:rsid w:val="003276DF"/>
    <w:rsid w:val="00327AE2"/>
    <w:rsid w:val="003302B7"/>
    <w:rsid w:val="00332B5D"/>
    <w:rsid w:val="003335A3"/>
    <w:rsid w:val="00334B79"/>
    <w:rsid w:val="0033582A"/>
    <w:rsid w:val="00337644"/>
    <w:rsid w:val="00337FBE"/>
    <w:rsid w:val="00341B1B"/>
    <w:rsid w:val="00341DB0"/>
    <w:rsid w:val="00342BB6"/>
    <w:rsid w:val="003437EE"/>
    <w:rsid w:val="00344D92"/>
    <w:rsid w:val="003466CA"/>
    <w:rsid w:val="00347011"/>
    <w:rsid w:val="00350635"/>
    <w:rsid w:val="00351893"/>
    <w:rsid w:val="00351D4D"/>
    <w:rsid w:val="003531D7"/>
    <w:rsid w:val="003568D2"/>
    <w:rsid w:val="003604C6"/>
    <w:rsid w:val="0036201A"/>
    <w:rsid w:val="00364050"/>
    <w:rsid w:val="00364495"/>
    <w:rsid w:val="00364AA7"/>
    <w:rsid w:val="00364BD5"/>
    <w:rsid w:val="00364CAA"/>
    <w:rsid w:val="00364E1B"/>
    <w:rsid w:val="00365E04"/>
    <w:rsid w:val="0037006C"/>
    <w:rsid w:val="00371CE0"/>
    <w:rsid w:val="003742DE"/>
    <w:rsid w:val="003749C0"/>
    <w:rsid w:val="00375718"/>
    <w:rsid w:val="0037663C"/>
    <w:rsid w:val="00376B0F"/>
    <w:rsid w:val="003773A0"/>
    <w:rsid w:val="00381E91"/>
    <w:rsid w:val="003825A8"/>
    <w:rsid w:val="003826E2"/>
    <w:rsid w:val="00385DB3"/>
    <w:rsid w:val="003875CB"/>
    <w:rsid w:val="00390E55"/>
    <w:rsid w:val="003934B5"/>
    <w:rsid w:val="003934C0"/>
    <w:rsid w:val="00393C29"/>
    <w:rsid w:val="00393E8D"/>
    <w:rsid w:val="0039446F"/>
    <w:rsid w:val="00394810"/>
    <w:rsid w:val="00396709"/>
    <w:rsid w:val="00396AD4"/>
    <w:rsid w:val="00396C43"/>
    <w:rsid w:val="00396D2A"/>
    <w:rsid w:val="003976C2"/>
    <w:rsid w:val="003A0ABA"/>
    <w:rsid w:val="003A2A1F"/>
    <w:rsid w:val="003A2C6D"/>
    <w:rsid w:val="003A4092"/>
    <w:rsid w:val="003A574E"/>
    <w:rsid w:val="003A6972"/>
    <w:rsid w:val="003B10C4"/>
    <w:rsid w:val="003B19F3"/>
    <w:rsid w:val="003B1A65"/>
    <w:rsid w:val="003B27BE"/>
    <w:rsid w:val="003B3AFD"/>
    <w:rsid w:val="003B3C66"/>
    <w:rsid w:val="003B413D"/>
    <w:rsid w:val="003B4162"/>
    <w:rsid w:val="003B486E"/>
    <w:rsid w:val="003B71D5"/>
    <w:rsid w:val="003C0248"/>
    <w:rsid w:val="003C1E54"/>
    <w:rsid w:val="003D1635"/>
    <w:rsid w:val="003D1786"/>
    <w:rsid w:val="003D3467"/>
    <w:rsid w:val="003D3757"/>
    <w:rsid w:val="003D3C1D"/>
    <w:rsid w:val="003D5037"/>
    <w:rsid w:val="003D55B9"/>
    <w:rsid w:val="003D79F2"/>
    <w:rsid w:val="003D7D0D"/>
    <w:rsid w:val="003E0A86"/>
    <w:rsid w:val="003E0F97"/>
    <w:rsid w:val="003E1F4B"/>
    <w:rsid w:val="003E33A7"/>
    <w:rsid w:val="003E3960"/>
    <w:rsid w:val="003E3EAC"/>
    <w:rsid w:val="003E3F35"/>
    <w:rsid w:val="003E49EC"/>
    <w:rsid w:val="003E4E4D"/>
    <w:rsid w:val="003E5C4D"/>
    <w:rsid w:val="003E5E1A"/>
    <w:rsid w:val="003E642D"/>
    <w:rsid w:val="003E655F"/>
    <w:rsid w:val="003E76C3"/>
    <w:rsid w:val="003F05FD"/>
    <w:rsid w:val="003F0636"/>
    <w:rsid w:val="003F3558"/>
    <w:rsid w:val="003F37BC"/>
    <w:rsid w:val="003F3F63"/>
    <w:rsid w:val="003F4CB3"/>
    <w:rsid w:val="003F519E"/>
    <w:rsid w:val="003F5D66"/>
    <w:rsid w:val="003F6589"/>
    <w:rsid w:val="003F693F"/>
    <w:rsid w:val="00401160"/>
    <w:rsid w:val="00402DF2"/>
    <w:rsid w:val="00403379"/>
    <w:rsid w:val="004033F1"/>
    <w:rsid w:val="00403D13"/>
    <w:rsid w:val="004049E6"/>
    <w:rsid w:val="00404ABF"/>
    <w:rsid w:val="004056F6"/>
    <w:rsid w:val="0040705E"/>
    <w:rsid w:val="00407C10"/>
    <w:rsid w:val="004104D1"/>
    <w:rsid w:val="00411735"/>
    <w:rsid w:val="00411EAF"/>
    <w:rsid w:val="00412C5B"/>
    <w:rsid w:val="00413999"/>
    <w:rsid w:val="00413D9E"/>
    <w:rsid w:val="0041440C"/>
    <w:rsid w:val="00414F2F"/>
    <w:rsid w:val="00415844"/>
    <w:rsid w:val="004160D5"/>
    <w:rsid w:val="004167C0"/>
    <w:rsid w:val="00417C9A"/>
    <w:rsid w:val="00417D2C"/>
    <w:rsid w:val="0042191E"/>
    <w:rsid w:val="00421D9F"/>
    <w:rsid w:val="004221F1"/>
    <w:rsid w:val="00422A1F"/>
    <w:rsid w:val="00423446"/>
    <w:rsid w:val="00423DA3"/>
    <w:rsid w:val="004245BC"/>
    <w:rsid w:val="0043072A"/>
    <w:rsid w:val="00430A94"/>
    <w:rsid w:val="00430CDC"/>
    <w:rsid w:val="0043183B"/>
    <w:rsid w:val="00433AE0"/>
    <w:rsid w:val="00433EFB"/>
    <w:rsid w:val="00433FEC"/>
    <w:rsid w:val="00434B8F"/>
    <w:rsid w:val="004352C1"/>
    <w:rsid w:val="00436097"/>
    <w:rsid w:val="00436F69"/>
    <w:rsid w:val="00437C76"/>
    <w:rsid w:val="00440789"/>
    <w:rsid w:val="00441174"/>
    <w:rsid w:val="00442358"/>
    <w:rsid w:val="00443CB3"/>
    <w:rsid w:val="004444CA"/>
    <w:rsid w:val="00445C59"/>
    <w:rsid w:val="004468B9"/>
    <w:rsid w:val="004472F6"/>
    <w:rsid w:val="004479C9"/>
    <w:rsid w:val="00447A91"/>
    <w:rsid w:val="00447D48"/>
    <w:rsid w:val="00450ACD"/>
    <w:rsid w:val="00452032"/>
    <w:rsid w:val="00452171"/>
    <w:rsid w:val="004530F5"/>
    <w:rsid w:val="00455DC4"/>
    <w:rsid w:val="00455DE2"/>
    <w:rsid w:val="004565CE"/>
    <w:rsid w:val="00457161"/>
    <w:rsid w:val="004575FF"/>
    <w:rsid w:val="00457785"/>
    <w:rsid w:val="00457F08"/>
    <w:rsid w:val="00457F57"/>
    <w:rsid w:val="0046012B"/>
    <w:rsid w:val="00462A5A"/>
    <w:rsid w:val="00462C73"/>
    <w:rsid w:val="00464C31"/>
    <w:rsid w:val="004656BD"/>
    <w:rsid w:val="00465733"/>
    <w:rsid w:val="00467079"/>
    <w:rsid w:val="00470503"/>
    <w:rsid w:val="00470F32"/>
    <w:rsid w:val="00470F83"/>
    <w:rsid w:val="00472755"/>
    <w:rsid w:val="00473407"/>
    <w:rsid w:val="004736AE"/>
    <w:rsid w:val="004739A1"/>
    <w:rsid w:val="00473A3C"/>
    <w:rsid w:val="004740A5"/>
    <w:rsid w:val="00475079"/>
    <w:rsid w:val="004774EF"/>
    <w:rsid w:val="00481D84"/>
    <w:rsid w:val="0048218E"/>
    <w:rsid w:val="00483BA6"/>
    <w:rsid w:val="004840D0"/>
    <w:rsid w:val="00484BF3"/>
    <w:rsid w:val="00485FF2"/>
    <w:rsid w:val="00486DE6"/>
    <w:rsid w:val="00490A47"/>
    <w:rsid w:val="00490E58"/>
    <w:rsid w:val="004913AF"/>
    <w:rsid w:val="0049417D"/>
    <w:rsid w:val="004973A9"/>
    <w:rsid w:val="004A0B68"/>
    <w:rsid w:val="004A0EB9"/>
    <w:rsid w:val="004A3484"/>
    <w:rsid w:val="004A3E04"/>
    <w:rsid w:val="004A4D56"/>
    <w:rsid w:val="004A62A6"/>
    <w:rsid w:val="004A695E"/>
    <w:rsid w:val="004A718E"/>
    <w:rsid w:val="004A7BAD"/>
    <w:rsid w:val="004B0419"/>
    <w:rsid w:val="004B05E9"/>
    <w:rsid w:val="004B0955"/>
    <w:rsid w:val="004B2D6E"/>
    <w:rsid w:val="004B4240"/>
    <w:rsid w:val="004B5D49"/>
    <w:rsid w:val="004B7048"/>
    <w:rsid w:val="004C1A43"/>
    <w:rsid w:val="004C1E71"/>
    <w:rsid w:val="004C21C7"/>
    <w:rsid w:val="004C38B2"/>
    <w:rsid w:val="004C3E78"/>
    <w:rsid w:val="004C40D1"/>
    <w:rsid w:val="004C5F20"/>
    <w:rsid w:val="004C6288"/>
    <w:rsid w:val="004C707F"/>
    <w:rsid w:val="004C7F0C"/>
    <w:rsid w:val="004D056F"/>
    <w:rsid w:val="004D0E87"/>
    <w:rsid w:val="004D331C"/>
    <w:rsid w:val="004D3CA1"/>
    <w:rsid w:val="004D429F"/>
    <w:rsid w:val="004D501D"/>
    <w:rsid w:val="004D5E63"/>
    <w:rsid w:val="004D6347"/>
    <w:rsid w:val="004D6BB9"/>
    <w:rsid w:val="004E07EA"/>
    <w:rsid w:val="004E0A1D"/>
    <w:rsid w:val="004E0C74"/>
    <w:rsid w:val="004E0D8F"/>
    <w:rsid w:val="004E0E07"/>
    <w:rsid w:val="004E4C57"/>
    <w:rsid w:val="004E57AE"/>
    <w:rsid w:val="004E7BE0"/>
    <w:rsid w:val="004F0A67"/>
    <w:rsid w:val="004F1966"/>
    <w:rsid w:val="004F1B17"/>
    <w:rsid w:val="004F33B1"/>
    <w:rsid w:val="004F415C"/>
    <w:rsid w:val="004F423F"/>
    <w:rsid w:val="004F68A7"/>
    <w:rsid w:val="004F6C69"/>
    <w:rsid w:val="004F7117"/>
    <w:rsid w:val="004F7ADA"/>
    <w:rsid w:val="0050025E"/>
    <w:rsid w:val="00500500"/>
    <w:rsid w:val="0050099E"/>
    <w:rsid w:val="00501097"/>
    <w:rsid w:val="00501EB2"/>
    <w:rsid w:val="0050276F"/>
    <w:rsid w:val="0050342F"/>
    <w:rsid w:val="005037FB"/>
    <w:rsid w:val="00503D0B"/>
    <w:rsid w:val="0050473E"/>
    <w:rsid w:val="00507C34"/>
    <w:rsid w:val="00507DAB"/>
    <w:rsid w:val="00507F20"/>
    <w:rsid w:val="005100EE"/>
    <w:rsid w:val="00510470"/>
    <w:rsid w:val="00510C22"/>
    <w:rsid w:val="005114FF"/>
    <w:rsid w:val="005115BB"/>
    <w:rsid w:val="00512D14"/>
    <w:rsid w:val="00512D7E"/>
    <w:rsid w:val="00513ABD"/>
    <w:rsid w:val="00515A51"/>
    <w:rsid w:val="00515A68"/>
    <w:rsid w:val="00521575"/>
    <w:rsid w:val="00522172"/>
    <w:rsid w:val="00522340"/>
    <w:rsid w:val="00523624"/>
    <w:rsid w:val="005240D4"/>
    <w:rsid w:val="005241DF"/>
    <w:rsid w:val="0052455C"/>
    <w:rsid w:val="00524AC3"/>
    <w:rsid w:val="00524CFF"/>
    <w:rsid w:val="005250D7"/>
    <w:rsid w:val="0052597B"/>
    <w:rsid w:val="00525BC8"/>
    <w:rsid w:val="00525F22"/>
    <w:rsid w:val="00526B41"/>
    <w:rsid w:val="00527570"/>
    <w:rsid w:val="00527893"/>
    <w:rsid w:val="00527EB2"/>
    <w:rsid w:val="00530098"/>
    <w:rsid w:val="00531D5E"/>
    <w:rsid w:val="00532246"/>
    <w:rsid w:val="0053295B"/>
    <w:rsid w:val="0053373E"/>
    <w:rsid w:val="00533816"/>
    <w:rsid w:val="00533837"/>
    <w:rsid w:val="00533C2F"/>
    <w:rsid w:val="00533C77"/>
    <w:rsid w:val="00536B61"/>
    <w:rsid w:val="00536C68"/>
    <w:rsid w:val="00537240"/>
    <w:rsid w:val="0054179C"/>
    <w:rsid w:val="0054181D"/>
    <w:rsid w:val="00541B41"/>
    <w:rsid w:val="005424DE"/>
    <w:rsid w:val="00544BF2"/>
    <w:rsid w:val="00546151"/>
    <w:rsid w:val="0054624A"/>
    <w:rsid w:val="005469EF"/>
    <w:rsid w:val="00546A68"/>
    <w:rsid w:val="00546B7B"/>
    <w:rsid w:val="0054709A"/>
    <w:rsid w:val="0055149B"/>
    <w:rsid w:val="005531C9"/>
    <w:rsid w:val="005548C1"/>
    <w:rsid w:val="00554E67"/>
    <w:rsid w:val="00555629"/>
    <w:rsid w:val="005566FE"/>
    <w:rsid w:val="00556B9F"/>
    <w:rsid w:val="0055730E"/>
    <w:rsid w:val="005604E8"/>
    <w:rsid w:val="00560EF6"/>
    <w:rsid w:val="00561615"/>
    <w:rsid w:val="00561D6D"/>
    <w:rsid w:val="00562426"/>
    <w:rsid w:val="005636D9"/>
    <w:rsid w:val="00563DA4"/>
    <w:rsid w:val="00563F23"/>
    <w:rsid w:val="005649A9"/>
    <w:rsid w:val="00565C6E"/>
    <w:rsid w:val="00566EB9"/>
    <w:rsid w:val="00567841"/>
    <w:rsid w:val="005714F3"/>
    <w:rsid w:val="00572C73"/>
    <w:rsid w:val="005737F3"/>
    <w:rsid w:val="00573E82"/>
    <w:rsid w:val="0057514E"/>
    <w:rsid w:val="005754EF"/>
    <w:rsid w:val="0057582B"/>
    <w:rsid w:val="00581142"/>
    <w:rsid w:val="005813D4"/>
    <w:rsid w:val="0058199F"/>
    <w:rsid w:val="005824EB"/>
    <w:rsid w:val="00582636"/>
    <w:rsid w:val="00582FB9"/>
    <w:rsid w:val="0058347A"/>
    <w:rsid w:val="00584D83"/>
    <w:rsid w:val="00587DD0"/>
    <w:rsid w:val="00590242"/>
    <w:rsid w:val="00591794"/>
    <w:rsid w:val="00591DC4"/>
    <w:rsid w:val="00592387"/>
    <w:rsid w:val="00592634"/>
    <w:rsid w:val="00594862"/>
    <w:rsid w:val="00595984"/>
    <w:rsid w:val="00597885"/>
    <w:rsid w:val="00597C66"/>
    <w:rsid w:val="005A0BE9"/>
    <w:rsid w:val="005A12DF"/>
    <w:rsid w:val="005A24DF"/>
    <w:rsid w:val="005A296E"/>
    <w:rsid w:val="005A2DD1"/>
    <w:rsid w:val="005A52BA"/>
    <w:rsid w:val="005A5C56"/>
    <w:rsid w:val="005A6112"/>
    <w:rsid w:val="005A6D66"/>
    <w:rsid w:val="005A6FF6"/>
    <w:rsid w:val="005A7542"/>
    <w:rsid w:val="005A79B3"/>
    <w:rsid w:val="005A7EBE"/>
    <w:rsid w:val="005B396E"/>
    <w:rsid w:val="005B4438"/>
    <w:rsid w:val="005B5872"/>
    <w:rsid w:val="005B6B5C"/>
    <w:rsid w:val="005C0173"/>
    <w:rsid w:val="005C0DDE"/>
    <w:rsid w:val="005C1B69"/>
    <w:rsid w:val="005C2BB0"/>
    <w:rsid w:val="005C2BBF"/>
    <w:rsid w:val="005C2FDB"/>
    <w:rsid w:val="005C34E8"/>
    <w:rsid w:val="005C43E3"/>
    <w:rsid w:val="005D1FA3"/>
    <w:rsid w:val="005D48F0"/>
    <w:rsid w:val="005D57E1"/>
    <w:rsid w:val="005D669D"/>
    <w:rsid w:val="005D735E"/>
    <w:rsid w:val="005E018E"/>
    <w:rsid w:val="005E405E"/>
    <w:rsid w:val="005E4407"/>
    <w:rsid w:val="005E4EB7"/>
    <w:rsid w:val="005E501F"/>
    <w:rsid w:val="005E5306"/>
    <w:rsid w:val="005E61DB"/>
    <w:rsid w:val="005E6732"/>
    <w:rsid w:val="005E6C91"/>
    <w:rsid w:val="005E797A"/>
    <w:rsid w:val="005E7F01"/>
    <w:rsid w:val="005F0457"/>
    <w:rsid w:val="005F0A68"/>
    <w:rsid w:val="005F0E66"/>
    <w:rsid w:val="005F1D72"/>
    <w:rsid w:val="005F3680"/>
    <w:rsid w:val="005F400C"/>
    <w:rsid w:val="005F45D1"/>
    <w:rsid w:val="005F5454"/>
    <w:rsid w:val="005F5B3F"/>
    <w:rsid w:val="005F6120"/>
    <w:rsid w:val="005F6BEE"/>
    <w:rsid w:val="005F7300"/>
    <w:rsid w:val="005F74BE"/>
    <w:rsid w:val="005F79F4"/>
    <w:rsid w:val="005F7C08"/>
    <w:rsid w:val="00600F00"/>
    <w:rsid w:val="00601D4C"/>
    <w:rsid w:val="006022DC"/>
    <w:rsid w:val="00603208"/>
    <w:rsid w:val="00604D43"/>
    <w:rsid w:val="006066A1"/>
    <w:rsid w:val="006075E3"/>
    <w:rsid w:val="0061144E"/>
    <w:rsid w:val="00611B1C"/>
    <w:rsid w:val="00611F54"/>
    <w:rsid w:val="0061314A"/>
    <w:rsid w:val="006134AE"/>
    <w:rsid w:val="00614646"/>
    <w:rsid w:val="006148EE"/>
    <w:rsid w:val="00615D39"/>
    <w:rsid w:val="00615F34"/>
    <w:rsid w:val="00616947"/>
    <w:rsid w:val="00617A1A"/>
    <w:rsid w:val="0062007A"/>
    <w:rsid w:val="006209B2"/>
    <w:rsid w:val="00621DFF"/>
    <w:rsid w:val="0062238A"/>
    <w:rsid w:val="0062359D"/>
    <w:rsid w:val="00623F8A"/>
    <w:rsid w:val="006253F2"/>
    <w:rsid w:val="00625CCD"/>
    <w:rsid w:val="00632A2A"/>
    <w:rsid w:val="006331F6"/>
    <w:rsid w:val="00633660"/>
    <w:rsid w:val="006341E1"/>
    <w:rsid w:val="0063450F"/>
    <w:rsid w:val="00636871"/>
    <w:rsid w:val="00637CA2"/>
    <w:rsid w:val="006409EA"/>
    <w:rsid w:val="0064144D"/>
    <w:rsid w:val="006432E5"/>
    <w:rsid w:val="006442ED"/>
    <w:rsid w:val="006443C8"/>
    <w:rsid w:val="006467F3"/>
    <w:rsid w:val="00647256"/>
    <w:rsid w:val="00651E4D"/>
    <w:rsid w:val="00652263"/>
    <w:rsid w:val="006529BE"/>
    <w:rsid w:val="006536A8"/>
    <w:rsid w:val="00655D14"/>
    <w:rsid w:val="00656417"/>
    <w:rsid w:val="00656C62"/>
    <w:rsid w:val="00656EBC"/>
    <w:rsid w:val="00657E3C"/>
    <w:rsid w:val="00657EC8"/>
    <w:rsid w:val="006629C6"/>
    <w:rsid w:val="006634F7"/>
    <w:rsid w:val="00663A44"/>
    <w:rsid w:val="00664922"/>
    <w:rsid w:val="006656FF"/>
    <w:rsid w:val="0066580E"/>
    <w:rsid w:val="00665AE2"/>
    <w:rsid w:val="00665F58"/>
    <w:rsid w:val="00666038"/>
    <w:rsid w:val="006661C6"/>
    <w:rsid w:val="00666356"/>
    <w:rsid w:val="00666A82"/>
    <w:rsid w:val="00666AB2"/>
    <w:rsid w:val="00666D93"/>
    <w:rsid w:val="00670BF3"/>
    <w:rsid w:val="006714A9"/>
    <w:rsid w:val="006724B6"/>
    <w:rsid w:val="006747A6"/>
    <w:rsid w:val="00675754"/>
    <w:rsid w:val="006760BD"/>
    <w:rsid w:val="00676D67"/>
    <w:rsid w:val="00676F11"/>
    <w:rsid w:val="00677400"/>
    <w:rsid w:val="0067752B"/>
    <w:rsid w:val="0068193A"/>
    <w:rsid w:val="00682377"/>
    <w:rsid w:val="006833BD"/>
    <w:rsid w:val="00683BE4"/>
    <w:rsid w:val="0068695C"/>
    <w:rsid w:val="00686A80"/>
    <w:rsid w:val="0068756B"/>
    <w:rsid w:val="0068787D"/>
    <w:rsid w:val="00687C65"/>
    <w:rsid w:val="00687F8C"/>
    <w:rsid w:val="00690747"/>
    <w:rsid w:val="0069191A"/>
    <w:rsid w:val="0069191E"/>
    <w:rsid w:val="006921DA"/>
    <w:rsid w:val="006935D1"/>
    <w:rsid w:val="00693DE6"/>
    <w:rsid w:val="00695AB2"/>
    <w:rsid w:val="0069727A"/>
    <w:rsid w:val="006A0A27"/>
    <w:rsid w:val="006A0C44"/>
    <w:rsid w:val="006A0C59"/>
    <w:rsid w:val="006A4CA1"/>
    <w:rsid w:val="006B57E8"/>
    <w:rsid w:val="006B5BB8"/>
    <w:rsid w:val="006B60B3"/>
    <w:rsid w:val="006B7CD2"/>
    <w:rsid w:val="006C21A7"/>
    <w:rsid w:val="006C3467"/>
    <w:rsid w:val="006C5AB9"/>
    <w:rsid w:val="006C6C1D"/>
    <w:rsid w:val="006C6EDC"/>
    <w:rsid w:val="006C6FDC"/>
    <w:rsid w:val="006C76EF"/>
    <w:rsid w:val="006D0CD2"/>
    <w:rsid w:val="006D2BA9"/>
    <w:rsid w:val="006D4821"/>
    <w:rsid w:val="006E0E41"/>
    <w:rsid w:val="006E1AB6"/>
    <w:rsid w:val="006E3260"/>
    <w:rsid w:val="006E388B"/>
    <w:rsid w:val="006E4E7A"/>
    <w:rsid w:val="006E5B50"/>
    <w:rsid w:val="006E6DBD"/>
    <w:rsid w:val="006E7C63"/>
    <w:rsid w:val="006F1D60"/>
    <w:rsid w:val="006F4277"/>
    <w:rsid w:val="006F507B"/>
    <w:rsid w:val="006F5ED9"/>
    <w:rsid w:val="006F652A"/>
    <w:rsid w:val="006F6F1D"/>
    <w:rsid w:val="006F76A2"/>
    <w:rsid w:val="006F7CFF"/>
    <w:rsid w:val="00700465"/>
    <w:rsid w:val="00703951"/>
    <w:rsid w:val="00703D11"/>
    <w:rsid w:val="007059FE"/>
    <w:rsid w:val="00705DC2"/>
    <w:rsid w:val="00705FE3"/>
    <w:rsid w:val="00707465"/>
    <w:rsid w:val="007100A8"/>
    <w:rsid w:val="00714B73"/>
    <w:rsid w:val="00716116"/>
    <w:rsid w:val="007163AC"/>
    <w:rsid w:val="00717FC7"/>
    <w:rsid w:val="00720652"/>
    <w:rsid w:val="00721C58"/>
    <w:rsid w:val="0072208D"/>
    <w:rsid w:val="00723B54"/>
    <w:rsid w:val="00724BBC"/>
    <w:rsid w:val="00724D42"/>
    <w:rsid w:val="00725FE6"/>
    <w:rsid w:val="00726949"/>
    <w:rsid w:val="00727F19"/>
    <w:rsid w:val="0073023E"/>
    <w:rsid w:val="007302CD"/>
    <w:rsid w:val="00730C6E"/>
    <w:rsid w:val="007322E8"/>
    <w:rsid w:val="00733BEB"/>
    <w:rsid w:val="00733E67"/>
    <w:rsid w:val="00734B3A"/>
    <w:rsid w:val="00735877"/>
    <w:rsid w:val="007358F6"/>
    <w:rsid w:val="00735986"/>
    <w:rsid w:val="0073611C"/>
    <w:rsid w:val="00736B62"/>
    <w:rsid w:val="00736C02"/>
    <w:rsid w:val="00736DA3"/>
    <w:rsid w:val="00737DB6"/>
    <w:rsid w:val="00741654"/>
    <w:rsid w:val="0074182E"/>
    <w:rsid w:val="00742D05"/>
    <w:rsid w:val="00742D14"/>
    <w:rsid w:val="007452D7"/>
    <w:rsid w:val="0074693A"/>
    <w:rsid w:val="0074717D"/>
    <w:rsid w:val="00753354"/>
    <w:rsid w:val="007552CF"/>
    <w:rsid w:val="007553D0"/>
    <w:rsid w:val="00755F78"/>
    <w:rsid w:val="0075632C"/>
    <w:rsid w:val="00757310"/>
    <w:rsid w:val="00757475"/>
    <w:rsid w:val="007606F5"/>
    <w:rsid w:val="00762176"/>
    <w:rsid w:val="00762DE4"/>
    <w:rsid w:val="00763165"/>
    <w:rsid w:val="0076342E"/>
    <w:rsid w:val="007636B8"/>
    <w:rsid w:val="007638BD"/>
    <w:rsid w:val="007647C3"/>
    <w:rsid w:val="00764F92"/>
    <w:rsid w:val="0076671E"/>
    <w:rsid w:val="00766A84"/>
    <w:rsid w:val="00767153"/>
    <w:rsid w:val="0076728A"/>
    <w:rsid w:val="00770A03"/>
    <w:rsid w:val="00772A24"/>
    <w:rsid w:val="0077450E"/>
    <w:rsid w:val="00774D9B"/>
    <w:rsid w:val="00777ABB"/>
    <w:rsid w:val="007807BA"/>
    <w:rsid w:val="00780E1B"/>
    <w:rsid w:val="00781923"/>
    <w:rsid w:val="0078350D"/>
    <w:rsid w:val="00783CE7"/>
    <w:rsid w:val="007851F2"/>
    <w:rsid w:val="007860D2"/>
    <w:rsid w:val="00787089"/>
    <w:rsid w:val="00787A62"/>
    <w:rsid w:val="00790D2B"/>
    <w:rsid w:val="00791C37"/>
    <w:rsid w:val="00792102"/>
    <w:rsid w:val="00792EFF"/>
    <w:rsid w:val="0079444B"/>
    <w:rsid w:val="00795AA4"/>
    <w:rsid w:val="0079770D"/>
    <w:rsid w:val="007A15C8"/>
    <w:rsid w:val="007A2427"/>
    <w:rsid w:val="007A4A49"/>
    <w:rsid w:val="007A6795"/>
    <w:rsid w:val="007A7722"/>
    <w:rsid w:val="007B04A2"/>
    <w:rsid w:val="007B07AC"/>
    <w:rsid w:val="007B0B84"/>
    <w:rsid w:val="007B0F5E"/>
    <w:rsid w:val="007B1689"/>
    <w:rsid w:val="007B178F"/>
    <w:rsid w:val="007B317D"/>
    <w:rsid w:val="007B43CE"/>
    <w:rsid w:val="007B57AC"/>
    <w:rsid w:val="007B5A85"/>
    <w:rsid w:val="007B60DD"/>
    <w:rsid w:val="007B617B"/>
    <w:rsid w:val="007B6451"/>
    <w:rsid w:val="007C11F2"/>
    <w:rsid w:val="007C56B6"/>
    <w:rsid w:val="007C5F31"/>
    <w:rsid w:val="007C618C"/>
    <w:rsid w:val="007C6F23"/>
    <w:rsid w:val="007D0B59"/>
    <w:rsid w:val="007D1395"/>
    <w:rsid w:val="007D13E1"/>
    <w:rsid w:val="007D14B3"/>
    <w:rsid w:val="007D1F7D"/>
    <w:rsid w:val="007D200A"/>
    <w:rsid w:val="007D2578"/>
    <w:rsid w:val="007D3C85"/>
    <w:rsid w:val="007D3F0F"/>
    <w:rsid w:val="007D484C"/>
    <w:rsid w:val="007D61D7"/>
    <w:rsid w:val="007E0558"/>
    <w:rsid w:val="007E1B94"/>
    <w:rsid w:val="007E23CA"/>
    <w:rsid w:val="007E31CC"/>
    <w:rsid w:val="007E3709"/>
    <w:rsid w:val="007E48C0"/>
    <w:rsid w:val="007E4E05"/>
    <w:rsid w:val="007E5063"/>
    <w:rsid w:val="007F099B"/>
    <w:rsid w:val="007F0F35"/>
    <w:rsid w:val="007F27EC"/>
    <w:rsid w:val="007F29B4"/>
    <w:rsid w:val="007F4252"/>
    <w:rsid w:val="007F7E7A"/>
    <w:rsid w:val="0080140C"/>
    <w:rsid w:val="008026EA"/>
    <w:rsid w:val="00802ED0"/>
    <w:rsid w:val="008034E1"/>
    <w:rsid w:val="0080426D"/>
    <w:rsid w:val="008043CA"/>
    <w:rsid w:val="00804F0E"/>
    <w:rsid w:val="00806764"/>
    <w:rsid w:val="00807D43"/>
    <w:rsid w:val="00810ADD"/>
    <w:rsid w:val="0081137E"/>
    <w:rsid w:val="00811420"/>
    <w:rsid w:val="00811FA5"/>
    <w:rsid w:val="008126C6"/>
    <w:rsid w:val="00812A84"/>
    <w:rsid w:val="008134F1"/>
    <w:rsid w:val="00814E6A"/>
    <w:rsid w:val="0081543E"/>
    <w:rsid w:val="00815640"/>
    <w:rsid w:val="00817E6C"/>
    <w:rsid w:val="008201C9"/>
    <w:rsid w:val="0082029E"/>
    <w:rsid w:val="00820EA7"/>
    <w:rsid w:val="0082130D"/>
    <w:rsid w:val="008221D9"/>
    <w:rsid w:val="0082288F"/>
    <w:rsid w:val="00827922"/>
    <w:rsid w:val="0082794F"/>
    <w:rsid w:val="00830C0B"/>
    <w:rsid w:val="0083179A"/>
    <w:rsid w:val="0083314E"/>
    <w:rsid w:val="008333EA"/>
    <w:rsid w:val="00834953"/>
    <w:rsid w:val="00834B1E"/>
    <w:rsid w:val="0083765F"/>
    <w:rsid w:val="00840114"/>
    <w:rsid w:val="008418EA"/>
    <w:rsid w:val="00841F7A"/>
    <w:rsid w:val="00842B53"/>
    <w:rsid w:val="00843270"/>
    <w:rsid w:val="00844B3B"/>
    <w:rsid w:val="008450B0"/>
    <w:rsid w:val="00845340"/>
    <w:rsid w:val="008501EE"/>
    <w:rsid w:val="00851AA5"/>
    <w:rsid w:val="008532C9"/>
    <w:rsid w:val="00855265"/>
    <w:rsid w:val="00855A8C"/>
    <w:rsid w:val="008565BE"/>
    <w:rsid w:val="00856B82"/>
    <w:rsid w:val="00856C52"/>
    <w:rsid w:val="00856EBE"/>
    <w:rsid w:val="0085706C"/>
    <w:rsid w:val="0085748B"/>
    <w:rsid w:val="008576E0"/>
    <w:rsid w:val="0086094D"/>
    <w:rsid w:val="00861DE7"/>
    <w:rsid w:val="0086209D"/>
    <w:rsid w:val="008626D9"/>
    <w:rsid w:val="00862EA8"/>
    <w:rsid w:val="00863469"/>
    <w:rsid w:val="0086518E"/>
    <w:rsid w:val="0086685C"/>
    <w:rsid w:val="0086711E"/>
    <w:rsid w:val="00867D59"/>
    <w:rsid w:val="00870DAD"/>
    <w:rsid w:val="00871FE1"/>
    <w:rsid w:val="00873F54"/>
    <w:rsid w:val="00874691"/>
    <w:rsid w:val="0087544C"/>
    <w:rsid w:val="00877B0E"/>
    <w:rsid w:val="00877DEC"/>
    <w:rsid w:val="00880822"/>
    <w:rsid w:val="00880F2D"/>
    <w:rsid w:val="00882871"/>
    <w:rsid w:val="00882C3F"/>
    <w:rsid w:val="00882D9B"/>
    <w:rsid w:val="008836BA"/>
    <w:rsid w:val="00884DE0"/>
    <w:rsid w:val="00890D22"/>
    <w:rsid w:val="008913EC"/>
    <w:rsid w:val="0089223D"/>
    <w:rsid w:val="00892BBB"/>
    <w:rsid w:val="00892C8A"/>
    <w:rsid w:val="0089344D"/>
    <w:rsid w:val="00894BA8"/>
    <w:rsid w:val="00894CE5"/>
    <w:rsid w:val="00896295"/>
    <w:rsid w:val="00896323"/>
    <w:rsid w:val="008966CD"/>
    <w:rsid w:val="00896AA9"/>
    <w:rsid w:val="00897F2F"/>
    <w:rsid w:val="008A3D74"/>
    <w:rsid w:val="008A48B7"/>
    <w:rsid w:val="008A518D"/>
    <w:rsid w:val="008A55BA"/>
    <w:rsid w:val="008A5D04"/>
    <w:rsid w:val="008A664C"/>
    <w:rsid w:val="008A6B97"/>
    <w:rsid w:val="008A6FDC"/>
    <w:rsid w:val="008A76C8"/>
    <w:rsid w:val="008B0F16"/>
    <w:rsid w:val="008B490E"/>
    <w:rsid w:val="008B5B92"/>
    <w:rsid w:val="008B77D9"/>
    <w:rsid w:val="008C01F2"/>
    <w:rsid w:val="008C1A05"/>
    <w:rsid w:val="008C3DB2"/>
    <w:rsid w:val="008C475B"/>
    <w:rsid w:val="008C4DF0"/>
    <w:rsid w:val="008C504D"/>
    <w:rsid w:val="008C7FF2"/>
    <w:rsid w:val="008D140C"/>
    <w:rsid w:val="008D4A27"/>
    <w:rsid w:val="008D4CB5"/>
    <w:rsid w:val="008D511A"/>
    <w:rsid w:val="008D57F2"/>
    <w:rsid w:val="008E0DD0"/>
    <w:rsid w:val="008E4791"/>
    <w:rsid w:val="008E5118"/>
    <w:rsid w:val="008E610A"/>
    <w:rsid w:val="008E71ED"/>
    <w:rsid w:val="008F01B8"/>
    <w:rsid w:val="008F0B99"/>
    <w:rsid w:val="008F2052"/>
    <w:rsid w:val="008F2513"/>
    <w:rsid w:val="008F34F7"/>
    <w:rsid w:val="008F385A"/>
    <w:rsid w:val="008F4427"/>
    <w:rsid w:val="008F4590"/>
    <w:rsid w:val="008F5069"/>
    <w:rsid w:val="008F726E"/>
    <w:rsid w:val="008F7788"/>
    <w:rsid w:val="00900981"/>
    <w:rsid w:val="00901F00"/>
    <w:rsid w:val="00901F17"/>
    <w:rsid w:val="00902DC8"/>
    <w:rsid w:val="00903C4B"/>
    <w:rsid w:val="00904C56"/>
    <w:rsid w:val="00905444"/>
    <w:rsid w:val="0090584C"/>
    <w:rsid w:val="0091067E"/>
    <w:rsid w:val="00912B1D"/>
    <w:rsid w:val="009135E9"/>
    <w:rsid w:val="00915DF1"/>
    <w:rsid w:val="009160E0"/>
    <w:rsid w:val="00916C87"/>
    <w:rsid w:val="009173F3"/>
    <w:rsid w:val="00921EBE"/>
    <w:rsid w:val="0092207F"/>
    <w:rsid w:val="0092244B"/>
    <w:rsid w:val="0092268F"/>
    <w:rsid w:val="00922FFF"/>
    <w:rsid w:val="009230EF"/>
    <w:rsid w:val="00923B4F"/>
    <w:rsid w:val="00923E43"/>
    <w:rsid w:val="00924043"/>
    <w:rsid w:val="00926047"/>
    <w:rsid w:val="009268D6"/>
    <w:rsid w:val="009333A8"/>
    <w:rsid w:val="00933FE3"/>
    <w:rsid w:val="009343FD"/>
    <w:rsid w:val="00934814"/>
    <w:rsid w:val="00934EB1"/>
    <w:rsid w:val="009364A9"/>
    <w:rsid w:val="00936559"/>
    <w:rsid w:val="009367AF"/>
    <w:rsid w:val="009370C1"/>
    <w:rsid w:val="00937182"/>
    <w:rsid w:val="00937D0C"/>
    <w:rsid w:val="0094195B"/>
    <w:rsid w:val="00943519"/>
    <w:rsid w:val="009443C2"/>
    <w:rsid w:val="0094507E"/>
    <w:rsid w:val="0094519C"/>
    <w:rsid w:val="00945B30"/>
    <w:rsid w:val="00947296"/>
    <w:rsid w:val="009500E0"/>
    <w:rsid w:val="00951884"/>
    <w:rsid w:val="009524D6"/>
    <w:rsid w:val="00953BD6"/>
    <w:rsid w:val="0095436A"/>
    <w:rsid w:val="00954D6C"/>
    <w:rsid w:val="00955521"/>
    <w:rsid w:val="009555B6"/>
    <w:rsid w:val="00955753"/>
    <w:rsid w:val="009560C1"/>
    <w:rsid w:val="00956491"/>
    <w:rsid w:val="00956D45"/>
    <w:rsid w:val="0095757D"/>
    <w:rsid w:val="00957726"/>
    <w:rsid w:val="00960470"/>
    <w:rsid w:val="009609FD"/>
    <w:rsid w:val="00960E9D"/>
    <w:rsid w:val="00961DCE"/>
    <w:rsid w:val="009626D8"/>
    <w:rsid w:val="009632C4"/>
    <w:rsid w:val="0096406C"/>
    <w:rsid w:val="0096444A"/>
    <w:rsid w:val="00964AD4"/>
    <w:rsid w:val="009651D9"/>
    <w:rsid w:val="00966DF2"/>
    <w:rsid w:val="00967177"/>
    <w:rsid w:val="00967A84"/>
    <w:rsid w:val="00970541"/>
    <w:rsid w:val="009711BD"/>
    <w:rsid w:val="0097325C"/>
    <w:rsid w:val="00973776"/>
    <w:rsid w:val="00974035"/>
    <w:rsid w:val="00974459"/>
    <w:rsid w:val="00974E69"/>
    <w:rsid w:val="00976698"/>
    <w:rsid w:val="00976E46"/>
    <w:rsid w:val="00977034"/>
    <w:rsid w:val="00977593"/>
    <w:rsid w:val="00977AC7"/>
    <w:rsid w:val="00980DC1"/>
    <w:rsid w:val="00982407"/>
    <w:rsid w:val="00982751"/>
    <w:rsid w:val="00982CC5"/>
    <w:rsid w:val="00984079"/>
    <w:rsid w:val="00984089"/>
    <w:rsid w:val="00984A17"/>
    <w:rsid w:val="00984C04"/>
    <w:rsid w:val="00984E79"/>
    <w:rsid w:val="00985D27"/>
    <w:rsid w:val="00985F4F"/>
    <w:rsid w:val="00986B24"/>
    <w:rsid w:val="00987493"/>
    <w:rsid w:val="00987AA4"/>
    <w:rsid w:val="00987DD0"/>
    <w:rsid w:val="00987E2B"/>
    <w:rsid w:val="00990B2F"/>
    <w:rsid w:val="00990D8B"/>
    <w:rsid w:val="00991AC1"/>
    <w:rsid w:val="00991BB7"/>
    <w:rsid w:val="00992C09"/>
    <w:rsid w:val="009950C6"/>
    <w:rsid w:val="00996BDD"/>
    <w:rsid w:val="00997D60"/>
    <w:rsid w:val="009A02A6"/>
    <w:rsid w:val="009A30CF"/>
    <w:rsid w:val="009A4ED0"/>
    <w:rsid w:val="009A5370"/>
    <w:rsid w:val="009A56EE"/>
    <w:rsid w:val="009A56FA"/>
    <w:rsid w:val="009A597B"/>
    <w:rsid w:val="009A79A9"/>
    <w:rsid w:val="009A7A1C"/>
    <w:rsid w:val="009A7D04"/>
    <w:rsid w:val="009B0D80"/>
    <w:rsid w:val="009B17A8"/>
    <w:rsid w:val="009B1942"/>
    <w:rsid w:val="009B1F5B"/>
    <w:rsid w:val="009B33A4"/>
    <w:rsid w:val="009B3D5B"/>
    <w:rsid w:val="009B40F0"/>
    <w:rsid w:val="009B4260"/>
    <w:rsid w:val="009B67CB"/>
    <w:rsid w:val="009B6F92"/>
    <w:rsid w:val="009B77CC"/>
    <w:rsid w:val="009B7DD6"/>
    <w:rsid w:val="009C1066"/>
    <w:rsid w:val="009C1A7A"/>
    <w:rsid w:val="009C1B57"/>
    <w:rsid w:val="009C22F7"/>
    <w:rsid w:val="009C2FBB"/>
    <w:rsid w:val="009C3543"/>
    <w:rsid w:val="009C37D5"/>
    <w:rsid w:val="009C3E98"/>
    <w:rsid w:val="009C453D"/>
    <w:rsid w:val="009C480A"/>
    <w:rsid w:val="009C530C"/>
    <w:rsid w:val="009C5527"/>
    <w:rsid w:val="009C6B90"/>
    <w:rsid w:val="009C71F6"/>
    <w:rsid w:val="009D0B37"/>
    <w:rsid w:val="009D162B"/>
    <w:rsid w:val="009D1BB0"/>
    <w:rsid w:val="009D253C"/>
    <w:rsid w:val="009D2B89"/>
    <w:rsid w:val="009D53BA"/>
    <w:rsid w:val="009D5A1B"/>
    <w:rsid w:val="009D6DB5"/>
    <w:rsid w:val="009D7339"/>
    <w:rsid w:val="009D7594"/>
    <w:rsid w:val="009E01BA"/>
    <w:rsid w:val="009E0BCE"/>
    <w:rsid w:val="009E2B9C"/>
    <w:rsid w:val="009E30EE"/>
    <w:rsid w:val="009E5747"/>
    <w:rsid w:val="009E5B12"/>
    <w:rsid w:val="009E7574"/>
    <w:rsid w:val="009E7867"/>
    <w:rsid w:val="009E7AB6"/>
    <w:rsid w:val="009F03B7"/>
    <w:rsid w:val="009F179A"/>
    <w:rsid w:val="009F2203"/>
    <w:rsid w:val="009F3DD9"/>
    <w:rsid w:val="009F45C6"/>
    <w:rsid w:val="009F4E34"/>
    <w:rsid w:val="009F5189"/>
    <w:rsid w:val="009F73FB"/>
    <w:rsid w:val="009F7AF8"/>
    <w:rsid w:val="00A0124C"/>
    <w:rsid w:val="00A014AD"/>
    <w:rsid w:val="00A01A9D"/>
    <w:rsid w:val="00A020B5"/>
    <w:rsid w:val="00A02C42"/>
    <w:rsid w:val="00A034D8"/>
    <w:rsid w:val="00A07AB7"/>
    <w:rsid w:val="00A07E0A"/>
    <w:rsid w:val="00A07F47"/>
    <w:rsid w:val="00A11565"/>
    <w:rsid w:val="00A13F4B"/>
    <w:rsid w:val="00A145FC"/>
    <w:rsid w:val="00A17DD0"/>
    <w:rsid w:val="00A20A68"/>
    <w:rsid w:val="00A20CC4"/>
    <w:rsid w:val="00A23F58"/>
    <w:rsid w:val="00A25ABD"/>
    <w:rsid w:val="00A25EC9"/>
    <w:rsid w:val="00A26D5E"/>
    <w:rsid w:val="00A3095E"/>
    <w:rsid w:val="00A3241D"/>
    <w:rsid w:val="00A3329A"/>
    <w:rsid w:val="00A3351E"/>
    <w:rsid w:val="00A33B23"/>
    <w:rsid w:val="00A34785"/>
    <w:rsid w:val="00A35D87"/>
    <w:rsid w:val="00A35E85"/>
    <w:rsid w:val="00A37897"/>
    <w:rsid w:val="00A37F24"/>
    <w:rsid w:val="00A401D2"/>
    <w:rsid w:val="00A41E61"/>
    <w:rsid w:val="00A42ABD"/>
    <w:rsid w:val="00A4399E"/>
    <w:rsid w:val="00A43E52"/>
    <w:rsid w:val="00A459B3"/>
    <w:rsid w:val="00A45ADB"/>
    <w:rsid w:val="00A45DD8"/>
    <w:rsid w:val="00A460E4"/>
    <w:rsid w:val="00A47D16"/>
    <w:rsid w:val="00A50137"/>
    <w:rsid w:val="00A507EA"/>
    <w:rsid w:val="00A51553"/>
    <w:rsid w:val="00A516AB"/>
    <w:rsid w:val="00A51E72"/>
    <w:rsid w:val="00A52274"/>
    <w:rsid w:val="00A52562"/>
    <w:rsid w:val="00A52A20"/>
    <w:rsid w:val="00A52B06"/>
    <w:rsid w:val="00A52E89"/>
    <w:rsid w:val="00A52F8C"/>
    <w:rsid w:val="00A54724"/>
    <w:rsid w:val="00A54F76"/>
    <w:rsid w:val="00A55C43"/>
    <w:rsid w:val="00A55C78"/>
    <w:rsid w:val="00A578BA"/>
    <w:rsid w:val="00A60650"/>
    <w:rsid w:val="00A60F21"/>
    <w:rsid w:val="00A61FAB"/>
    <w:rsid w:val="00A62F77"/>
    <w:rsid w:val="00A63025"/>
    <w:rsid w:val="00A640D1"/>
    <w:rsid w:val="00A6457B"/>
    <w:rsid w:val="00A64A7D"/>
    <w:rsid w:val="00A66C24"/>
    <w:rsid w:val="00A67DAE"/>
    <w:rsid w:val="00A713B0"/>
    <w:rsid w:val="00A716FE"/>
    <w:rsid w:val="00A71BC9"/>
    <w:rsid w:val="00A72E45"/>
    <w:rsid w:val="00A73681"/>
    <w:rsid w:val="00A748AD"/>
    <w:rsid w:val="00A748F0"/>
    <w:rsid w:val="00A76635"/>
    <w:rsid w:val="00A774CB"/>
    <w:rsid w:val="00A77A24"/>
    <w:rsid w:val="00A80350"/>
    <w:rsid w:val="00A818DD"/>
    <w:rsid w:val="00A83A5F"/>
    <w:rsid w:val="00A83C16"/>
    <w:rsid w:val="00A8626E"/>
    <w:rsid w:val="00A862AA"/>
    <w:rsid w:val="00A90980"/>
    <w:rsid w:val="00A90D39"/>
    <w:rsid w:val="00A91B01"/>
    <w:rsid w:val="00A9206C"/>
    <w:rsid w:val="00A93104"/>
    <w:rsid w:val="00A95084"/>
    <w:rsid w:val="00A95581"/>
    <w:rsid w:val="00A96740"/>
    <w:rsid w:val="00A96818"/>
    <w:rsid w:val="00A96FCF"/>
    <w:rsid w:val="00A97D98"/>
    <w:rsid w:val="00A97F51"/>
    <w:rsid w:val="00AA07FE"/>
    <w:rsid w:val="00AA0FF5"/>
    <w:rsid w:val="00AA1D42"/>
    <w:rsid w:val="00AA2940"/>
    <w:rsid w:val="00AA41BC"/>
    <w:rsid w:val="00AA41C5"/>
    <w:rsid w:val="00AA468A"/>
    <w:rsid w:val="00AA501D"/>
    <w:rsid w:val="00AA5085"/>
    <w:rsid w:val="00AA5420"/>
    <w:rsid w:val="00AA6CDA"/>
    <w:rsid w:val="00AA77BF"/>
    <w:rsid w:val="00AB011D"/>
    <w:rsid w:val="00AB070F"/>
    <w:rsid w:val="00AB08B3"/>
    <w:rsid w:val="00AB1212"/>
    <w:rsid w:val="00AB26AF"/>
    <w:rsid w:val="00AB3256"/>
    <w:rsid w:val="00AB42B4"/>
    <w:rsid w:val="00AB4494"/>
    <w:rsid w:val="00AB45ED"/>
    <w:rsid w:val="00AB4768"/>
    <w:rsid w:val="00AB488E"/>
    <w:rsid w:val="00AB49AD"/>
    <w:rsid w:val="00AB5358"/>
    <w:rsid w:val="00AB5CFC"/>
    <w:rsid w:val="00AB7870"/>
    <w:rsid w:val="00AC1CE9"/>
    <w:rsid w:val="00AC290E"/>
    <w:rsid w:val="00AC35FA"/>
    <w:rsid w:val="00AC4AC3"/>
    <w:rsid w:val="00AC4C4A"/>
    <w:rsid w:val="00AC5359"/>
    <w:rsid w:val="00AC696F"/>
    <w:rsid w:val="00AC7A09"/>
    <w:rsid w:val="00AD1161"/>
    <w:rsid w:val="00AD1C5F"/>
    <w:rsid w:val="00AD262D"/>
    <w:rsid w:val="00AD3B27"/>
    <w:rsid w:val="00AD6D55"/>
    <w:rsid w:val="00AD75C1"/>
    <w:rsid w:val="00AE1552"/>
    <w:rsid w:val="00AE1910"/>
    <w:rsid w:val="00AE1A6E"/>
    <w:rsid w:val="00AE47A5"/>
    <w:rsid w:val="00AF0631"/>
    <w:rsid w:val="00AF24F8"/>
    <w:rsid w:val="00AF435C"/>
    <w:rsid w:val="00AF594B"/>
    <w:rsid w:val="00AF5D4D"/>
    <w:rsid w:val="00AF6130"/>
    <w:rsid w:val="00AF6DF5"/>
    <w:rsid w:val="00AF724D"/>
    <w:rsid w:val="00AF7C32"/>
    <w:rsid w:val="00B02ED9"/>
    <w:rsid w:val="00B055F1"/>
    <w:rsid w:val="00B06885"/>
    <w:rsid w:val="00B109FA"/>
    <w:rsid w:val="00B11306"/>
    <w:rsid w:val="00B11705"/>
    <w:rsid w:val="00B11BDD"/>
    <w:rsid w:val="00B124B0"/>
    <w:rsid w:val="00B12F33"/>
    <w:rsid w:val="00B13010"/>
    <w:rsid w:val="00B1332B"/>
    <w:rsid w:val="00B1444F"/>
    <w:rsid w:val="00B14D2C"/>
    <w:rsid w:val="00B14F98"/>
    <w:rsid w:val="00B153A9"/>
    <w:rsid w:val="00B157EF"/>
    <w:rsid w:val="00B1742F"/>
    <w:rsid w:val="00B2054C"/>
    <w:rsid w:val="00B21D29"/>
    <w:rsid w:val="00B2338C"/>
    <w:rsid w:val="00B24C36"/>
    <w:rsid w:val="00B25AB1"/>
    <w:rsid w:val="00B25C9B"/>
    <w:rsid w:val="00B25CC4"/>
    <w:rsid w:val="00B2674D"/>
    <w:rsid w:val="00B26EB6"/>
    <w:rsid w:val="00B27235"/>
    <w:rsid w:val="00B27536"/>
    <w:rsid w:val="00B30334"/>
    <w:rsid w:val="00B310A8"/>
    <w:rsid w:val="00B315DE"/>
    <w:rsid w:val="00B3247B"/>
    <w:rsid w:val="00B32B6D"/>
    <w:rsid w:val="00B34329"/>
    <w:rsid w:val="00B34C8B"/>
    <w:rsid w:val="00B34E9F"/>
    <w:rsid w:val="00B36C2C"/>
    <w:rsid w:val="00B3778C"/>
    <w:rsid w:val="00B379E2"/>
    <w:rsid w:val="00B37A75"/>
    <w:rsid w:val="00B44C42"/>
    <w:rsid w:val="00B46732"/>
    <w:rsid w:val="00B47AD5"/>
    <w:rsid w:val="00B5000A"/>
    <w:rsid w:val="00B511C0"/>
    <w:rsid w:val="00B522A7"/>
    <w:rsid w:val="00B52830"/>
    <w:rsid w:val="00B53D20"/>
    <w:rsid w:val="00B54D40"/>
    <w:rsid w:val="00B557F1"/>
    <w:rsid w:val="00B56725"/>
    <w:rsid w:val="00B571DE"/>
    <w:rsid w:val="00B60B4E"/>
    <w:rsid w:val="00B61AA9"/>
    <w:rsid w:val="00B6242B"/>
    <w:rsid w:val="00B6243B"/>
    <w:rsid w:val="00B63D4D"/>
    <w:rsid w:val="00B63E33"/>
    <w:rsid w:val="00B64855"/>
    <w:rsid w:val="00B64C4A"/>
    <w:rsid w:val="00B6514F"/>
    <w:rsid w:val="00B66110"/>
    <w:rsid w:val="00B66347"/>
    <w:rsid w:val="00B67AB2"/>
    <w:rsid w:val="00B7006C"/>
    <w:rsid w:val="00B71BA6"/>
    <w:rsid w:val="00B76D24"/>
    <w:rsid w:val="00B77A06"/>
    <w:rsid w:val="00B77DCC"/>
    <w:rsid w:val="00B8021A"/>
    <w:rsid w:val="00B813DE"/>
    <w:rsid w:val="00B816B4"/>
    <w:rsid w:val="00B819C7"/>
    <w:rsid w:val="00B82298"/>
    <w:rsid w:val="00B82DD3"/>
    <w:rsid w:val="00B82E6B"/>
    <w:rsid w:val="00B84C54"/>
    <w:rsid w:val="00B84E47"/>
    <w:rsid w:val="00B85317"/>
    <w:rsid w:val="00B8570C"/>
    <w:rsid w:val="00B86B5C"/>
    <w:rsid w:val="00B87DD9"/>
    <w:rsid w:val="00B904B2"/>
    <w:rsid w:val="00B9201E"/>
    <w:rsid w:val="00B92541"/>
    <w:rsid w:val="00B92817"/>
    <w:rsid w:val="00B92E38"/>
    <w:rsid w:val="00B93119"/>
    <w:rsid w:val="00B932D0"/>
    <w:rsid w:val="00B93E27"/>
    <w:rsid w:val="00B94196"/>
    <w:rsid w:val="00B94CA7"/>
    <w:rsid w:val="00B95A40"/>
    <w:rsid w:val="00B95E29"/>
    <w:rsid w:val="00B960B8"/>
    <w:rsid w:val="00B96BE6"/>
    <w:rsid w:val="00B97260"/>
    <w:rsid w:val="00BA19C7"/>
    <w:rsid w:val="00BA3C36"/>
    <w:rsid w:val="00BA6B75"/>
    <w:rsid w:val="00BA6D24"/>
    <w:rsid w:val="00BA7A3A"/>
    <w:rsid w:val="00BB0A04"/>
    <w:rsid w:val="00BB2052"/>
    <w:rsid w:val="00BB2DF8"/>
    <w:rsid w:val="00BB31D8"/>
    <w:rsid w:val="00BB47E0"/>
    <w:rsid w:val="00BB5B12"/>
    <w:rsid w:val="00BB5D3B"/>
    <w:rsid w:val="00BB6463"/>
    <w:rsid w:val="00BB78DF"/>
    <w:rsid w:val="00BC1702"/>
    <w:rsid w:val="00BC32C2"/>
    <w:rsid w:val="00BC3E9B"/>
    <w:rsid w:val="00BC50C8"/>
    <w:rsid w:val="00BD0283"/>
    <w:rsid w:val="00BD0E51"/>
    <w:rsid w:val="00BD0EC9"/>
    <w:rsid w:val="00BD1305"/>
    <w:rsid w:val="00BD13D4"/>
    <w:rsid w:val="00BD188A"/>
    <w:rsid w:val="00BD1954"/>
    <w:rsid w:val="00BD2E4B"/>
    <w:rsid w:val="00BD44A3"/>
    <w:rsid w:val="00BD4EF4"/>
    <w:rsid w:val="00BD77D1"/>
    <w:rsid w:val="00BE01B3"/>
    <w:rsid w:val="00BE19B9"/>
    <w:rsid w:val="00BE2781"/>
    <w:rsid w:val="00BE4612"/>
    <w:rsid w:val="00BE4D9D"/>
    <w:rsid w:val="00BE5423"/>
    <w:rsid w:val="00BE63A7"/>
    <w:rsid w:val="00BE753C"/>
    <w:rsid w:val="00BF0145"/>
    <w:rsid w:val="00BF1A13"/>
    <w:rsid w:val="00BF1F30"/>
    <w:rsid w:val="00BF26E5"/>
    <w:rsid w:val="00BF2FE6"/>
    <w:rsid w:val="00BF328F"/>
    <w:rsid w:val="00BF531A"/>
    <w:rsid w:val="00BF5334"/>
    <w:rsid w:val="00BF5351"/>
    <w:rsid w:val="00BF587B"/>
    <w:rsid w:val="00BF5FD3"/>
    <w:rsid w:val="00C001B6"/>
    <w:rsid w:val="00C03836"/>
    <w:rsid w:val="00C06133"/>
    <w:rsid w:val="00C06483"/>
    <w:rsid w:val="00C10237"/>
    <w:rsid w:val="00C1156F"/>
    <w:rsid w:val="00C12C2F"/>
    <w:rsid w:val="00C13E02"/>
    <w:rsid w:val="00C14A8E"/>
    <w:rsid w:val="00C15095"/>
    <w:rsid w:val="00C150B3"/>
    <w:rsid w:val="00C1571D"/>
    <w:rsid w:val="00C15A1A"/>
    <w:rsid w:val="00C15E8C"/>
    <w:rsid w:val="00C161A8"/>
    <w:rsid w:val="00C165B2"/>
    <w:rsid w:val="00C17F9A"/>
    <w:rsid w:val="00C17FB1"/>
    <w:rsid w:val="00C2290E"/>
    <w:rsid w:val="00C22B99"/>
    <w:rsid w:val="00C2312E"/>
    <w:rsid w:val="00C2506F"/>
    <w:rsid w:val="00C25C7C"/>
    <w:rsid w:val="00C270E3"/>
    <w:rsid w:val="00C27E4B"/>
    <w:rsid w:val="00C31F13"/>
    <w:rsid w:val="00C31FB9"/>
    <w:rsid w:val="00C32B8A"/>
    <w:rsid w:val="00C32FDF"/>
    <w:rsid w:val="00C341A7"/>
    <w:rsid w:val="00C36BAF"/>
    <w:rsid w:val="00C37215"/>
    <w:rsid w:val="00C37230"/>
    <w:rsid w:val="00C40B83"/>
    <w:rsid w:val="00C40FA7"/>
    <w:rsid w:val="00C43D81"/>
    <w:rsid w:val="00C44FAC"/>
    <w:rsid w:val="00C4655B"/>
    <w:rsid w:val="00C46606"/>
    <w:rsid w:val="00C5035B"/>
    <w:rsid w:val="00C509D7"/>
    <w:rsid w:val="00C52349"/>
    <w:rsid w:val="00C53BB7"/>
    <w:rsid w:val="00C53CA4"/>
    <w:rsid w:val="00C54493"/>
    <w:rsid w:val="00C552B1"/>
    <w:rsid w:val="00C558FF"/>
    <w:rsid w:val="00C56BF4"/>
    <w:rsid w:val="00C56CA5"/>
    <w:rsid w:val="00C578BD"/>
    <w:rsid w:val="00C62884"/>
    <w:rsid w:val="00C62F91"/>
    <w:rsid w:val="00C6349A"/>
    <w:rsid w:val="00C6443F"/>
    <w:rsid w:val="00C65DE6"/>
    <w:rsid w:val="00C66934"/>
    <w:rsid w:val="00C66CB0"/>
    <w:rsid w:val="00C66F50"/>
    <w:rsid w:val="00C70565"/>
    <w:rsid w:val="00C7122D"/>
    <w:rsid w:val="00C7161E"/>
    <w:rsid w:val="00C74540"/>
    <w:rsid w:val="00C753F9"/>
    <w:rsid w:val="00C757A9"/>
    <w:rsid w:val="00C757E5"/>
    <w:rsid w:val="00C77AE1"/>
    <w:rsid w:val="00C813AB"/>
    <w:rsid w:val="00C82616"/>
    <w:rsid w:val="00C83901"/>
    <w:rsid w:val="00C839B4"/>
    <w:rsid w:val="00C83BFE"/>
    <w:rsid w:val="00C8473E"/>
    <w:rsid w:val="00C84CD2"/>
    <w:rsid w:val="00C861C0"/>
    <w:rsid w:val="00C90B72"/>
    <w:rsid w:val="00C90CFE"/>
    <w:rsid w:val="00C90D26"/>
    <w:rsid w:val="00C92CAC"/>
    <w:rsid w:val="00C94230"/>
    <w:rsid w:val="00C94E2E"/>
    <w:rsid w:val="00C95224"/>
    <w:rsid w:val="00CA008B"/>
    <w:rsid w:val="00CA140E"/>
    <w:rsid w:val="00CA213A"/>
    <w:rsid w:val="00CA2AF1"/>
    <w:rsid w:val="00CA383E"/>
    <w:rsid w:val="00CA4BD5"/>
    <w:rsid w:val="00CA4EDC"/>
    <w:rsid w:val="00CA7DA9"/>
    <w:rsid w:val="00CB00E7"/>
    <w:rsid w:val="00CB0174"/>
    <w:rsid w:val="00CB4F5D"/>
    <w:rsid w:val="00CB64FA"/>
    <w:rsid w:val="00CB75F4"/>
    <w:rsid w:val="00CC0C48"/>
    <w:rsid w:val="00CC0EA3"/>
    <w:rsid w:val="00CC3B61"/>
    <w:rsid w:val="00CC3D7D"/>
    <w:rsid w:val="00CC3E7E"/>
    <w:rsid w:val="00CC4E1C"/>
    <w:rsid w:val="00CC5C53"/>
    <w:rsid w:val="00CC650C"/>
    <w:rsid w:val="00CC6C14"/>
    <w:rsid w:val="00CC7389"/>
    <w:rsid w:val="00CC7E1E"/>
    <w:rsid w:val="00CD1AB2"/>
    <w:rsid w:val="00CD29F0"/>
    <w:rsid w:val="00CD379F"/>
    <w:rsid w:val="00CD423C"/>
    <w:rsid w:val="00CD729E"/>
    <w:rsid w:val="00CE0F77"/>
    <w:rsid w:val="00CE17A4"/>
    <w:rsid w:val="00CE243C"/>
    <w:rsid w:val="00CE28C0"/>
    <w:rsid w:val="00CE543C"/>
    <w:rsid w:val="00CE75A0"/>
    <w:rsid w:val="00CE7AF8"/>
    <w:rsid w:val="00CF003D"/>
    <w:rsid w:val="00CF15AF"/>
    <w:rsid w:val="00CF665E"/>
    <w:rsid w:val="00D00125"/>
    <w:rsid w:val="00D004CB"/>
    <w:rsid w:val="00D0059E"/>
    <w:rsid w:val="00D029AD"/>
    <w:rsid w:val="00D044E2"/>
    <w:rsid w:val="00D05582"/>
    <w:rsid w:val="00D067B1"/>
    <w:rsid w:val="00D077AA"/>
    <w:rsid w:val="00D078B2"/>
    <w:rsid w:val="00D07F6F"/>
    <w:rsid w:val="00D10419"/>
    <w:rsid w:val="00D10506"/>
    <w:rsid w:val="00D113DC"/>
    <w:rsid w:val="00D130B5"/>
    <w:rsid w:val="00D13214"/>
    <w:rsid w:val="00D1340B"/>
    <w:rsid w:val="00D13F84"/>
    <w:rsid w:val="00D143EB"/>
    <w:rsid w:val="00D15A99"/>
    <w:rsid w:val="00D16119"/>
    <w:rsid w:val="00D16817"/>
    <w:rsid w:val="00D16A1F"/>
    <w:rsid w:val="00D16AE4"/>
    <w:rsid w:val="00D17415"/>
    <w:rsid w:val="00D21382"/>
    <w:rsid w:val="00D22027"/>
    <w:rsid w:val="00D22099"/>
    <w:rsid w:val="00D24376"/>
    <w:rsid w:val="00D25192"/>
    <w:rsid w:val="00D25760"/>
    <w:rsid w:val="00D25F07"/>
    <w:rsid w:val="00D26641"/>
    <w:rsid w:val="00D266BD"/>
    <w:rsid w:val="00D26FB7"/>
    <w:rsid w:val="00D278F7"/>
    <w:rsid w:val="00D279DB"/>
    <w:rsid w:val="00D30E84"/>
    <w:rsid w:val="00D30F4D"/>
    <w:rsid w:val="00D33B24"/>
    <w:rsid w:val="00D33D6E"/>
    <w:rsid w:val="00D342A5"/>
    <w:rsid w:val="00D401EB"/>
    <w:rsid w:val="00D411BF"/>
    <w:rsid w:val="00D41D4A"/>
    <w:rsid w:val="00D437F6"/>
    <w:rsid w:val="00D4467C"/>
    <w:rsid w:val="00D469A6"/>
    <w:rsid w:val="00D512AE"/>
    <w:rsid w:val="00D51445"/>
    <w:rsid w:val="00D5270F"/>
    <w:rsid w:val="00D53B43"/>
    <w:rsid w:val="00D5526E"/>
    <w:rsid w:val="00D5563A"/>
    <w:rsid w:val="00D55F7B"/>
    <w:rsid w:val="00D563BB"/>
    <w:rsid w:val="00D57593"/>
    <w:rsid w:val="00D62973"/>
    <w:rsid w:val="00D6377E"/>
    <w:rsid w:val="00D64AA3"/>
    <w:rsid w:val="00D64C1D"/>
    <w:rsid w:val="00D658EF"/>
    <w:rsid w:val="00D665FD"/>
    <w:rsid w:val="00D66641"/>
    <w:rsid w:val="00D66EE2"/>
    <w:rsid w:val="00D67022"/>
    <w:rsid w:val="00D677DD"/>
    <w:rsid w:val="00D7008D"/>
    <w:rsid w:val="00D71771"/>
    <w:rsid w:val="00D71DA2"/>
    <w:rsid w:val="00D73A9A"/>
    <w:rsid w:val="00D744BC"/>
    <w:rsid w:val="00D7495E"/>
    <w:rsid w:val="00D74C4D"/>
    <w:rsid w:val="00D76787"/>
    <w:rsid w:val="00D76B40"/>
    <w:rsid w:val="00D77588"/>
    <w:rsid w:val="00D7776F"/>
    <w:rsid w:val="00D836A6"/>
    <w:rsid w:val="00D84FF1"/>
    <w:rsid w:val="00D8565D"/>
    <w:rsid w:val="00D856A8"/>
    <w:rsid w:val="00D856C9"/>
    <w:rsid w:val="00D873D1"/>
    <w:rsid w:val="00D87D52"/>
    <w:rsid w:val="00D90A37"/>
    <w:rsid w:val="00D91325"/>
    <w:rsid w:val="00D91A56"/>
    <w:rsid w:val="00D91D52"/>
    <w:rsid w:val="00D920D6"/>
    <w:rsid w:val="00D92F13"/>
    <w:rsid w:val="00D93D8F"/>
    <w:rsid w:val="00D95FDA"/>
    <w:rsid w:val="00D963EE"/>
    <w:rsid w:val="00D968A4"/>
    <w:rsid w:val="00D97337"/>
    <w:rsid w:val="00D97D76"/>
    <w:rsid w:val="00DA0AB9"/>
    <w:rsid w:val="00DA101C"/>
    <w:rsid w:val="00DA27C9"/>
    <w:rsid w:val="00DA2A47"/>
    <w:rsid w:val="00DA30BC"/>
    <w:rsid w:val="00DA65A1"/>
    <w:rsid w:val="00DA732C"/>
    <w:rsid w:val="00DB0D82"/>
    <w:rsid w:val="00DB1EB3"/>
    <w:rsid w:val="00DB45ED"/>
    <w:rsid w:val="00DB4AAF"/>
    <w:rsid w:val="00DB7947"/>
    <w:rsid w:val="00DC1535"/>
    <w:rsid w:val="00DC2848"/>
    <w:rsid w:val="00DC3F53"/>
    <w:rsid w:val="00DC453F"/>
    <w:rsid w:val="00DC49A3"/>
    <w:rsid w:val="00DC4A4D"/>
    <w:rsid w:val="00DC4AE9"/>
    <w:rsid w:val="00DC598F"/>
    <w:rsid w:val="00DC5CF5"/>
    <w:rsid w:val="00DC61AE"/>
    <w:rsid w:val="00DC77E4"/>
    <w:rsid w:val="00DD2A61"/>
    <w:rsid w:val="00DD3256"/>
    <w:rsid w:val="00DD32A3"/>
    <w:rsid w:val="00DD4500"/>
    <w:rsid w:val="00DD48A9"/>
    <w:rsid w:val="00DD4935"/>
    <w:rsid w:val="00DD500B"/>
    <w:rsid w:val="00DD65A6"/>
    <w:rsid w:val="00DD74F8"/>
    <w:rsid w:val="00DD7BCD"/>
    <w:rsid w:val="00DE0B46"/>
    <w:rsid w:val="00DE19DA"/>
    <w:rsid w:val="00DE1DAF"/>
    <w:rsid w:val="00DE29D0"/>
    <w:rsid w:val="00DE31B6"/>
    <w:rsid w:val="00DE3463"/>
    <w:rsid w:val="00DE448C"/>
    <w:rsid w:val="00DE549A"/>
    <w:rsid w:val="00DE6646"/>
    <w:rsid w:val="00DE6B84"/>
    <w:rsid w:val="00DF011A"/>
    <w:rsid w:val="00DF10FA"/>
    <w:rsid w:val="00DF3FF1"/>
    <w:rsid w:val="00DF4572"/>
    <w:rsid w:val="00DF5478"/>
    <w:rsid w:val="00DF58A6"/>
    <w:rsid w:val="00DF5D92"/>
    <w:rsid w:val="00DF663C"/>
    <w:rsid w:val="00DF6BB8"/>
    <w:rsid w:val="00DF786B"/>
    <w:rsid w:val="00DF7A07"/>
    <w:rsid w:val="00DF7E58"/>
    <w:rsid w:val="00E04420"/>
    <w:rsid w:val="00E05539"/>
    <w:rsid w:val="00E07DAF"/>
    <w:rsid w:val="00E102A3"/>
    <w:rsid w:val="00E12FA8"/>
    <w:rsid w:val="00E13252"/>
    <w:rsid w:val="00E1405A"/>
    <w:rsid w:val="00E17D4A"/>
    <w:rsid w:val="00E20435"/>
    <w:rsid w:val="00E23427"/>
    <w:rsid w:val="00E238FE"/>
    <w:rsid w:val="00E245F2"/>
    <w:rsid w:val="00E253D4"/>
    <w:rsid w:val="00E257C3"/>
    <w:rsid w:val="00E25DAA"/>
    <w:rsid w:val="00E25EC2"/>
    <w:rsid w:val="00E26A2B"/>
    <w:rsid w:val="00E27727"/>
    <w:rsid w:val="00E277CF"/>
    <w:rsid w:val="00E3127E"/>
    <w:rsid w:val="00E327FB"/>
    <w:rsid w:val="00E32AC8"/>
    <w:rsid w:val="00E33ECE"/>
    <w:rsid w:val="00E341E0"/>
    <w:rsid w:val="00E34406"/>
    <w:rsid w:val="00E34ECB"/>
    <w:rsid w:val="00E35212"/>
    <w:rsid w:val="00E35BB7"/>
    <w:rsid w:val="00E36246"/>
    <w:rsid w:val="00E375AC"/>
    <w:rsid w:val="00E37EBA"/>
    <w:rsid w:val="00E40E9C"/>
    <w:rsid w:val="00E41190"/>
    <w:rsid w:val="00E4194A"/>
    <w:rsid w:val="00E419A8"/>
    <w:rsid w:val="00E4209B"/>
    <w:rsid w:val="00E43021"/>
    <w:rsid w:val="00E437F0"/>
    <w:rsid w:val="00E46033"/>
    <w:rsid w:val="00E479FF"/>
    <w:rsid w:val="00E51596"/>
    <w:rsid w:val="00E51F0B"/>
    <w:rsid w:val="00E528F8"/>
    <w:rsid w:val="00E52EA7"/>
    <w:rsid w:val="00E54798"/>
    <w:rsid w:val="00E551D5"/>
    <w:rsid w:val="00E573D1"/>
    <w:rsid w:val="00E6148C"/>
    <w:rsid w:val="00E62DEF"/>
    <w:rsid w:val="00E63220"/>
    <w:rsid w:val="00E6515D"/>
    <w:rsid w:val="00E67B53"/>
    <w:rsid w:val="00E70DF1"/>
    <w:rsid w:val="00E70FCE"/>
    <w:rsid w:val="00E71B9A"/>
    <w:rsid w:val="00E71BBB"/>
    <w:rsid w:val="00E7201C"/>
    <w:rsid w:val="00E72EAB"/>
    <w:rsid w:val="00E72F65"/>
    <w:rsid w:val="00E73413"/>
    <w:rsid w:val="00E73D25"/>
    <w:rsid w:val="00E741F0"/>
    <w:rsid w:val="00E766D4"/>
    <w:rsid w:val="00E76D11"/>
    <w:rsid w:val="00E81016"/>
    <w:rsid w:val="00E81A38"/>
    <w:rsid w:val="00E8376B"/>
    <w:rsid w:val="00E85AD5"/>
    <w:rsid w:val="00E862DB"/>
    <w:rsid w:val="00E86722"/>
    <w:rsid w:val="00E86AEA"/>
    <w:rsid w:val="00E90400"/>
    <w:rsid w:val="00E910FA"/>
    <w:rsid w:val="00E916DE"/>
    <w:rsid w:val="00E91810"/>
    <w:rsid w:val="00E930D9"/>
    <w:rsid w:val="00E9439B"/>
    <w:rsid w:val="00E95298"/>
    <w:rsid w:val="00E9565D"/>
    <w:rsid w:val="00E95F36"/>
    <w:rsid w:val="00E9661D"/>
    <w:rsid w:val="00E97EF2"/>
    <w:rsid w:val="00EA02FF"/>
    <w:rsid w:val="00EA051E"/>
    <w:rsid w:val="00EA0FA4"/>
    <w:rsid w:val="00EA225A"/>
    <w:rsid w:val="00EA317E"/>
    <w:rsid w:val="00EA3416"/>
    <w:rsid w:val="00EA428C"/>
    <w:rsid w:val="00EA5F51"/>
    <w:rsid w:val="00EA62A2"/>
    <w:rsid w:val="00EA636E"/>
    <w:rsid w:val="00EB1390"/>
    <w:rsid w:val="00EB1697"/>
    <w:rsid w:val="00EB17D1"/>
    <w:rsid w:val="00EB201A"/>
    <w:rsid w:val="00EB25B1"/>
    <w:rsid w:val="00EB2F16"/>
    <w:rsid w:val="00EB3CC1"/>
    <w:rsid w:val="00EB40D2"/>
    <w:rsid w:val="00EB4D42"/>
    <w:rsid w:val="00EB5AEE"/>
    <w:rsid w:val="00EB5DBF"/>
    <w:rsid w:val="00EB62B0"/>
    <w:rsid w:val="00EB6761"/>
    <w:rsid w:val="00EB748A"/>
    <w:rsid w:val="00EB7E3B"/>
    <w:rsid w:val="00EC087E"/>
    <w:rsid w:val="00EC0B64"/>
    <w:rsid w:val="00EC109A"/>
    <w:rsid w:val="00EC1AB7"/>
    <w:rsid w:val="00EC3E78"/>
    <w:rsid w:val="00EC59BE"/>
    <w:rsid w:val="00EC7002"/>
    <w:rsid w:val="00EC7356"/>
    <w:rsid w:val="00EC74B6"/>
    <w:rsid w:val="00EC7ED8"/>
    <w:rsid w:val="00ED0A6D"/>
    <w:rsid w:val="00ED102F"/>
    <w:rsid w:val="00ED16EB"/>
    <w:rsid w:val="00ED1E02"/>
    <w:rsid w:val="00ED2045"/>
    <w:rsid w:val="00ED2221"/>
    <w:rsid w:val="00ED3D28"/>
    <w:rsid w:val="00ED5704"/>
    <w:rsid w:val="00ED5A0D"/>
    <w:rsid w:val="00ED6473"/>
    <w:rsid w:val="00ED65C8"/>
    <w:rsid w:val="00ED7C72"/>
    <w:rsid w:val="00EE0807"/>
    <w:rsid w:val="00EE0E20"/>
    <w:rsid w:val="00EE24E1"/>
    <w:rsid w:val="00EE29AB"/>
    <w:rsid w:val="00EE34C4"/>
    <w:rsid w:val="00EE381A"/>
    <w:rsid w:val="00EE6659"/>
    <w:rsid w:val="00EE7275"/>
    <w:rsid w:val="00EE75DC"/>
    <w:rsid w:val="00EF34B1"/>
    <w:rsid w:val="00EF410C"/>
    <w:rsid w:val="00EF459F"/>
    <w:rsid w:val="00EF4D8A"/>
    <w:rsid w:val="00EF7612"/>
    <w:rsid w:val="00F01BFB"/>
    <w:rsid w:val="00F01EC2"/>
    <w:rsid w:val="00F02EB7"/>
    <w:rsid w:val="00F030C1"/>
    <w:rsid w:val="00F0380C"/>
    <w:rsid w:val="00F03E72"/>
    <w:rsid w:val="00F04197"/>
    <w:rsid w:val="00F04552"/>
    <w:rsid w:val="00F064BA"/>
    <w:rsid w:val="00F073C8"/>
    <w:rsid w:val="00F10ED8"/>
    <w:rsid w:val="00F12D72"/>
    <w:rsid w:val="00F1313D"/>
    <w:rsid w:val="00F140F8"/>
    <w:rsid w:val="00F15879"/>
    <w:rsid w:val="00F164C6"/>
    <w:rsid w:val="00F1719F"/>
    <w:rsid w:val="00F1744A"/>
    <w:rsid w:val="00F20100"/>
    <w:rsid w:val="00F20777"/>
    <w:rsid w:val="00F222E7"/>
    <w:rsid w:val="00F23962"/>
    <w:rsid w:val="00F2481A"/>
    <w:rsid w:val="00F25ACD"/>
    <w:rsid w:val="00F25DB4"/>
    <w:rsid w:val="00F26C2C"/>
    <w:rsid w:val="00F26E13"/>
    <w:rsid w:val="00F27681"/>
    <w:rsid w:val="00F311EF"/>
    <w:rsid w:val="00F31D28"/>
    <w:rsid w:val="00F3228C"/>
    <w:rsid w:val="00F324BD"/>
    <w:rsid w:val="00F326BC"/>
    <w:rsid w:val="00F34299"/>
    <w:rsid w:val="00F342DE"/>
    <w:rsid w:val="00F34497"/>
    <w:rsid w:val="00F34A96"/>
    <w:rsid w:val="00F34E68"/>
    <w:rsid w:val="00F367D1"/>
    <w:rsid w:val="00F36CCF"/>
    <w:rsid w:val="00F376F9"/>
    <w:rsid w:val="00F402CA"/>
    <w:rsid w:val="00F40759"/>
    <w:rsid w:val="00F42741"/>
    <w:rsid w:val="00F43386"/>
    <w:rsid w:val="00F4543C"/>
    <w:rsid w:val="00F50713"/>
    <w:rsid w:val="00F51905"/>
    <w:rsid w:val="00F5260A"/>
    <w:rsid w:val="00F53AE9"/>
    <w:rsid w:val="00F54056"/>
    <w:rsid w:val="00F555FC"/>
    <w:rsid w:val="00F55781"/>
    <w:rsid w:val="00F5650B"/>
    <w:rsid w:val="00F57550"/>
    <w:rsid w:val="00F5775F"/>
    <w:rsid w:val="00F57885"/>
    <w:rsid w:val="00F57947"/>
    <w:rsid w:val="00F60F00"/>
    <w:rsid w:val="00F61799"/>
    <w:rsid w:val="00F61875"/>
    <w:rsid w:val="00F61970"/>
    <w:rsid w:val="00F65F29"/>
    <w:rsid w:val="00F675A2"/>
    <w:rsid w:val="00F71CFE"/>
    <w:rsid w:val="00F73040"/>
    <w:rsid w:val="00F73138"/>
    <w:rsid w:val="00F75A9E"/>
    <w:rsid w:val="00F75D28"/>
    <w:rsid w:val="00F80072"/>
    <w:rsid w:val="00F80767"/>
    <w:rsid w:val="00F8448D"/>
    <w:rsid w:val="00F84718"/>
    <w:rsid w:val="00F851A6"/>
    <w:rsid w:val="00F85938"/>
    <w:rsid w:val="00F85BDE"/>
    <w:rsid w:val="00F85DB1"/>
    <w:rsid w:val="00F85DCD"/>
    <w:rsid w:val="00F879F6"/>
    <w:rsid w:val="00F901B8"/>
    <w:rsid w:val="00F91D0D"/>
    <w:rsid w:val="00F92A0D"/>
    <w:rsid w:val="00F93DD8"/>
    <w:rsid w:val="00F9437D"/>
    <w:rsid w:val="00F94B45"/>
    <w:rsid w:val="00F94E58"/>
    <w:rsid w:val="00F94E7C"/>
    <w:rsid w:val="00F956EA"/>
    <w:rsid w:val="00F96D6B"/>
    <w:rsid w:val="00F970C1"/>
    <w:rsid w:val="00F9783F"/>
    <w:rsid w:val="00F97FB4"/>
    <w:rsid w:val="00FA05F9"/>
    <w:rsid w:val="00FA0725"/>
    <w:rsid w:val="00FA150F"/>
    <w:rsid w:val="00FA168A"/>
    <w:rsid w:val="00FA1E24"/>
    <w:rsid w:val="00FA2D65"/>
    <w:rsid w:val="00FA3493"/>
    <w:rsid w:val="00FA3AC9"/>
    <w:rsid w:val="00FA4087"/>
    <w:rsid w:val="00FA56A2"/>
    <w:rsid w:val="00FA578E"/>
    <w:rsid w:val="00FA5CAB"/>
    <w:rsid w:val="00FA6A42"/>
    <w:rsid w:val="00FB0652"/>
    <w:rsid w:val="00FB0DE6"/>
    <w:rsid w:val="00FB1FE4"/>
    <w:rsid w:val="00FB2B44"/>
    <w:rsid w:val="00FB4BB5"/>
    <w:rsid w:val="00FB74C8"/>
    <w:rsid w:val="00FB7B6E"/>
    <w:rsid w:val="00FC06FE"/>
    <w:rsid w:val="00FC2436"/>
    <w:rsid w:val="00FC3257"/>
    <w:rsid w:val="00FC7002"/>
    <w:rsid w:val="00FD0D83"/>
    <w:rsid w:val="00FD1618"/>
    <w:rsid w:val="00FD1817"/>
    <w:rsid w:val="00FD37B0"/>
    <w:rsid w:val="00FD3AF0"/>
    <w:rsid w:val="00FD4720"/>
    <w:rsid w:val="00FD4A1D"/>
    <w:rsid w:val="00FD4B93"/>
    <w:rsid w:val="00FD505E"/>
    <w:rsid w:val="00FD5102"/>
    <w:rsid w:val="00FD5538"/>
    <w:rsid w:val="00FD58DC"/>
    <w:rsid w:val="00FD7B88"/>
    <w:rsid w:val="00FE0B44"/>
    <w:rsid w:val="00FE0D38"/>
    <w:rsid w:val="00FE19D4"/>
    <w:rsid w:val="00FE1B67"/>
    <w:rsid w:val="00FE2C50"/>
    <w:rsid w:val="00FE341C"/>
    <w:rsid w:val="00FE3E1E"/>
    <w:rsid w:val="00FE3EE0"/>
    <w:rsid w:val="00FE442A"/>
    <w:rsid w:val="00FE4839"/>
    <w:rsid w:val="00FE5C9A"/>
    <w:rsid w:val="00FE5D3C"/>
    <w:rsid w:val="00FE7402"/>
    <w:rsid w:val="00FE79A0"/>
    <w:rsid w:val="00FF0106"/>
    <w:rsid w:val="00FF1969"/>
    <w:rsid w:val="00FF285C"/>
    <w:rsid w:val="00FF2B10"/>
    <w:rsid w:val="00FF4015"/>
    <w:rsid w:val="00FF48B7"/>
    <w:rsid w:val="00FF5669"/>
    <w:rsid w:val="00FF6AFF"/>
    <w:rsid w:val="00FF74B2"/>
    <w:rsid w:val="00FF76E3"/>
    <w:rsid w:val="00FF777A"/>
    <w:rsid w:val="00FF7FF3"/>
    <w:rsid w:val="01CA005E"/>
    <w:rsid w:val="02AF3D05"/>
    <w:rsid w:val="02EE7A9D"/>
    <w:rsid w:val="038F64D0"/>
    <w:rsid w:val="04AC3C80"/>
    <w:rsid w:val="054200BE"/>
    <w:rsid w:val="054243AF"/>
    <w:rsid w:val="071E7774"/>
    <w:rsid w:val="08764AAA"/>
    <w:rsid w:val="0AEA2136"/>
    <w:rsid w:val="0BE35878"/>
    <w:rsid w:val="0C066136"/>
    <w:rsid w:val="0D1700A7"/>
    <w:rsid w:val="0E0412CF"/>
    <w:rsid w:val="0F756623"/>
    <w:rsid w:val="0F8A2FCE"/>
    <w:rsid w:val="10241F18"/>
    <w:rsid w:val="11C973C2"/>
    <w:rsid w:val="12512543"/>
    <w:rsid w:val="13EC7848"/>
    <w:rsid w:val="143D69C4"/>
    <w:rsid w:val="157C415D"/>
    <w:rsid w:val="15905208"/>
    <w:rsid w:val="166E3C79"/>
    <w:rsid w:val="167D27A4"/>
    <w:rsid w:val="16DA69CB"/>
    <w:rsid w:val="181971F1"/>
    <w:rsid w:val="1865759A"/>
    <w:rsid w:val="18BB02A8"/>
    <w:rsid w:val="19056F12"/>
    <w:rsid w:val="19845F88"/>
    <w:rsid w:val="19C8433F"/>
    <w:rsid w:val="1B5B213B"/>
    <w:rsid w:val="1B7315E1"/>
    <w:rsid w:val="1BB572F8"/>
    <w:rsid w:val="1BFA733A"/>
    <w:rsid w:val="1C0A3C32"/>
    <w:rsid w:val="1D7954AA"/>
    <w:rsid w:val="1D89718E"/>
    <w:rsid w:val="1F306F4E"/>
    <w:rsid w:val="1F80779C"/>
    <w:rsid w:val="224B2202"/>
    <w:rsid w:val="23857206"/>
    <w:rsid w:val="24C1337C"/>
    <w:rsid w:val="24CF5717"/>
    <w:rsid w:val="254A3974"/>
    <w:rsid w:val="27E1158C"/>
    <w:rsid w:val="280F604D"/>
    <w:rsid w:val="282B4359"/>
    <w:rsid w:val="289E7679"/>
    <w:rsid w:val="28FE654A"/>
    <w:rsid w:val="292F01DD"/>
    <w:rsid w:val="299C1A30"/>
    <w:rsid w:val="29BB6DDB"/>
    <w:rsid w:val="29D9275A"/>
    <w:rsid w:val="2A0D4E7E"/>
    <w:rsid w:val="2A346DDD"/>
    <w:rsid w:val="2AE66082"/>
    <w:rsid w:val="2C104E58"/>
    <w:rsid w:val="2E3954D0"/>
    <w:rsid w:val="2E8E6C74"/>
    <w:rsid w:val="2EA13277"/>
    <w:rsid w:val="2FDF655B"/>
    <w:rsid w:val="3044597D"/>
    <w:rsid w:val="3101756C"/>
    <w:rsid w:val="31032993"/>
    <w:rsid w:val="31EA49AA"/>
    <w:rsid w:val="346D1C40"/>
    <w:rsid w:val="35275A50"/>
    <w:rsid w:val="3562536F"/>
    <w:rsid w:val="35E87CB8"/>
    <w:rsid w:val="37092A7F"/>
    <w:rsid w:val="370E3C83"/>
    <w:rsid w:val="37C850E6"/>
    <w:rsid w:val="39694468"/>
    <w:rsid w:val="3ADE1EA8"/>
    <w:rsid w:val="3BEF328A"/>
    <w:rsid w:val="3C482376"/>
    <w:rsid w:val="3CA15D59"/>
    <w:rsid w:val="3E7D667D"/>
    <w:rsid w:val="3EE2032A"/>
    <w:rsid w:val="3F1976DD"/>
    <w:rsid w:val="41327D68"/>
    <w:rsid w:val="41FD067A"/>
    <w:rsid w:val="42D737C5"/>
    <w:rsid w:val="43F61B94"/>
    <w:rsid w:val="44EE3D30"/>
    <w:rsid w:val="480920DE"/>
    <w:rsid w:val="49EF0FF4"/>
    <w:rsid w:val="4C1D1C5C"/>
    <w:rsid w:val="4C2646C5"/>
    <w:rsid w:val="4CB05EFB"/>
    <w:rsid w:val="4D1B01CD"/>
    <w:rsid w:val="4D2401C3"/>
    <w:rsid w:val="4DCB46AD"/>
    <w:rsid w:val="4E6D5B75"/>
    <w:rsid w:val="4EC83754"/>
    <w:rsid w:val="4FE704A7"/>
    <w:rsid w:val="50630DE9"/>
    <w:rsid w:val="50C3771F"/>
    <w:rsid w:val="5115013A"/>
    <w:rsid w:val="511D2EBA"/>
    <w:rsid w:val="52A67CE3"/>
    <w:rsid w:val="53611987"/>
    <w:rsid w:val="5426000C"/>
    <w:rsid w:val="54873CE8"/>
    <w:rsid w:val="55501A57"/>
    <w:rsid w:val="56056EDA"/>
    <w:rsid w:val="56C45CFE"/>
    <w:rsid w:val="57925577"/>
    <w:rsid w:val="57CE49E8"/>
    <w:rsid w:val="588D27AF"/>
    <w:rsid w:val="593D3C6F"/>
    <w:rsid w:val="598D5513"/>
    <w:rsid w:val="5A3A3454"/>
    <w:rsid w:val="5AD81DF5"/>
    <w:rsid w:val="5ADC071D"/>
    <w:rsid w:val="5AFF0478"/>
    <w:rsid w:val="5C3D2C0C"/>
    <w:rsid w:val="5C467456"/>
    <w:rsid w:val="5C865453"/>
    <w:rsid w:val="5CB35A95"/>
    <w:rsid w:val="5CFA35F9"/>
    <w:rsid w:val="5D69164E"/>
    <w:rsid w:val="5E83575B"/>
    <w:rsid w:val="5EE615A4"/>
    <w:rsid w:val="606E0DE1"/>
    <w:rsid w:val="63731BF4"/>
    <w:rsid w:val="644728E4"/>
    <w:rsid w:val="65A123F1"/>
    <w:rsid w:val="66751C67"/>
    <w:rsid w:val="66DD7C6E"/>
    <w:rsid w:val="67B86959"/>
    <w:rsid w:val="67F96C40"/>
    <w:rsid w:val="688C44A6"/>
    <w:rsid w:val="68EE2751"/>
    <w:rsid w:val="6954680F"/>
    <w:rsid w:val="6A946158"/>
    <w:rsid w:val="6D4062AA"/>
    <w:rsid w:val="711A6458"/>
    <w:rsid w:val="71374443"/>
    <w:rsid w:val="715E1545"/>
    <w:rsid w:val="71CE7528"/>
    <w:rsid w:val="723F0460"/>
    <w:rsid w:val="73321FAD"/>
    <w:rsid w:val="73B35069"/>
    <w:rsid w:val="74112AAD"/>
    <w:rsid w:val="74D51888"/>
    <w:rsid w:val="754504AE"/>
    <w:rsid w:val="76084EE5"/>
    <w:rsid w:val="765348DB"/>
    <w:rsid w:val="76DB753C"/>
    <w:rsid w:val="773A403E"/>
    <w:rsid w:val="78CD75C7"/>
    <w:rsid w:val="79996FC5"/>
    <w:rsid w:val="7B446AA7"/>
    <w:rsid w:val="7CE302F7"/>
    <w:rsid w:val="7EC2193C"/>
    <w:rsid w:val="7EE621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Document Map"/>
    <w:basedOn w:val="1"/>
    <w:link w:val="39"/>
    <w:unhideWhenUsed/>
    <w:qFormat/>
    <w:uiPriority w:val="99"/>
    <w:pPr>
      <w:widowControl w:val="0"/>
      <w:jc w:val="both"/>
    </w:pPr>
    <w:rPr>
      <w:rFonts w:hAnsiTheme="minorHAnsi" w:eastAsiaTheme="minorEastAsia" w:cstheme="minorBidi"/>
      <w:sz w:val="18"/>
      <w:szCs w:val="18"/>
    </w:rPr>
  </w:style>
  <w:style w:type="paragraph" w:styleId="3">
    <w:name w:val="annotation text"/>
    <w:basedOn w:val="1"/>
    <w:link w:val="31"/>
    <w:qFormat/>
    <w:uiPriority w:val="0"/>
    <w:pPr>
      <w:widowControl w:val="0"/>
    </w:pPr>
    <w:rPr>
      <w:rFonts w:asciiTheme="minorHAnsi" w:hAnsiTheme="minorHAnsi" w:eastAsiaTheme="minorEastAsia" w:cstheme="minorBidi"/>
      <w:sz w:val="20"/>
      <w:szCs w:val="20"/>
    </w:rPr>
  </w:style>
  <w:style w:type="paragraph" w:styleId="4">
    <w:name w:val="Body Text Indent"/>
    <w:basedOn w:val="1"/>
    <w:link w:val="34"/>
    <w:qFormat/>
    <w:uiPriority w:val="0"/>
    <w:pPr>
      <w:widowControl w:val="0"/>
      <w:spacing w:line="480" w:lineRule="auto"/>
      <w:ind w:firstLine="480" w:firstLineChars="200"/>
      <w:jc w:val="both"/>
    </w:pPr>
    <w:rPr>
      <w:rFonts w:eastAsiaTheme="minorEastAsia" w:cstheme="minorBidi"/>
      <w:szCs w:val="20"/>
    </w:rPr>
  </w:style>
  <w:style w:type="paragraph" w:styleId="5">
    <w:name w:val="Plain Text"/>
    <w:basedOn w:val="1"/>
    <w:link w:val="33"/>
    <w:qFormat/>
    <w:uiPriority w:val="0"/>
    <w:pPr>
      <w:widowControl w:val="0"/>
      <w:jc w:val="both"/>
    </w:pPr>
    <w:rPr>
      <w:rFonts w:ascii="Courier New" w:hAnsi="Courier New" w:eastAsiaTheme="minorEastAsia" w:cstheme="minorBidi"/>
      <w:sz w:val="20"/>
      <w:szCs w:val="20"/>
    </w:rPr>
  </w:style>
  <w:style w:type="paragraph" w:styleId="6">
    <w:name w:val="Balloon Text"/>
    <w:basedOn w:val="1"/>
    <w:link w:val="37"/>
    <w:qFormat/>
    <w:uiPriority w:val="0"/>
    <w:pPr>
      <w:widowControl w:val="0"/>
      <w:jc w:val="both"/>
    </w:pPr>
    <w:rPr>
      <w:rFonts w:asciiTheme="minorHAnsi" w:hAnsiTheme="minorHAnsi" w:eastAsiaTheme="minorEastAsia" w:cstheme="minorBidi"/>
      <w:sz w:val="18"/>
      <w:szCs w:val="18"/>
    </w:rPr>
  </w:style>
  <w:style w:type="paragraph" w:styleId="7">
    <w:name w:val="footer"/>
    <w:basedOn w:val="1"/>
    <w:link w:val="16"/>
    <w:qFormat/>
    <w:uiPriority w:val="0"/>
    <w:pPr>
      <w:widowControl w:val="0"/>
      <w:tabs>
        <w:tab w:val="center" w:pos="4153"/>
        <w:tab w:val="right" w:pos="8306"/>
      </w:tabs>
      <w:snapToGrid w:val="0"/>
    </w:pPr>
    <w:rPr>
      <w:rFonts w:asciiTheme="minorHAnsi" w:hAnsiTheme="minorHAnsi" w:eastAsiaTheme="minorEastAsia" w:cstheme="minorBidi"/>
      <w:sz w:val="18"/>
      <w:szCs w:val="18"/>
    </w:rPr>
  </w:style>
  <w:style w:type="paragraph" w:styleId="8">
    <w:name w:val="header"/>
    <w:basedOn w:val="1"/>
    <w:link w:val="32"/>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annotation subject"/>
    <w:basedOn w:val="3"/>
    <w:next w:val="3"/>
    <w:link w:val="35"/>
    <w:qFormat/>
    <w:uiPriority w:val="0"/>
    <w:rPr>
      <w:b/>
      <w:bCs/>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bCs/>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页脚 Char"/>
    <w:link w:val="7"/>
    <w:qFormat/>
    <w:uiPriority w:val="0"/>
    <w:rPr>
      <w:sz w:val="18"/>
      <w:szCs w:val="18"/>
    </w:rPr>
  </w:style>
  <w:style w:type="character" w:customStyle="1" w:styleId="17">
    <w:name w:val="正文文本 (4) + 间距 0 pt"/>
    <w:qFormat/>
    <w:uiPriority w:val="0"/>
    <w:rPr>
      <w:rFonts w:ascii="MingLiU" w:hAnsi="MingLiU" w:eastAsia="MingLiU" w:cs="MingLiU"/>
      <w:color w:val="000000"/>
      <w:spacing w:val="0"/>
      <w:w w:val="100"/>
      <w:position w:val="0"/>
      <w:sz w:val="18"/>
      <w:szCs w:val="18"/>
      <w:u w:val="none"/>
      <w:lang w:val="zh-TW"/>
    </w:rPr>
  </w:style>
  <w:style w:type="character" w:customStyle="1" w:styleId="18">
    <w:name w:val="正文文本1"/>
    <w:qFormat/>
    <w:uiPriority w:val="0"/>
    <w:rPr>
      <w:rFonts w:ascii="MingLiU" w:hAnsi="MingLiU" w:eastAsia="MingLiU" w:cs="MingLiU"/>
      <w:color w:val="000000"/>
      <w:spacing w:val="20"/>
      <w:w w:val="100"/>
      <w:position w:val="0"/>
      <w:sz w:val="24"/>
      <w:szCs w:val="24"/>
      <w:u w:val="single"/>
      <w:shd w:val="clear" w:color="auto" w:fill="FFFFFF"/>
      <w:lang w:val="zh-TW"/>
    </w:rPr>
  </w:style>
  <w:style w:type="character" w:customStyle="1" w:styleId="19">
    <w:name w:val="目录 + SimSun"/>
    <w:qFormat/>
    <w:uiPriority w:val="0"/>
    <w:rPr>
      <w:rFonts w:ascii="宋体" w:hAnsi="宋体" w:eastAsia="宋体" w:cs="宋体"/>
      <w:color w:val="000000"/>
      <w:spacing w:val="20"/>
      <w:w w:val="100"/>
      <w:position w:val="0"/>
      <w:sz w:val="21"/>
      <w:szCs w:val="21"/>
      <w:shd w:val="clear" w:color="auto" w:fill="FFFFFF"/>
      <w:lang w:val="en-US"/>
    </w:rPr>
  </w:style>
  <w:style w:type="character" w:customStyle="1" w:styleId="20">
    <w:name w:val="目录_"/>
    <w:link w:val="21"/>
    <w:qFormat/>
    <w:uiPriority w:val="0"/>
    <w:rPr>
      <w:rFonts w:ascii="MingLiU" w:hAnsi="MingLiU" w:eastAsia="MingLiU" w:cs="MingLiU"/>
      <w:spacing w:val="20"/>
      <w:szCs w:val="21"/>
      <w:shd w:val="clear" w:color="auto" w:fill="FFFFFF"/>
    </w:rPr>
  </w:style>
  <w:style w:type="paragraph" w:customStyle="1" w:styleId="21">
    <w:name w:val="目录"/>
    <w:basedOn w:val="1"/>
    <w:link w:val="20"/>
    <w:qFormat/>
    <w:uiPriority w:val="0"/>
    <w:pPr>
      <w:widowControl w:val="0"/>
      <w:shd w:val="clear" w:color="auto" w:fill="FFFFFF"/>
      <w:spacing w:before="180" w:line="300" w:lineRule="exact"/>
      <w:jc w:val="distribute"/>
    </w:pPr>
    <w:rPr>
      <w:rFonts w:ascii="MingLiU" w:hAnsi="MingLiU" w:eastAsia="MingLiU" w:cs="MingLiU"/>
      <w:spacing w:val="20"/>
      <w:sz w:val="20"/>
      <w:szCs w:val="21"/>
    </w:rPr>
  </w:style>
  <w:style w:type="character" w:customStyle="1" w:styleId="22">
    <w:name w:val="正文文本 (4) + Impact"/>
    <w:qFormat/>
    <w:uiPriority w:val="0"/>
    <w:rPr>
      <w:rFonts w:ascii="Impact" w:hAnsi="Impact" w:eastAsia="Impact" w:cs="Impact"/>
      <w:color w:val="000000"/>
      <w:spacing w:val="0"/>
      <w:w w:val="100"/>
      <w:position w:val="0"/>
      <w:sz w:val="15"/>
      <w:szCs w:val="15"/>
      <w:u w:val="none"/>
    </w:rPr>
  </w:style>
  <w:style w:type="character" w:customStyle="1" w:styleId="23">
    <w:name w:val="正文文本 (5) + SimSun"/>
    <w:qFormat/>
    <w:uiPriority w:val="0"/>
    <w:rPr>
      <w:rFonts w:ascii="宋体" w:hAnsi="宋体" w:eastAsia="宋体" w:cs="宋体"/>
      <w:color w:val="000000"/>
      <w:spacing w:val="20"/>
      <w:w w:val="100"/>
      <w:position w:val="0"/>
      <w:sz w:val="21"/>
      <w:szCs w:val="21"/>
      <w:shd w:val="clear" w:color="auto" w:fill="FFFFFF"/>
      <w:lang w:val="en-US"/>
    </w:rPr>
  </w:style>
  <w:style w:type="character" w:customStyle="1" w:styleId="24">
    <w:name w:val="正文文本 (4)_"/>
    <w:link w:val="25"/>
    <w:qFormat/>
    <w:uiPriority w:val="0"/>
    <w:rPr>
      <w:rFonts w:ascii="MingLiU" w:hAnsi="MingLiU" w:eastAsia="MingLiU" w:cs="MingLiU"/>
      <w:spacing w:val="20"/>
      <w:sz w:val="18"/>
      <w:szCs w:val="18"/>
      <w:shd w:val="clear" w:color="auto" w:fill="FFFFFF"/>
    </w:rPr>
  </w:style>
  <w:style w:type="paragraph" w:customStyle="1" w:styleId="25">
    <w:name w:val="正文文本 (4)"/>
    <w:basedOn w:val="1"/>
    <w:link w:val="24"/>
    <w:qFormat/>
    <w:uiPriority w:val="0"/>
    <w:pPr>
      <w:widowControl w:val="0"/>
      <w:shd w:val="clear" w:color="auto" w:fill="FFFFFF"/>
      <w:spacing w:line="312" w:lineRule="exact"/>
      <w:jc w:val="distribute"/>
    </w:pPr>
    <w:rPr>
      <w:rFonts w:ascii="MingLiU" w:hAnsi="MingLiU" w:eastAsia="MingLiU" w:cs="MingLiU"/>
      <w:spacing w:val="20"/>
      <w:sz w:val="18"/>
      <w:szCs w:val="18"/>
    </w:rPr>
  </w:style>
  <w:style w:type="character" w:customStyle="1" w:styleId="26">
    <w:name w:val="正文文本 (5)_"/>
    <w:link w:val="27"/>
    <w:qFormat/>
    <w:uiPriority w:val="0"/>
    <w:rPr>
      <w:rFonts w:ascii="MingLiU" w:hAnsi="MingLiU" w:eastAsia="MingLiU" w:cs="MingLiU"/>
      <w:spacing w:val="20"/>
      <w:szCs w:val="21"/>
      <w:shd w:val="clear" w:color="auto" w:fill="FFFFFF"/>
    </w:rPr>
  </w:style>
  <w:style w:type="paragraph" w:customStyle="1" w:styleId="27">
    <w:name w:val="正文文本 (5)"/>
    <w:basedOn w:val="1"/>
    <w:link w:val="26"/>
    <w:qFormat/>
    <w:uiPriority w:val="0"/>
    <w:pPr>
      <w:widowControl w:val="0"/>
      <w:shd w:val="clear" w:color="auto" w:fill="FFFFFF"/>
      <w:spacing w:after="300" w:line="300" w:lineRule="exact"/>
      <w:jc w:val="distribute"/>
    </w:pPr>
    <w:rPr>
      <w:rFonts w:ascii="MingLiU" w:hAnsi="MingLiU" w:eastAsia="MingLiU" w:cs="MingLiU"/>
      <w:spacing w:val="20"/>
      <w:sz w:val="20"/>
      <w:szCs w:val="21"/>
    </w:rPr>
  </w:style>
  <w:style w:type="character" w:customStyle="1" w:styleId="28">
    <w:name w:val="正文文本 + SimSun"/>
    <w:qFormat/>
    <w:uiPriority w:val="0"/>
    <w:rPr>
      <w:rFonts w:ascii="宋体" w:hAnsi="宋体" w:eastAsia="宋体" w:cs="宋体"/>
      <w:color w:val="000000"/>
      <w:spacing w:val="60"/>
      <w:w w:val="100"/>
      <w:position w:val="0"/>
      <w:sz w:val="24"/>
      <w:szCs w:val="24"/>
      <w:u w:val="none"/>
      <w:shd w:val="clear" w:color="auto" w:fill="FFFFFF"/>
      <w:lang w:val="en-US"/>
    </w:rPr>
  </w:style>
  <w:style w:type="character" w:customStyle="1" w:styleId="29">
    <w:name w:val="正文文本_"/>
    <w:link w:val="30"/>
    <w:qFormat/>
    <w:uiPriority w:val="0"/>
    <w:rPr>
      <w:rFonts w:ascii="MingLiU" w:hAnsi="MingLiU" w:eastAsia="MingLiU" w:cs="MingLiU"/>
      <w:spacing w:val="20"/>
      <w:shd w:val="clear" w:color="auto" w:fill="FFFFFF"/>
    </w:rPr>
  </w:style>
  <w:style w:type="paragraph" w:customStyle="1" w:styleId="30">
    <w:name w:val="正文文本3"/>
    <w:basedOn w:val="1"/>
    <w:link w:val="29"/>
    <w:qFormat/>
    <w:uiPriority w:val="0"/>
    <w:pPr>
      <w:widowControl w:val="0"/>
      <w:shd w:val="clear" w:color="auto" w:fill="FFFFFF"/>
      <w:spacing w:before="600" w:line="624" w:lineRule="exact"/>
      <w:ind w:hanging="420"/>
      <w:jc w:val="distribute"/>
    </w:pPr>
    <w:rPr>
      <w:rFonts w:ascii="MingLiU" w:hAnsi="MingLiU" w:eastAsia="MingLiU" w:cs="MingLiU"/>
      <w:spacing w:val="20"/>
      <w:sz w:val="20"/>
      <w:szCs w:val="22"/>
    </w:rPr>
  </w:style>
  <w:style w:type="character" w:customStyle="1" w:styleId="31">
    <w:name w:val="批注文字 Char"/>
    <w:basedOn w:val="12"/>
    <w:link w:val="3"/>
    <w:qFormat/>
    <w:uiPriority w:val="0"/>
    <w:rPr>
      <w:rFonts w:ascii="Times New Roman" w:hAnsi="Times New Roman" w:eastAsia="宋体" w:cs="Times New Roman"/>
      <w:szCs w:val="24"/>
    </w:rPr>
  </w:style>
  <w:style w:type="character" w:customStyle="1" w:styleId="32">
    <w:name w:val="页眉 Char"/>
    <w:basedOn w:val="12"/>
    <w:link w:val="8"/>
    <w:qFormat/>
    <w:uiPriority w:val="0"/>
    <w:rPr>
      <w:rFonts w:ascii="Times New Roman" w:hAnsi="Times New Roman" w:eastAsia="宋体" w:cs="Times New Roman"/>
      <w:sz w:val="18"/>
      <w:szCs w:val="18"/>
    </w:rPr>
  </w:style>
  <w:style w:type="character" w:customStyle="1" w:styleId="33">
    <w:name w:val="纯文本 Char"/>
    <w:basedOn w:val="12"/>
    <w:link w:val="5"/>
    <w:qFormat/>
    <w:uiPriority w:val="0"/>
    <w:rPr>
      <w:rFonts w:ascii="Courier New" w:hAnsi="Courier New" w:eastAsia="宋体" w:cs="Times New Roman"/>
      <w:szCs w:val="20"/>
    </w:rPr>
  </w:style>
  <w:style w:type="character" w:customStyle="1" w:styleId="34">
    <w:name w:val="正文文本缩进 Char"/>
    <w:basedOn w:val="12"/>
    <w:link w:val="4"/>
    <w:qFormat/>
    <w:uiPriority w:val="0"/>
    <w:rPr>
      <w:rFonts w:ascii="宋体" w:hAnsi="宋体" w:eastAsia="宋体" w:cs="Times New Roman"/>
      <w:sz w:val="24"/>
      <w:szCs w:val="24"/>
    </w:rPr>
  </w:style>
  <w:style w:type="character" w:customStyle="1" w:styleId="35">
    <w:name w:val="批注主题 Char"/>
    <w:basedOn w:val="31"/>
    <w:link w:val="9"/>
    <w:qFormat/>
    <w:uiPriority w:val="0"/>
    <w:rPr>
      <w:rFonts w:ascii="Times New Roman" w:hAnsi="Times New Roman" w:eastAsia="宋体" w:cs="Times New Roman"/>
      <w:b/>
      <w:bCs/>
      <w:szCs w:val="24"/>
    </w:rPr>
  </w:style>
  <w:style w:type="character" w:customStyle="1" w:styleId="36">
    <w:name w:val="页脚 Char1"/>
    <w:basedOn w:val="12"/>
    <w:semiHidden/>
    <w:qFormat/>
    <w:uiPriority w:val="99"/>
    <w:rPr>
      <w:rFonts w:ascii="Times New Roman" w:hAnsi="Times New Roman" w:eastAsia="宋体" w:cs="Times New Roman"/>
      <w:sz w:val="18"/>
      <w:szCs w:val="18"/>
    </w:rPr>
  </w:style>
  <w:style w:type="character" w:customStyle="1" w:styleId="37">
    <w:name w:val="批注框文本 Char"/>
    <w:basedOn w:val="12"/>
    <w:link w:val="6"/>
    <w:qFormat/>
    <w:uiPriority w:val="0"/>
    <w:rPr>
      <w:rFonts w:ascii="Times New Roman" w:hAnsi="Times New Roman" w:eastAsia="宋体" w:cs="Times New Roman"/>
      <w:sz w:val="18"/>
      <w:szCs w:val="18"/>
    </w:rPr>
  </w:style>
  <w:style w:type="paragraph" w:customStyle="1" w:styleId="3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9">
    <w:name w:val="文档结构图 Char"/>
    <w:basedOn w:val="12"/>
    <w:link w:val="2"/>
    <w:semiHidden/>
    <w:qFormat/>
    <w:uiPriority w:val="99"/>
    <w:rPr>
      <w:rFonts w:ascii="宋体" w:hAnsi="Times New Roman" w:eastAsia="宋体" w:cs="Times New Roman"/>
      <w:sz w:val="18"/>
      <w:szCs w:val="18"/>
    </w:rPr>
  </w:style>
  <w:style w:type="paragraph" w:customStyle="1" w:styleId="40">
    <w:name w:val="Char1 Char Char Char"/>
    <w:basedOn w:val="1"/>
    <w:qFormat/>
    <w:uiPriority w:val="0"/>
    <w:pPr>
      <w:spacing w:after="160" w:line="240" w:lineRule="exact"/>
    </w:pPr>
    <w:rPr>
      <w:rFonts w:eastAsia="仿宋_GB2312" w:cstheme="minorBidi"/>
      <w:sz w:val="32"/>
      <w:szCs w:val="32"/>
    </w:rPr>
  </w:style>
  <w:style w:type="paragraph" w:customStyle="1" w:styleId="41">
    <w:name w:val="修订1"/>
    <w:hidden/>
    <w:semiHidden/>
    <w:qFormat/>
    <w:uiPriority w:val="99"/>
    <w:rPr>
      <w:rFonts w:ascii="Times New Roman" w:hAnsi="Times New Roman" w:eastAsia="宋体" w:cs="Times New Roman"/>
      <w:kern w:val="2"/>
      <w:sz w:val="21"/>
      <w:szCs w:val="24"/>
      <w:lang w:val="en-US" w:eastAsia="zh-CN" w:bidi="ar-SA"/>
    </w:rPr>
  </w:style>
  <w:style w:type="paragraph" w:styleId="42">
    <w:name w:val="List Paragraph"/>
    <w:basedOn w:val="1"/>
    <w:unhideWhenUsed/>
    <w:qFormat/>
    <w:uiPriority w:val="34"/>
    <w:pPr>
      <w:widowControl w:val="0"/>
      <w:ind w:firstLine="420" w:firstLineChars="200"/>
      <w:jc w:val="both"/>
    </w:pPr>
    <w:rPr>
      <w:rFonts w:asciiTheme="minorHAnsi" w:hAnsiTheme="minorHAnsi" w:eastAsiaTheme="minorEastAsia" w:cstheme="minorBidi"/>
      <w:sz w:val="20"/>
      <w:szCs w:val="20"/>
    </w:rPr>
  </w:style>
  <w:style w:type="paragraph" w:customStyle="1" w:styleId="43">
    <w:name w:val="修订2"/>
    <w:hidden/>
    <w:unhideWhenUsed/>
    <w:qFormat/>
    <w:uiPriority w:val="99"/>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BE6035-BF9E-458E-ABE8-2A014340477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3674</Words>
  <Characters>20947</Characters>
  <Lines>174</Lines>
  <Paragraphs>49</Paragraphs>
  <TotalTime>1</TotalTime>
  <ScaleCrop>false</ScaleCrop>
  <LinksUpToDate>false</LinksUpToDate>
  <CharactersWithSpaces>24572</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2021-08-09T07:37:00Z</dcterms:created>
  <dc:creator>Administrator</dc:creator>
  <cp:lastModifiedBy>以梦为马</cp:lastModifiedBy>
  <cp:lastPrinted>2021-05-21T01:47:00Z</cp:lastPrinted>
  <dcterms:modified xsi:type="dcterms:W3CDTF">2026-07-06T07:20:09Z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CAFA486831F34D3DBF8D09D3C2CD9F5D</vt:lpwstr>
  </property>
</Properties>
</file>