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ind w:left="-179" w:leftChars="-95" w:right="-388" w:rightChars="-185" w:hanging="20"/>
        <w:jc w:val="center"/>
        <w:rPr>
          <w:rFonts w:eastAsia="方正小标宋_GBK"/>
          <w:b/>
          <w:color w:val="000000"/>
          <w:spacing w:val="-40"/>
          <w:w w:val="80"/>
          <w:sz w:val="56"/>
          <w:szCs w:val="56"/>
        </w:rPr>
      </w:pPr>
      <w:r>
        <w:rPr>
          <w:rFonts w:eastAsia="方正小标宋_GBK"/>
          <w:b/>
          <w:color w:val="000000"/>
          <w:spacing w:val="-28"/>
          <w:w w:val="80"/>
          <w:sz w:val="56"/>
          <w:szCs w:val="56"/>
        </w:rPr>
        <w:t>重庆市渝中区</w:t>
      </w:r>
      <w:r>
        <w:rPr>
          <w:rFonts w:hint="eastAsia" w:eastAsia="方正小标宋_GBK"/>
          <w:b/>
          <w:color w:val="000000"/>
          <w:spacing w:val="-28"/>
          <w:w w:val="80"/>
          <w:sz w:val="56"/>
          <w:szCs w:val="56"/>
        </w:rPr>
        <w:t>人民政府解放碑街道办事处</w:t>
      </w:r>
    </w:p>
    <w:p>
      <w:pPr>
        <w:spacing w:line="400" w:lineRule="atLeast"/>
        <w:rPr>
          <w:rFonts w:ascii="黑体" w:hAnsi="黑体" w:eastAsia="黑体"/>
          <w:sz w:val="44"/>
          <w:szCs w:val="44"/>
        </w:rPr>
      </w:pPr>
      <w:r>
        <w:rPr>
          <w:color w:val="000000"/>
          <w:sz w:val="32"/>
          <w:szCs w:val="32"/>
        </w:rPr>
        <w:pict>
          <v:line id="直线 1" o:spid="_x0000_s1026" o:spt="20" style="position:absolute;left:0pt;flip:y;margin-left:-4.8pt;margin-top:5.3pt;height:0.75pt;width:441.4pt;z-index:251658240;mso-width-relative:page;mso-height-relative:page;" stroked="t" coordsize="21600,21600">
            <v:path arrowok="t"/>
            <v:fill focussize="0,0"/>
            <v:stroke weight="1.25pt" color="#FF0000"/>
            <v:imagedata o:title=""/>
            <o:lock v:ext="edit"/>
          </v:line>
        </w:pict>
      </w:r>
    </w:p>
    <w:p>
      <w:pPr>
        <w:jc w:val="center"/>
        <w:rPr>
          <w:rFonts w:ascii="仿宋" w:hAnsi="仿宋" w:eastAsia="仿宋"/>
          <w:sz w:val="44"/>
          <w:szCs w:val="44"/>
        </w:rPr>
      </w:pPr>
      <w:r>
        <w:rPr>
          <w:rFonts w:hint="eastAsia" w:ascii="方正小标宋_GBK" w:hAnsi="方正小标宋_GBK" w:eastAsia="方正小标宋_GBK" w:cs="方正小标宋_GBK"/>
          <w:sz w:val="44"/>
          <w:szCs w:val="44"/>
        </w:rPr>
        <w:t>沧白路社区用房工程绩效评价自评报告</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Chars="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项目基本情况</w:t>
      </w:r>
    </w:p>
    <w:p>
      <w:pPr>
        <w:keepNext w:val="0"/>
        <w:keepLines w:val="0"/>
        <w:pageBreakBefore w:val="0"/>
        <w:widowControl w:val="0"/>
        <w:kinsoku/>
        <w:wordWrap/>
        <w:overflowPunct/>
        <w:topLinePunct w:val="0"/>
        <w:autoSpaceDE/>
        <w:autoSpaceDN/>
        <w:bidi w:val="0"/>
        <w:adjustRightInd/>
        <w:snapToGrid/>
        <w:spacing w:line="480" w:lineRule="exact"/>
        <w:ind w:firstLine="320" w:firstLineChars="1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（一）项目概况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2012年，为配合重庆市重点项目“两江大桥”建设，沧白路社区原办公用房被拆迁。拆迁后，在区委、区政府的关心和重视下，确定在沧白路拆迁区域空置处修建沧白路社区办公用房和街道养老中心。</w:t>
      </w:r>
    </w:p>
    <w:p>
      <w:pPr>
        <w:keepNext w:val="0"/>
        <w:keepLines w:val="0"/>
        <w:pageBreakBefore w:val="0"/>
        <w:widowControl w:val="0"/>
        <w:kinsoku/>
        <w:wordWrap/>
        <w:overflowPunct/>
        <w:topLinePunct w:val="0"/>
        <w:autoSpaceDE/>
        <w:autoSpaceDN/>
        <w:bidi w:val="0"/>
        <w:adjustRightInd/>
        <w:snapToGrid/>
        <w:spacing w:line="480" w:lineRule="exact"/>
        <w:ind w:firstLine="320" w:firstLineChars="1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一季度开工，年底主体完工。</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Chars="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绩效评价工作完成情况</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Chars="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前期准备</w:t>
      </w:r>
    </w:p>
    <w:p>
      <w:pPr>
        <w:keepNext w:val="0"/>
        <w:keepLines w:val="0"/>
        <w:pageBreakBefore w:val="0"/>
        <w:widowControl w:val="0"/>
        <w:kinsoku/>
        <w:wordWrap/>
        <w:overflowPunct/>
        <w:topLinePunct w:val="0"/>
        <w:autoSpaceDE/>
        <w:autoSpaceDN/>
        <w:bidi w:val="0"/>
        <w:adjustRightInd/>
        <w:snapToGrid/>
        <w:spacing w:line="480" w:lineRule="exact"/>
        <w:ind w:left="30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领导重视，落实责任。街道领导就推进预算绩效管理在街道主任办公会、党委会对推进预算绩效管理工作进行了工作部署。制定了预算绩效管理的具体落实方案，明确分管领导和专人负责预算绩效管理工作。</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Chars="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组织实施</w:t>
      </w:r>
    </w:p>
    <w:p>
      <w:pPr>
        <w:keepNext w:val="0"/>
        <w:keepLines w:val="0"/>
        <w:pageBreakBefore w:val="0"/>
        <w:widowControl w:val="0"/>
        <w:kinsoku/>
        <w:wordWrap/>
        <w:overflowPunct/>
        <w:topLinePunct w:val="0"/>
        <w:autoSpaceDE/>
        <w:autoSpaceDN/>
        <w:bidi w:val="0"/>
        <w:adjustRightInd/>
        <w:snapToGrid/>
        <w:spacing w:line="480" w:lineRule="exact"/>
        <w:ind w:left="30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项目专项资金用于沧白路社区用房工程建设。在实施过程中严格按照相关制度执行。根据《重庆市渝中区人民政府第一百零一次区长办公会议纪要》、《关于区城投公司部分年度重点项目建设的专题会议纪要》、《重庆市渝中区人民政府（2017-48）专题会议纪要》解放碑街道办事处作为沧白路社区用房项目建设业主推进项目实施。该项目于2018年8月18日开工建设，计划在2020年10月前投入使用。本项目分两期进行。第一期为主体工程，目前已完工。第二期为广场及绿化工程。绿化广场位置现为渝中连接隧道、渝中连接隧道与解放东路接口工程、解放碑地下环道接口工程三个项目的项目部驻地占用，待项目部拆除后方能进行施工，预计国庆节前完工。</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Chars="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分析评价</w:t>
      </w:r>
    </w:p>
    <w:p>
      <w:pPr>
        <w:keepNext w:val="0"/>
        <w:keepLines w:val="0"/>
        <w:pageBreakBefore w:val="0"/>
        <w:widowControl w:val="0"/>
        <w:kinsoku/>
        <w:wordWrap/>
        <w:overflowPunct/>
        <w:topLinePunct w:val="0"/>
        <w:autoSpaceDE/>
        <w:autoSpaceDN/>
        <w:bidi w:val="0"/>
        <w:adjustRightInd/>
        <w:snapToGrid/>
        <w:spacing w:line="480" w:lineRule="exact"/>
        <w:ind w:left="30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其中一、二楼社区和养老中心共用，三、四楼全部共1550.28平方米交由养老中心使用。该项目建设的完成，为打造双精品——精品社区和精品养老中心提供硬件基础。</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Chars="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绩效评价指标分析情况</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Chars="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项目资金情况分析</w:t>
      </w:r>
    </w:p>
    <w:p>
      <w:pPr>
        <w:pStyle w:val="5"/>
        <w:keepNext w:val="0"/>
        <w:keepLines w:val="0"/>
        <w:pageBreakBefore w:val="0"/>
        <w:widowControl w:val="0"/>
        <w:kinsoku/>
        <w:wordWrap/>
        <w:overflowPunct/>
        <w:topLinePunct w:val="0"/>
        <w:autoSpaceDE/>
        <w:autoSpaceDN/>
        <w:bidi w:val="0"/>
        <w:adjustRightInd/>
        <w:snapToGrid/>
        <w:spacing w:line="480" w:lineRule="exact"/>
        <w:ind w:left="320" w:firstLine="320" w:firstLineChars="1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1、项目资金到位情况分析。本项目资金来源为财政拨款，总投入为2307万元，资金已到达1687万元。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2、项目资金使用情况分析。截止报告期末，项目资金</w:t>
      </w:r>
      <w:r>
        <w:rPr>
          <w:rFonts w:hint="eastAsia" w:ascii="方正仿宋_GBK" w:hAnsi="方正仿宋_GBK" w:eastAsia="方正仿宋_GBK" w:cs="方正仿宋_GBK"/>
          <w:color w:val="000000" w:themeColor="text1"/>
          <w:sz w:val="32"/>
          <w:szCs w:val="32"/>
        </w:rPr>
        <w:t>1624.17万元已支出。该项目所有资金实行专款专用，资金</w:t>
      </w:r>
      <w:r>
        <w:rPr>
          <w:rFonts w:hint="eastAsia" w:ascii="方正仿宋_GBK" w:hAnsi="方正仿宋_GBK" w:eastAsia="方正仿宋_GBK" w:cs="方正仿宋_GBK"/>
          <w:sz w:val="32"/>
          <w:szCs w:val="32"/>
        </w:rPr>
        <w:t>拨付严格审批程序、使用规范，会计核算结果真实、准确。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项目资金管理情况分析。项目经费严格按照单位的财务制度和预算支出范围进行使用。按照项目计划安排和实际工作情况开支，做到专款专用。在合同和工程进度的基础上按照项目资金管理办法对资金进行计划申请、划拨、使用，及时、规范对收支进行财务处理和会计核算。</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（二）项目实施情况分析</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1、项目组织情况分析。根据项目管理办法紧紧围绕项目建设这个任务，有计划、有步骤开展沧白路社区用房建设。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项目管理情况分析。本项目支出均按照有关规章制度和项目实施完成情况进行支付。建立了相关的管理制度，由专人负责，项目进行前进行集体讨论研究，项目进行时由专人及时跟踪项目实施情况，并及时提出意见和建议。该项目正在准备进行分部验收，真正做到保质保量。项目的相关资料及时统一进行归档保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（三）项目绩效情况分析</w:t>
      </w:r>
    </w:p>
    <w:p>
      <w:pPr>
        <w:keepNext w:val="0"/>
        <w:keepLines w:val="0"/>
        <w:pageBreakBefore w:val="0"/>
        <w:widowControl w:val="0"/>
        <w:kinsoku/>
        <w:wordWrap/>
        <w:overflowPunct/>
        <w:topLinePunct w:val="0"/>
        <w:autoSpaceDE/>
        <w:autoSpaceDN/>
        <w:bidi w:val="0"/>
        <w:adjustRightInd/>
        <w:snapToGrid/>
        <w:spacing w:line="480" w:lineRule="exact"/>
        <w:ind w:firstLine="800" w:firstLineChars="25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预算控制情况。项目支出的所有资金使用严格按照有关财务制度执行，并经财政所严格审核使用。项目预算节约情况。项目支出过程中均按照厉行节约的原则完成。经渝中区第五十次区长办公会通过，解放碑街道将养老服务中心运营管理权,以招商引资的形式,交由宜康医疗保健（中国）私人有限公司和百龄帮（重庆）康养产业集团有限公司合作申请注册的重庆宜康百龄帮养老服务有限公司（中外合资）进行社会养老运营。2019年12月24日正式签定《渝中区解放碑街道养老服务中心场地租赁及运营合同》。目前，装饰概念设计已完成，正进行深化设计。委托运营机构宜康百龄帮养老服务有限公司对装修工程统一设计、统一施工、分别核算。其中，养老服务中心1550.28平方米，由运营机构负责出资装修；社区居委会520.8平方米由财政出资；共用部分388.84平方米由运营机构出资装修，不计入租金面积。街道召集施工单位进行了甩项处理，以便重复建设浪费资金。该项目主体工程目前已竣工，按时完成工作任务。为确保项目的顺利推进，我街于2019年11月委托第三方公司对即将引进的养老服务中心项目进行了社会稳定风险评估。踏勘走访率和支持率均达到80%的要求，通过对项目风险因素的定量、定性分析，项目社会稳定综合风险等级为低风险，并向区信访办备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方正黑体_GBK"/>
          <w:color w:val="000000"/>
          <w:kern w:val="0"/>
          <w:sz w:val="32"/>
          <w:szCs w:val="32"/>
          <w:shd w:val="clear" w:color="auto" w:fill="FFFFFF"/>
        </w:rPr>
      </w:pPr>
      <w:r>
        <w:rPr>
          <w:rFonts w:hint="eastAsia" w:ascii="方正黑体_GBK" w:hAnsi="方正黑体_GBK" w:eastAsia="方正黑体_GBK" w:cs="方正黑体_GBK"/>
          <w:sz w:val="32"/>
          <w:szCs w:val="32"/>
        </w:rPr>
        <w:t>四、</w:t>
      </w:r>
      <w:r>
        <w:rPr>
          <w:rFonts w:eastAsia="方正黑体_GBK"/>
          <w:color w:val="000000"/>
          <w:kern w:val="0"/>
          <w:sz w:val="32"/>
          <w:szCs w:val="32"/>
          <w:shd w:val="clear" w:color="auto" w:fill="FFFFFF"/>
        </w:rPr>
        <w:t>综合评价情况及评价结论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方正楷体_GBK"/>
          <w:color w:val="000000"/>
          <w:kern w:val="0"/>
          <w:sz w:val="32"/>
          <w:szCs w:val="32"/>
          <w:shd w:val="clear" w:color="auto" w:fill="FFFFFF"/>
        </w:rPr>
      </w:pPr>
      <w:r>
        <w:rPr>
          <w:rFonts w:eastAsia="方正楷体_GBK"/>
          <w:color w:val="000000"/>
          <w:kern w:val="0"/>
          <w:sz w:val="32"/>
          <w:szCs w:val="32"/>
          <w:shd w:val="clear" w:color="auto" w:fill="FFFFFF"/>
        </w:rPr>
        <w:t>（一）综合评价情况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产出指标得分为</w:t>
      </w:r>
      <w:r>
        <w:rPr>
          <w:rFonts w:hint="eastAsia" w:eastAsia="方正仿宋_GBK"/>
          <w:color w:val="000000"/>
          <w:kern w:val="0"/>
          <w:sz w:val="32"/>
          <w:szCs w:val="32"/>
          <w:shd w:val="clear" w:color="auto" w:fill="FFFFFF"/>
        </w:rPr>
        <w:t>67</w:t>
      </w:r>
      <w:r>
        <w:rPr>
          <w:rFonts w:eastAsia="方正仿宋_GBK"/>
          <w:color w:val="000000"/>
          <w:kern w:val="0"/>
          <w:sz w:val="32"/>
          <w:szCs w:val="32"/>
          <w:shd w:val="clear" w:color="auto" w:fill="FFFFFF"/>
        </w:rPr>
        <w:t>，其中实际完成率指标得分</w:t>
      </w:r>
      <w:r>
        <w:rPr>
          <w:rFonts w:hint="eastAsia" w:eastAsia="方正仿宋_GBK"/>
          <w:color w:val="000000"/>
          <w:kern w:val="0"/>
          <w:sz w:val="32"/>
          <w:szCs w:val="32"/>
          <w:shd w:val="clear" w:color="auto" w:fill="FFFFFF"/>
        </w:rPr>
        <w:t>35分，完成及时率</w:t>
      </w:r>
      <w:r>
        <w:rPr>
          <w:rFonts w:eastAsia="方正仿宋_GBK"/>
          <w:color w:val="000000"/>
          <w:kern w:val="0"/>
          <w:sz w:val="32"/>
          <w:szCs w:val="32"/>
          <w:shd w:val="clear" w:color="auto" w:fill="FFFFFF"/>
        </w:rPr>
        <w:t>指标得分</w:t>
      </w:r>
      <w:r>
        <w:rPr>
          <w:rFonts w:hint="eastAsia" w:eastAsia="方正仿宋_GBK"/>
          <w:color w:val="000000"/>
          <w:kern w:val="0"/>
          <w:sz w:val="32"/>
          <w:szCs w:val="32"/>
          <w:shd w:val="clear" w:color="auto" w:fill="FFFFFF"/>
        </w:rPr>
        <w:t>12分，成本偏离度</w:t>
      </w:r>
      <w:r>
        <w:rPr>
          <w:rFonts w:eastAsia="方正仿宋_GBK"/>
          <w:color w:val="000000"/>
          <w:kern w:val="0"/>
          <w:sz w:val="32"/>
          <w:szCs w:val="32"/>
          <w:shd w:val="clear" w:color="auto" w:fill="FFFFFF"/>
        </w:rPr>
        <w:t>指标得分</w:t>
      </w:r>
      <w:r>
        <w:rPr>
          <w:rFonts w:hint="eastAsia" w:eastAsia="方正仿宋_GBK"/>
          <w:color w:val="000000"/>
          <w:kern w:val="0"/>
          <w:sz w:val="32"/>
          <w:szCs w:val="32"/>
          <w:shd w:val="clear" w:color="auto" w:fill="FFFFFF"/>
        </w:rPr>
        <w:t>10分，质量达标率</w:t>
      </w:r>
      <w:r>
        <w:rPr>
          <w:rFonts w:eastAsia="方正仿宋_GBK"/>
          <w:color w:val="000000"/>
          <w:kern w:val="0"/>
          <w:sz w:val="32"/>
          <w:szCs w:val="32"/>
          <w:shd w:val="clear" w:color="auto" w:fill="FFFFFF"/>
        </w:rPr>
        <w:t>指标得分</w:t>
      </w:r>
      <w:r>
        <w:rPr>
          <w:rFonts w:hint="eastAsia" w:eastAsia="方正仿宋_GBK"/>
          <w:color w:val="000000"/>
          <w:kern w:val="0"/>
          <w:sz w:val="32"/>
          <w:szCs w:val="32"/>
          <w:shd w:val="clear" w:color="auto" w:fill="FFFFFF"/>
        </w:rPr>
        <w:t>10分；管理指标得分33分，其中</w:t>
      </w:r>
      <w:r>
        <w:rPr>
          <w:rFonts w:eastAsia="方正仿宋_GBK"/>
          <w:color w:val="000000"/>
          <w:kern w:val="0"/>
          <w:sz w:val="32"/>
          <w:szCs w:val="32"/>
          <w:shd w:val="clear" w:color="auto" w:fill="FFFFFF"/>
        </w:rPr>
        <w:t>决策管理指标得分为7。资金管理指标得分为5分。业务管理指标得分为21分。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方正楷体_GBK"/>
          <w:color w:val="000000"/>
          <w:kern w:val="0"/>
          <w:sz w:val="32"/>
          <w:szCs w:val="32"/>
          <w:shd w:val="clear" w:color="auto" w:fill="FFFFFF"/>
        </w:rPr>
      </w:pPr>
      <w:r>
        <w:rPr>
          <w:rFonts w:eastAsia="方正楷体_GBK"/>
          <w:color w:val="000000"/>
          <w:kern w:val="0"/>
          <w:sz w:val="32"/>
          <w:szCs w:val="32"/>
          <w:shd w:val="clear" w:color="auto" w:fill="FFFFFF"/>
        </w:rPr>
        <w:t>（二）绩效评价结论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sz w:val="32"/>
          <w:szCs w:val="32"/>
        </w:rPr>
      </w:pPr>
      <w:r>
        <w:rPr>
          <w:rFonts w:eastAsia="方正仿宋_GBK"/>
          <w:color w:val="000000" w:themeColor="text1"/>
          <w:kern w:val="0"/>
          <w:sz w:val="32"/>
          <w:szCs w:val="32"/>
          <w:shd w:val="clear" w:color="auto" w:fill="FFFFFF"/>
        </w:rPr>
        <w:t>综合评价总得分为</w:t>
      </w:r>
      <w:r>
        <w:rPr>
          <w:rFonts w:hint="eastAsia" w:eastAsia="方正仿宋_GBK"/>
          <w:color w:val="000000" w:themeColor="text1"/>
          <w:kern w:val="0"/>
          <w:sz w:val="32"/>
          <w:szCs w:val="32"/>
          <w:shd w:val="clear" w:color="auto" w:fill="FFFFFF"/>
        </w:rPr>
        <w:t>100分</w:t>
      </w:r>
      <w:r>
        <w:rPr>
          <w:rFonts w:eastAsia="方正仿宋_GBK"/>
          <w:color w:val="000000" w:themeColor="text1"/>
          <w:kern w:val="0"/>
          <w:sz w:val="32"/>
          <w:szCs w:val="32"/>
          <w:shd w:val="clear" w:color="auto" w:fill="FFFFFF"/>
        </w:rPr>
        <w:t>，绩效评价结果为好。</w:t>
      </w:r>
      <w:r>
        <w:rPr>
          <w:rFonts w:hint="eastAsia" w:ascii="方正仿宋_GBK" w:hAnsi="方正仿宋_GBK" w:eastAsia="方正仿宋_GBK" w:cs="方正仿宋_GBK"/>
          <w:sz w:val="32"/>
          <w:szCs w:val="32"/>
        </w:rPr>
        <w:t>沧白路社区用房工程建成后，将推进重庆品牌示范社区和重庆养老服务国际化标准的提升和创新，打造共建共享实现共赢共荣的双标杆，开启“一带一路”中新合作医疗养老项目的新征程。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五、主要经验及做法、存在的问题和建议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建立科学的资金管理办法和制度，严格执行相关规定，既保证资金使用的规范、严谨，又提高工作的效率、效益。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方正黑体_GBK"/>
          <w:color w:val="000000"/>
          <w:kern w:val="0"/>
          <w:sz w:val="32"/>
          <w:szCs w:val="32"/>
          <w:shd w:val="clear" w:color="auto" w:fill="FFFFFF"/>
        </w:rPr>
      </w:pPr>
      <w:r>
        <w:rPr>
          <w:rFonts w:eastAsia="方正黑体_GBK"/>
          <w:color w:val="000000"/>
          <w:kern w:val="0"/>
          <w:sz w:val="32"/>
          <w:szCs w:val="32"/>
          <w:shd w:val="clear" w:color="auto" w:fill="FFFFFF"/>
        </w:rPr>
        <w:t>六、其他需说明的问题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方正仿宋_GBK"/>
          <w:color w:val="000000" w:themeColor="text1"/>
          <w:kern w:val="0"/>
          <w:sz w:val="32"/>
          <w:szCs w:val="32"/>
          <w:shd w:val="clear" w:color="auto" w:fill="FFFFFF"/>
        </w:rPr>
      </w:pPr>
      <w:r>
        <w:rPr>
          <w:rFonts w:eastAsia="方正仿宋_GBK"/>
          <w:color w:val="000000" w:themeColor="text1"/>
          <w:kern w:val="0"/>
          <w:sz w:val="32"/>
          <w:szCs w:val="32"/>
          <w:shd w:val="clear" w:color="auto" w:fill="FFFFFF"/>
        </w:rPr>
        <w:t>一是受施工图设计、管线勘测等影响，项目实际开工时间为2018年</w:t>
      </w:r>
      <w:r>
        <w:rPr>
          <w:rFonts w:hint="eastAsia" w:eastAsia="方正仿宋_GBK"/>
          <w:color w:val="000000" w:themeColor="text1"/>
          <w:kern w:val="0"/>
          <w:sz w:val="32"/>
          <w:szCs w:val="32"/>
          <w:shd w:val="clear" w:color="auto" w:fill="FFFFFF"/>
        </w:rPr>
        <w:t>8</w:t>
      </w:r>
      <w:r>
        <w:rPr>
          <w:rFonts w:eastAsia="方正仿宋_GBK"/>
          <w:color w:val="000000" w:themeColor="text1"/>
          <w:kern w:val="0"/>
          <w:sz w:val="32"/>
          <w:szCs w:val="32"/>
          <w:shd w:val="clear" w:color="auto" w:fill="FFFFFF"/>
        </w:rPr>
        <w:t>月，竣工投用时间为</w:t>
      </w:r>
      <w:r>
        <w:rPr>
          <w:rFonts w:hint="eastAsia" w:eastAsia="方正仿宋_GBK"/>
          <w:color w:val="000000" w:themeColor="text1"/>
          <w:kern w:val="0"/>
          <w:sz w:val="32"/>
          <w:szCs w:val="32"/>
          <w:shd w:val="clear" w:color="auto" w:fill="FFFFFF"/>
        </w:rPr>
        <w:t>2020年10</w:t>
      </w:r>
      <w:r>
        <w:rPr>
          <w:rFonts w:eastAsia="方正仿宋_GBK"/>
          <w:color w:val="000000" w:themeColor="text1"/>
          <w:kern w:val="0"/>
          <w:sz w:val="32"/>
          <w:szCs w:val="32"/>
          <w:shd w:val="clear" w:color="auto" w:fill="FFFFFF"/>
        </w:rPr>
        <w:t>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方正仿宋_GBK"/>
          <w:color w:val="000000" w:themeColor="text1"/>
          <w:sz w:val="32"/>
          <w:szCs w:val="32"/>
        </w:rPr>
      </w:pPr>
      <w:r>
        <w:rPr>
          <w:rFonts w:hint="eastAsia" w:eastAsia="方正仿宋_GBK"/>
          <w:color w:val="000000" w:themeColor="text1"/>
          <w:kern w:val="0"/>
          <w:sz w:val="32"/>
          <w:szCs w:val="32"/>
          <w:shd w:val="clear" w:color="auto" w:fill="FFFFFF"/>
        </w:rPr>
        <w:t>二是</w:t>
      </w:r>
      <w:r>
        <w:rPr>
          <w:rFonts w:eastAsia="方正仿宋_GBK"/>
          <w:color w:val="000000" w:themeColor="text1"/>
          <w:kern w:val="0"/>
          <w:sz w:val="32"/>
          <w:szCs w:val="32"/>
          <w:shd w:val="clear" w:color="auto" w:fill="FFFFFF"/>
        </w:rPr>
        <w:t>项目按区的要求分为二期，目前一期（主体）工程正在开展收尾及分部结算工作，最终项目支出以结算审计和决算报告结果为准。</w:t>
      </w:r>
      <w:r>
        <w:rPr>
          <w:rFonts w:eastAsia="方正仿宋_GBK"/>
          <w:color w:val="000000" w:themeColor="text1"/>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方正仿宋_GBK"/>
          <w:color w:val="000000" w:themeColor="text1"/>
          <w:sz w:val="32"/>
          <w:szCs w:val="32"/>
        </w:rPr>
      </w:pPr>
      <w:r>
        <w:rPr>
          <w:rFonts w:eastAsia="方正仿宋_GBK"/>
          <w:color w:val="000000" w:themeColor="text1"/>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解放碑街道办事处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2020年4月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日</w:t>
      </w:r>
    </w:p>
    <w:p>
      <w:pPr>
        <w:spacing w:line="590" w:lineRule="exact"/>
        <w:ind w:firstLine="640" w:firstLineChars="200"/>
        <w:jc w:val="right"/>
        <w:rPr>
          <w:rFonts w:ascii="方正仿宋_GBK" w:hAnsi="方正仿宋_GBK" w:eastAsia="方正仿宋_GBK" w:cs="方正仿宋_GBK"/>
          <w:sz w:val="32"/>
          <w:szCs w:val="32"/>
        </w:rPr>
      </w:pPr>
    </w:p>
    <w:sectPr>
      <w:pgSz w:w="11906" w:h="16838"/>
      <w:pgMar w:top="1440" w:right="1463" w:bottom="1440" w:left="137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A1CB5"/>
    <w:multiLevelType w:val="multilevel"/>
    <w:tmpl w:val="516A1CB5"/>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
    <w:nsid w:val="539E0F62"/>
    <w:multiLevelType w:val="multilevel"/>
    <w:tmpl w:val="539E0F62"/>
    <w:lvl w:ilvl="0" w:tentative="0">
      <w:start w:val="1"/>
      <w:numFmt w:val="japaneseCounting"/>
      <w:lvlText w:val="（%1）"/>
      <w:lvlJc w:val="left"/>
      <w:pPr>
        <w:ind w:left="1380" w:hanging="1080"/>
      </w:pPr>
      <w:rPr>
        <w:rFonts w:hint="default"/>
      </w:rPr>
    </w:lvl>
    <w:lvl w:ilvl="1" w:tentative="0">
      <w:start w:val="2"/>
      <w:numFmt w:val="decimal"/>
      <w:lvlText w:val="%2、"/>
      <w:lvlJc w:val="left"/>
      <w:pPr>
        <w:ind w:left="1440" w:hanging="720"/>
      </w:pPr>
      <w:rPr>
        <w:rFonts w:hint="default"/>
      </w:r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2">
    <w:nsid w:val="787906D6"/>
    <w:multiLevelType w:val="multilevel"/>
    <w:tmpl w:val="787906D6"/>
    <w:lvl w:ilvl="0" w:tentative="0">
      <w:start w:val="1"/>
      <w:numFmt w:val="japaneseCounting"/>
      <w:lvlText w:val="%1、"/>
      <w:lvlJc w:val="left"/>
      <w:pPr>
        <w:ind w:left="1020" w:hanging="72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1D44"/>
    <w:rsid w:val="00177980"/>
    <w:rsid w:val="001D1E2E"/>
    <w:rsid w:val="002270E4"/>
    <w:rsid w:val="002B5A4F"/>
    <w:rsid w:val="002C0922"/>
    <w:rsid w:val="00324615"/>
    <w:rsid w:val="003527F4"/>
    <w:rsid w:val="00381FB7"/>
    <w:rsid w:val="003D4825"/>
    <w:rsid w:val="00432671"/>
    <w:rsid w:val="004660EF"/>
    <w:rsid w:val="004A514A"/>
    <w:rsid w:val="004C7A80"/>
    <w:rsid w:val="004F0927"/>
    <w:rsid w:val="004F3B85"/>
    <w:rsid w:val="005467B8"/>
    <w:rsid w:val="00553785"/>
    <w:rsid w:val="00555DB2"/>
    <w:rsid w:val="00687EC4"/>
    <w:rsid w:val="007637A0"/>
    <w:rsid w:val="00771894"/>
    <w:rsid w:val="008C0893"/>
    <w:rsid w:val="008F1D44"/>
    <w:rsid w:val="00A55F0A"/>
    <w:rsid w:val="00A92026"/>
    <w:rsid w:val="00AC302D"/>
    <w:rsid w:val="00AF1397"/>
    <w:rsid w:val="00B40FDC"/>
    <w:rsid w:val="00B97FF6"/>
    <w:rsid w:val="00C3377B"/>
    <w:rsid w:val="00C5369C"/>
    <w:rsid w:val="00C83E26"/>
    <w:rsid w:val="00D02A37"/>
    <w:rsid w:val="00D6364B"/>
    <w:rsid w:val="00E2411B"/>
    <w:rsid w:val="00E64F42"/>
    <w:rsid w:val="00E714B4"/>
    <w:rsid w:val="00E95FA3"/>
    <w:rsid w:val="00EB7030"/>
    <w:rsid w:val="00F051A3"/>
    <w:rsid w:val="11474F12"/>
    <w:rsid w:val="23843412"/>
    <w:rsid w:val="6CF7140A"/>
    <w:rsid w:val="6D1E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Emphasis"/>
    <w:basedOn w:val="3"/>
    <w:qFormat/>
    <w:uiPriority w:val="20"/>
    <w:rPr>
      <w:i/>
      <w:iCs/>
    </w:rPr>
  </w:style>
  <w:style w:type="paragraph" w:styleId="5">
    <w:name w:val="List Paragraph"/>
    <w:basedOn w:val="1"/>
    <w:qFormat/>
    <w:uiPriority w:val="34"/>
    <w:pPr>
      <w:ind w:firstLine="420" w:firstLineChars="200"/>
    </w:pPr>
  </w:style>
  <w:style w:type="character" w:customStyle="1" w:styleId="6">
    <w:name w:val="gray"/>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468D46-723E-4D54-8B59-C39A1131EB0F}">
  <ds:schemaRefs/>
</ds:datastoreItem>
</file>

<file path=docProps/app.xml><?xml version="1.0" encoding="utf-8"?>
<Properties xmlns="http://schemas.openxmlformats.org/officeDocument/2006/extended-properties" xmlns:vt="http://schemas.openxmlformats.org/officeDocument/2006/docPropsVTypes">
  <Template>Normal</Template>
  <Pages>5</Pages>
  <Words>328</Words>
  <Characters>1876</Characters>
  <Lines>15</Lines>
  <Paragraphs>4</Paragraphs>
  <TotalTime>41</TotalTime>
  <ScaleCrop>false</ScaleCrop>
  <LinksUpToDate>false</LinksUpToDate>
  <CharactersWithSpaces>2200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2020-04-08T02:09:00Z</dcterms:created>
  <dc:creator>ASUS</dc:creator>
  <cp:lastModifiedBy>张洁</cp:lastModifiedBy>
  <dcterms:modified xsi:type="dcterms:W3CDTF">2020-04-20T02:46:08Z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