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重庆市渝中区城市管理综合行政执法支队</w:t>
      </w:r>
    </w:p>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南纪门大队</w:t>
      </w: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按照街道管辖范围，承担辖区内</w:t>
      </w:r>
      <w:bookmarkStart w:id="0" w:name="_GoBack"/>
      <w:bookmarkEnd w:id="0"/>
      <w:r>
        <w:rPr>
          <w:rFonts w:hint="default" w:ascii="Times New Roman" w:hAnsi="Times New Roman" w:eastAsia="方正仿宋_GBK" w:cs="Times New Roman"/>
          <w:snapToGrid w:val="0"/>
          <w:color w:val="000000"/>
          <w:spacing w:val="0"/>
          <w:kern w:val="0"/>
          <w:sz w:val="31"/>
          <w:szCs w:val="31"/>
          <w:lang w:val="en-US" w:eastAsia="en-US" w:bidi="ar-SA"/>
        </w:rPr>
        <w:t>市政公用设施运行管理、市容环境卫生管理、城市供水排水、主城区规划城镇建设用地范围内的城市违法建筑、园林绿化（不含区城管局直管范围）等方面的执法职能。承担水务管理方面向城市河道倾倒废弃物和垃圾，生态环境方面露天烧烤污染、城市焚烧沥青塑料垃圾等烟尘和恶臭污染、露天焚烧秸秆落叶等烟尘污染，市场监管方面户外公共场所无照经营、违规设置户外广告、户外公共场所食品销售和餐饮摊点无证经营，交通管理方面侵占城市道路的执法职能。</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重庆市渝中区城市管理综合行政执法支队南纪门大队为南纪门街道办事处所属的参照公务员法管理的事业单位，共有工作人员15人，其中参公编制15人。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right="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支出总计</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增加222.21</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增加222.21</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增加222.21</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0.00万</w:t>
      </w:r>
      <w:r>
        <w:rPr>
          <w:rFonts w:hint="default" w:ascii="Times New Roman" w:hAnsi="Times New Roman" w:cs="Times New Roman"/>
          <w:spacing w:val="0"/>
        </w:rPr>
        <w:t>元，占</w:t>
      </w:r>
      <w:r>
        <w:rPr>
          <w:rFonts w:hint="eastAsia" w:ascii="Times New Roman" w:hAnsi="Times New Roman" w:eastAsia="宋体" w:cs="Times New Roman"/>
          <w:spacing w:val="0"/>
          <w:lang w:val="en-US" w:eastAsia="zh-CN"/>
        </w:rPr>
        <w:t>0.00</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增加222.21</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right="0" w:firstLine="622" w:firstLineChars="200"/>
        <w:jc w:val="both"/>
        <w:textAlignment w:val="baseline"/>
        <w:rPr>
          <w:rFonts w:hint="eastAsia" w:ascii="Times New Roman" w:hAnsi="Times New Roman" w:cs="Times New Roman"/>
          <w:spacing w:val="0"/>
          <w:lang w:eastAsia="zh-CN"/>
        </w:rPr>
      </w:pP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增加222.21</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94" w:lineRule="exact"/>
        <w:ind w:left="0" w:leftChars="0" w:right="0" w:rightChars="0" w:firstLine="622"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222.21</w:t>
      </w:r>
      <w:r>
        <w:rPr>
          <w:rFonts w:hint="default" w:ascii="Times New Roman" w:hAnsi="Times New Roman" w:cs="Times New Roman"/>
          <w:spacing w:val="0"/>
        </w:rPr>
        <w:t>万</w:t>
      </w:r>
      <w:r>
        <w:rPr>
          <w:rFonts w:hint="eastAsia" w:ascii="Times New Roman" w:hAnsi="Times New Roman" w:cs="Times New Roman"/>
          <w:spacing w:val="0"/>
          <w:lang w:val="en-US" w:eastAsia="zh-CN"/>
        </w:rPr>
        <w:t>元，</w:t>
      </w:r>
      <w:r>
        <w:rPr>
          <w:rFonts w:hint="default" w:ascii="Times New Roman" w:hAnsi="Times New Roman" w:cs="Times New Roman"/>
          <w:spacing w:val="0"/>
        </w:rPr>
        <w:t>较上年决算数</w:t>
      </w:r>
      <w:r>
        <w:rPr>
          <w:rFonts w:hint="eastAsia" w:ascii="Times New Roman" w:hAnsi="Times New Roman" w:cs="Times New Roman"/>
          <w:spacing w:val="0"/>
          <w:lang w:val="en-US" w:eastAsia="zh-CN"/>
        </w:rPr>
        <w:t>增加222.21</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eastAsia" w:ascii="Times New Roman" w:hAnsi="Times New Roman" w:cs="Times New Roman"/>
          <w:spacing w:val="0"/>
          <w:lang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600" w:lineRule="exact"/>
        <w:ind w:left="0" w:leftChars="0" w:right="0" w:firstLine="622" w:firstLineChars="200"/>
        <w:jc w:val="both"/>
        <w:textAlignment w:val="baseline"/>
        <w:rPr>
          <w:rFonts w:hint="default" w:ascii="Times New Roman" w:hAnsi="Times New Roman" w:cs="Times New Roman"/>
          <w:spacing w:val="0"/>
        </w:rPr>
      </w:pP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lang w:val="en-US"/>
        </w:rPr>
      </w:pPr>
      <w:r>
        <w:rPr>
          <w:rFonts w:hint="default" w:ascii="Times New Roman" w:hAnsi="Times New Roman" w:cs="Times New Roman"/>
          <w:spacing w:val="0"/>
        </w:rPr>
        <w:t>（</w:t>
      </w:r>
      <w:r>
        <w:rPr>
          <w:rFonts w:hint="default" w:ascii="Times New Roman" w:hAnsi="Times New Roman" w:eastAsia="Times New Roman" w:cs="Times New Roman"/>
          <w:spacing w:val="0"/>
        </w:rPr>
        <w:t>1</w:t>
      </w:r>
      <w:r>
        <w:rPr>
          <w:rFonts w:hint="default" w:ascii="Times New Roman" w:hAnsi="Times New Roman" w:cs="Times New Roman"/>
          <w:spacing w:val="0"/>
        </w:rPr>
        <w:t>）</w:t>
      </w:r>
      <w:r>
        <w:rPr>
          <w:rFonts w:hint="default" w:ascii="Times New Roman" w:hAnsi="Times New Roman" w:cs="Times New Roman"/>
          <w:spacing w:val="0"/>
          <w:highlight w:val="none"/>
        </w:rPr>
        <w:t>一般公共服务支出</w:t>
      </w:r>
      <w:r>
        <w:rPr>
          <w:rFonts w:hint="eastAsia" w:ascii="Times New Roman" w:hAnsi="Times New Roman" w:cs="Times New Roman"/>
          <w:spacing w:val="0"/>
          <w:lang w:val="en-US" w:eastAsia="zh-CN"/>
        </w:rPr>
        <w:t>199.18</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89.64</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增加199.18</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2024年开始街道本级及其下属事业单位分开建账、独立核算，将街道本级的工资、社保、公用经费等指标调剂至所属二级事业单位下。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2</w:t>
      </w: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22.48</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10.12</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增加22.48</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94" w:lineRule="exact"/>
        <w:ind w:right="0" w:rightChars="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3</w:t>
      </w:r>
      <w:r>
        <w:rPr>
          <w:rFonts w:hint="default" w:ascii="Times New Roman" w:hAnsi="Times New Roman" w:cs="Times New Roman"/>
          <w:spacing w:val="0"/>
        </w:rPr>
        <w:t>）住房保障支出</w:t>
      </w:r>
      <w:r>
        <w:rPr>
          <w:rFonts w:hint="eastAsia" w:ascii="Times New Roman" w:hAnsi="Times New Roman" w:cs="Times New Roman"/>
          <w:spacing w:val="0"/>
          <w:lang w:val="en-US" w:eastAsia="zh-CN"/>
        </w:rPr>
        <w:t>0.55</w:t>
      </w:r>
      <w:r>
        <w:rPr>
          <w:rFonts w:hint="default" w:ascii="Times New Roman" w:hAnsi="Times New Roman" w:cs="Times New Roman"/>
          <w:spacing w:val="0"/>
        </w:rPr>
        <w:t>万元，占</w:t>
      </w:r>
      <w:r>
        <w:rPr>
          <w:rFonts w:hint="eastAsia" w:ascii="Times New Roman" w:hAnsi="Times New Roman" w:cs="Times New Roman"/>
          <w:spacing w:val="0"/>
          <w:lang w:val="en-US" w:eastAsia="zh-CN"/>
        </w:rPr>
        <w:t>0.24</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eastAsia" w:ascii="Times New Roman" w:hAnsi="Times New Roman" w:cs="Times New Roman"/>
          <w:spacing w:val="0"/>
          <w:lang w:val="en-US" w:eastAsia="zh-CN"/>
        </w:rPr>
        <w:t>0.55</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2024年开始街道本级及其下属事业单位分开建账、独立核算，将街道本级的社保指标调剂至所属二级事业单位下。</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eastAsia" w:ascii="Times New Roman" w:hAnsi="Times New Roman" w:cs="Times New Roman"/>
          <w:spacing w:val="0"/>
          <w:lang w:val="en-US" w:eastAsia="zh-CN"/>
        </w:rPr>
        <w:t>222.21</w:t>
      </w:r>
      <w:r>
        <w:rPr>
          <w:rFonts w:hint="default" w:ascii="Times New Roman" w:hAnsi="Times New Roman" w:cs="Times New Roman"/>
          <w:spacing w:val="0"/>
        </w:rPr>
        <w:t>万元。其中：人员经费</w:t>
      </w:r>
      <w:r>
        <w:rPr>
          <w:rFonts w:hint="eastAsia" w:ascii="Times New Roman" w:hAnsi="Times New Roman" w:cs="Times New Roman"/>
          <w:spacing w:val="0"/>
          <w:lang w:val="en-US" w:eastAsia="zh-CN"/>
        </w:rPr>
        <w:t>199.8</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199.8</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rPr>
        <w:t>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22.4</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增加22.4</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w:t>
      </w:r>
      <w:r>
        <w:rPr>
          <w:rFonts w:hint="eastAsia" w:ascii="Times New Roman" w:hAnsi="Times New Roman" w:cs="Times New Roman"/>
          <w:spacing w:val="0"/>
          <w:lang w:val="en-US" w:eastAsia="zh-CN"/>
        </w:rPr>
        <w:t>政府性基金</w:t>
      </w:r>
      <w:r>
        <w:rPr>
          <w:rFonts w:hint="default" w:ascii="Times New Roman" w:hAnsi="Times New Roman" w:cs="Times New Roman"/>
          <w:spacing w:val="0"/>
        </w:rPr>
        <w:t>预算财政拨款支出。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.00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0</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万元，费用支出较年初预算数无增减</w:t>
      </w:r>
      <w:r>
        <w:rPr>
          <w:rFonts w:hint="eastAsia" w:ascii="Times New Roman" w:hAnsi="Times New Roman" w:cs="Times New Roman"/>
          <w:spacing w:val="0"/>
          <w:lang w:eastAsia="zh-CN"/>
        </w:rPr>
        <w:t>，</w:t>
      </w:r>
      <w:r>
        <w:rPr>
          <w:rFonts w:hint="default" w:ascii="Times New Roman" w:hAnsi="Times New Roman" w:cs="Times New Roman"/>
          <w:spacing w:val="0"/>
        </w:rPr>
        <w:t>较上年支出数无增减。主要原因是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22.4</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增加22.4</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增长100</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2024年开始街道本级及其下属事业单位分开建账、独立核算。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0</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0</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cs="Times New Roman"/>
          <w:spacing w:val="0"/>
          <w:lang w:val="en-US" w:eastAsia="zh-CN"/>
        </w:rPr>
        <w:t>0.00</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万元、政府采购工程支出</w:t>
      </w:r>
      <w:r>
        <w:rPr>
          <w:rFonts w:hint="eastAsia" w:ascii="Times New Roman" w:hAnsi="Times New Roman" w:cs="Times New Roman"/>
          <w:spacing w:val="0"/>
          <w:lang w:val="en-US" w:eastAsia="zh-CN"/>
        </w:rPr>
        <w:t>0.00</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eastAsia" w:ascii="Times New Roman" w:hAnsi="Times New Roman" w:eastAsia="方正楷体_GBK" w:cs="Times New Roman"/>
          <w:spacing w:val="0"/>
          <w:sz w:val="31"/>
          <w:szCs w:val="31"/>
          <w:lang w:val="en-US" w:eastAsia="zh-CN"/>
        </w:rPr>
      </w:pPr>
      <w:r>
        <w:rPr>
          <w:rFonts w:hint="eastAsia" w:ascii="Times New Roman" w:hAnsi="Times New Roman" w:eastAsia="方正仿宋_GBK" w:cs="Times New Roman"/>
          <w:snapToGrid w:val="0"/>
          <w:color w:val="000000"/>
          <w:spacing w:val="0"/>
          <w:kern w:val="0"/>
          <w:sz w:val="31"/>
          <w:szCs w:val="31"/>
          <w:lang w:val="en-US" w:eastAsia="zh-CN" w:bidi="ar-SA"/>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pStyle w:val="2"/>
        <w:keepNext w:val="0"/>
        <w:keepLines w:val="0"/>
        <w:pageBreakBefore w:val="0"/>
        <w:widowControl w:val="0"/>
        <w:numPr>
          <w:ilvl w:val="0"/>
          <w:numId w:val="2"/>
        </w:numPr>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绩效自评报告或案例</w:t>
      </w:r>
    </w:p>
    <w:p>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right="0" w:rightChars="0" w:firstLine="620" w:firstLineChars="200"/>
        <w:jc w:val="both"/>
        <w:textAlignment w:val="baseline"/>
        <w:rPr>
          <w:rFonts w:hint="default" w:ascii="Times New Roman" w:hAnsi="Times New Roman" w:cs="Times New Roman"/>
          <w:spacing w:val="0"/>
        </w:rPr>
      </w:pPr>
      <w:r>
        <w:rPr>
          <w:rFonts w:hint="eastAsia" w:ascii="Times New Roman" w:hAnsi="Times New Roman" w:cs="Times New Roman"/>
          <w:spacing w:val="0"/>
          <w:lang w:val="en-US" w:eastAsia="zh-CN"/>
        </w:rPr>
        <w:t>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eastAsia" w:ascii="Times New Roman" w:hAnsi="Times New Roman" w:cs="Times New Roman"/>
          <w:spacing w:val="0"/>
          <w:lang w:val="en-US" w:eastAsia="zh-CN"/>
        </w:rPr>
        <w:t>无</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966F1"/>
    <w:multiLevelType w:val="singleLevel"/>
    <w:tmpl w:val="C6C966F1"/>
    <w:lvl w:ilvl="0" w:tentative="0">
      <w:start w:val="2"/>
      <w:numFmt w:val="decimal"/>
      <w:lvlText w:val="%1."/>
      <w:lvlJc w:val="left"/>
      <w:pPr>
        <w:tabs>
          <w:tab w:val="left" w:pos="312"/>
        </w:tabs>
      </w:pPr>
    </w:lvl>
  </w:abstractNum>
  <w:abstractNum w:abstractNumId="1">
    <w:nsid w:val="39B3F525"/>
    <w:multiLevelType w:val="singleLevel"/>
    <w:tmpl w:val="39B3F52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5172094"/>
    <w:rsid w:val="225F789C"/>
    <w:rsid w:val="28B400D2"/>
    <w:rsid w:val="2961184E"/>
    <w:rsid w:val="4365792D"/>
    <w:rsid w:val="4BD430C5"/>
    <w:rsid w:val="4E867452"/>
    <w:rsid w:val="638C0851"/>
    <w:rsid w:val="6498339B"/>
    <w:rsid w:val="736D7101"/>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6</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