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fixed"/>
        <w:tblCellMar>
          <w:top w:w="0" w:type="dxa"/>
          <w:left w:w="0" w:type="dxa"/>
          <w:bottom w:w="0" w:type="dxa"/>
          <w:right w:w="0" w:type="dxa"/>
        </w:tblCellMar>
      </w:tblPr>
      <w:tblGrid>
        <w:gridCol w:w="284"/>
        <w:gridCol w:w="1092"/>
        <w:gridCol w:w="1035"/>
        <w:gridCol w:w="1664"/>
        <w:gridCol w:w="1034"/>
        <w:gridCol w:w="123"/>
        <w:gridCol w:w="1000"/>
        <w:gridCol w:w="1054"/>
        <w:gridCol w:w="1050"/>
      </w:tblGrid>
      <w:tr>
        <w:tblPrEx>
          <w:tblCellMar>
            <w:top w:w="0" w:type="dxa"/>
            <w:left w:w="0" w:type="dxa"/>
            <w:bottom w:w="0" w:type="dxa"/>
            <w:right w:w="0" w:type="dxa"/>
          </w:tblCellMar>
        </w:tblPrEx>
        <w:trPr>
          <w:trHeight w:val="459" w:hRule="atLeast"/>
        </w:trPr>
        <w:tc>
          <w:tcPr>
            <w:tcW w:w="5000" w:type="pct"/>
            <w:gridSpan w:val="9"/>
            <w:tcBorders>
              <w:top w:val="nil"/>
              <w:left w:val="nil"/>
              <w:bottom w:val="nil"/>
              <w:right w:val="nil"/>
            </w:tcBorders>
            <w:noWrap w:val="0"/>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215" w:hRule="atLeast"/>
        </w:trPr>
        <w:tc>
          <w:tcPr>
            <w:tcW w:w="3138" w:type="pct"/>
            <w:gridSpan w:val="6"/>
            <w:tcBorders>
              <w:top w:val="nil"/>
              <w:left w:val="nil"/>
              <w:bottom w:val="nil"/>
              <w:right w:val="nil"/>
            </w:tcBorders>
            <w:noWrap/>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1861" w:type="pct"/>
            <w:gridSpan w:val="3"/>
            <w:tcBorders>
              <w:top w:val="nil"/>
              <w:left w:val="nil"/>
              <w:bottom w:val="nil"/>
              <w:right w:val="nil"/>
            </w:tcBorders>
            <w:noWrap w:val="0"/>
            <w:tcMar>
              <w:top w:w="15" w:type="dxa"/>
              <w:left w:w="15" w:type="dxa"/>
              <w:right w:w="15" w:type="dxa"/>
            </w:tcMar>
            <w:vAlign w:val="center"/>
          </w:tcPr>
          <w:p>
            <w:pPr>
              <w:widowControl/>
              <w:spacing w:line="320" w:lineRule="exact"/>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单位：万元</w:t>
            </w:r>
          </w:p>
        </w:tc>
      </w:tr>
      <w:tr>
        <w:tblPrEx>
          <w:tblCellMar>
            <w:top w:w="0" w:type="dxa"/>
            <w:left w:w="0" w:type="dxa"/>
            <w:bottom w:w="0" w:type="dxa"/>
            <w:right w:w="0" w:type="dxa"/>
          </w:tblCellMar>
        </w:tblPrEx>
        <w:trPr>
          <w:trHeight w:val="645" w:hRule="atLeast"/>
        </w:trPr>
        <w:tc>
          <w:tcPr>
            <w:tcW w:w="17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一、项目基本情况</w:t>
            </w:r>
          </w:p>
        </w:tc>
        <w:tc>
          <w:tcPr>
            <w:tcW w:w="6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项目名称</w:t>
            </w:r>
          </w:p>
        </w:tc>
        <w:tc>
          <w:tcPr>
            <w:tcW w:w="16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渝中区南纪门街道片区城镇老旧小区配套工程</w:t>
            </w:r>
          </w:p>
        </w:tc>
        <w:tc>
          <w:tcPr>
            <w:tcW w:w="69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项目实施起止时间</w:t>
            </w:r>
          </w:p>
        </w:tc>
        <w:tc>
          <w:tcPr>
            <w:tcW w:w="186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2020.9-2021.10</w:t>
            </w:r>
          </w:p>
        </w:tc>
      </w:tr>
      <w:tr>
        <w:tblPrEx>
          <w:tblCellMar>
            <w:top w:w="0" w:type="dxa"/>
            <w:left w:w="0" w:type="dxa"/>
            <w:bottom w:w="0" w:type="dxa"/>
            <w:right w:w="0" w:type="dxa"/>
          </w:tblCellMar>
        </w:tblPrEx>
        <w:trPr>
          <w:trHeight w:val="645"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项目实施单位</w:t>
            </w:r>
          </w:p>
        </w:tc>
        <w:tc>
          <w:tcPr>
            <w:tcW w:w="16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渝中区南纪门街道办事处</w:t>
            </w:r>
          </w:p>
        </w:tc>
        <w:tc>
          <w:tcPr>
            <w:tcW w:w="69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w:t>
            </w:r>
          </w:p>
        </w:tc>
        <w:tc>
          <w:tcPr>
            <w:tcW w:w="186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渝中区南纪门街道办事处</w:t>
            </w:r>
          </w:p>
        </w:tc>
      </w:tr>
      <w:tr>
        <w:tblPrEx>
          <w:tblCellMar>
            <w:top w:w="0" w:type="dxa"/>
            <w:left w:w="0" w:type="dxa"/>
            <w:bottom w:w="0" w:type="dxa"/>
            <w:right w:w="0" w:type="dxa"/>
          </w:tblCellMar>
        </w:tblPrEx>
        <w:trPr>
          <w:trHeight w:val="645"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绩效管理联系人</w:t>
            </w:r>
          </w:p>
        </w:tc>
        <w:tc>
          <w:tcPr>
            <w:tcW w:w="16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冯光艳</w:t>
            </w:r>
          </w:p>
        </w:tc>
        <w:tc>
          <w:tcPr>
            <w:tcW w:w="692"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联系电话</w:t>
            </w:r>
          </w:p>
        </w:tc>
        <w:tc>
          <w:tcPr>
            <w:tcW w:w="186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13436013264</w:t>
            </w:r>
          </w:p>
        </w:tc>
      </w:tr>
      <w:tr>
        <w:tblPrEx>
          <w:tblCellMar>
            <w:top w:w="0" w:type="dxa"/>
            <w:left w:w="0" w:type="dxa"/>
            <w:bottom w:w="0" w:type="dxa"/>
            <w:right w:w="0" w:type="dxa"/>
          </w:tblCellMar>
        </w:tblPrEx>
        <w:trPr>
          <w:trHeight w:val="1055"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项目概况</w:t>
            </w:r>
          </w:p>
        </w:tc>
        <w:tc>
          <w:tcPr>
            <w:tcW w:w="4173"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主要是对南纪门街道片区老旧小区进行环境及配套设施进行整治整合。</w:t>
            </w:r>
          </w:p>
        </w:tc>
      </w:tr>
      <w:tr>
        <w:tblPrEx>
          <w:tblCellMar>
            <w:top w:w="0" w:type="dxa"/>
            <w:left w:w="0" w:type="dxa"/>
            <w:bottom w:w="0" w:type="dxa"/>
            <w:right w:w="0" w:type="dxa"/>
          </w:tblCellMar>
        </w:tblPrEx>
        <w:trPr>
          <w:trHeight w:val="98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立项依据</w:t>
            </w:r>
          </w:p>
        </w:tc>
        <w:tc>
          <w:tcPr>
            <w:tcW w:w="4173"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渝中发改委【2020】139号。</w:t>
            </w:r>
          </w:p>
        </w:tc>
      </w:tr>
      <w:tr>
        <w:tblPrEx>
          <w:tblCellMar>
            <w:top w:w="0" w:type="dxa"/>
            <w:left w:w="0" w:type="dxa"/>
            <w:bottom w:w="0" w:type="dxa"/>
            <w:right w:w="0" w:type="dxa"/>
          </w:tblCellMar>
        </w:tblPrEx>
        <w:trPr>
          <w:trHeight w:val="438"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项目预算</w:t>
            </w:r>
          </w:p>
        </w:tc>
        <w:tc>
          <w:tcPr>
            <w:tcW w:w="6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合计</w:t>
            </w:r>
          </w:p>
        </w:tc>
        <w:tc>
          <w:tcPr>
            <w:tcW w:w="9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一般公共预算</w:t>
            </w:r>
          </w:p>
        </w:tc>
        <w:tc>
          <w:tcPr>
            <w:tcW w:w="69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政府性基金预算</w:t>
            </w:r>
          </w:p>
        </w:tc>
        <w:tc>
          <w:tcPr>
            <w:tcW w:w="12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国有资本</w:t>
            </w:r>
          </w:p>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经营预算</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其他资金</w:t>
            </w:r>
          </w:p>
        </w:tc>
      </w:tr>
      <w:tr>
        <w:tblPrEx>
          <w:tblCellMar>
            <w:top w:w="0" w:type="dxa"/>
            <w:left w:w="0" w:type="dxa"/>
            <w:bottom w:w="0" w:type="dxa"/>
            <w:right w:w="0" w:type="dxa"/>
          </w:tblCellMar>
        </w:tblPrEx>
        <w:trPr>
          <w:trHeight w:val="600" w:hRule="atLeast"/>
        </w:trPr>
        <w:tc>
          <w:tcPr>
            <w:tcW w:w="1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6050</w:t>
            </w:r>
          </w:p>
        </w:tc>
        <w:tc>
          <w:tcPr>
            <w:tcW w:w="9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Cs/>
                <w:color w:val="000000"/>
                <w:kern w:val="0"/>
                <w:sz w:val="24"/>
              </w:rPr>
              <w:t>4100</w:t>
            </w:r>
          </w:p>
        </w:tc>
        <w:tc>
          <w:tcPr>
            <w:tcW w:w="69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Cs/>
                <w:color w:val="000000"/>
                <w:kern w:val="0"/>
                <w:sz w:val="24"/>
              </w:rPr>
              <w:t>1950</w:t>
            </w:r>
          </w:p>
        </w:tc>
        <w:tc>
          <w:tcPr>
            <w:tcW w:w="12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1377" w:hRule="atLeast"/>
        </w:trPr>
        <w:tc>
          <w:tcPr>
            <w:tcW w:w="17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二、绩效目标编制</w:t>
            </w: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项目当年绩效目标</w:t>
            </w:r>
          </w:p>
        </w:tc>
        <w:tc>
          <w:tcPr>
            <w:tcW w:w="4173" w:type="pct"/>
            <w:gridSpan w:val="7"/>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提升下半城城市品质，提升老旧小区周边环境品质，为即将开街了“山城巷传统风貌区”和“十八梯传统风貌区”相配套，增强了周边居民幸福感。</w:t>
            </w:r>
          </w:p>
        </w:tc>
      </w:tr>
      <w:tr>
        <w:tblPrEx>
          <w:tblCellMar>
            <w:top w:w="0" w:type="dxa"/>
            <w:left w:w="0" w:type="dxa"/>
            <w:bottom w:w="0" w:type="dxa"/>
            <w:right w:w="0" w:type="dxa"/>
          </w:tblCellMar>
        </w:tblPrEx>
        <w:trPr>
          <w:trHeight w:val="378"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127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指标类型</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指标名称</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指标性质</w:t>
            </w:r>
          </w:p>
        </w:tc>
        <w:tc>
          <w:tcPr>
            <w:tcW w:w="6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指标值</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计量单位</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指标说明</w:t>
            </w:r>
          </w:p>
        </w:tc>
      </w:tr>
      <w:tr>
        <w:tblPrEx>
          <w:tblCellMar>
            <w:top w:w="0" w:type="dxa"/>
            <w:left w:w="0" w:type="dxa"/>
            <w:bottom w:w="0" w:type="dxa"/>
            <w:right w:w="0" w:type="dxa"/>
          </w:tblCellMar>
        </w:tblPrEx>
        <w:trPr>
          <w:trHeight w:val="462"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127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1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产出类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数量指标</w:t>
            </w:r>
          </w:p>
        </w:tc>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投资额完成量</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1950</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万元</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1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质量指标</w:t>
            </w:r>
          </w:p>
        </w:tc>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项目建设质量</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无</w:t>
            </w:r>
          </w:p>
        </w:tc>
        <w:tc>
          <w:tcPr>
            <w:tcW w:w="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合格</w:t>
            </w:r>
          </w:p>
        </w:tc>
        <w:tc>
          <w:tcPr>
            <w:tcW w:w="6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无</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《建设工程质量管理条例》</w:t>
            </w:r>
          </w:p>
        </w:tc>
      </w:tr>
      <w:tr>
        <w:tblPrEx>
          <w:tblCellMar>
            <w:top w:w="0" w:type="dxa"/>
            <w:left w:w="0" w:type="dxa"/>
            <w:bottom w:w="0" w:type="dxa"/>
            <w:right w:w="0" w:type="dxa"/>
          </w:tblCellMar>
        </w:tblPrEx>
        <w:trPr>
          <w:trHeight w:val="690" w:hRule="atLeast"/>
        </w:trPr>
        <w:tc>
          <w:tcPr>
            <w:tcW w:w="1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进度指标</w:t>
            </w:r>
          </w:p>
        </w:tc>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完成工程进度</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32</w:t>
            </w:r>
          </w:p>
        </w:tc>
        <w:tc>
          <w:tcPr>
            <w:tcW w:w="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1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效益类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社会效益指标</w:t>
            </w:r>
          </w:p>
        </w:tc>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数字案件协助处理率</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100</w:t>
            </w:r>
          </w:p>
        </w:tc>
        <w:tc>
          <w:tcPr>
            <w:tcW w:w="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17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320" w:lineRule="exact"/>
              <w:jc w:val="center"/>
              <w:rPr>
                <w:rFonts w:ascii="方正仿宋_GBK" w:hAnsi="方正仿宋_GBK" w:eastAsia="方正仿宋_GBK" w:cs="方正仿宋_GBK"/>
                <w:b/>
                <w:color w:val="000000"/>
                <w:sz w:val="24"/>
              </w:rPr>
            </w:pPr>
          </w:p>
        </w:tc>
        <w:tc>
          <w:tcPr>
            <w:tcW w:w="65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社会效益指标</w:t>
            </w:r>
          </w:p>
        </w:tc>
        <w:tc>
          <w:tcPr>
            <w:tcW w:w="9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督办案件协助处理率</w:t>
            </w:r>
          </w:p>
        </w:tc>
        <w:tc>
          <w:tcPr>
            <w:tcW w:w="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7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100</w:t>
            </w:r>
          </w:p>
        </w:tc>
        <w:tc>
          <w:tcPr>
            <w:tcW w:w="6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6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ascii="方正仿宋_GBK" w:hAnsi="方正仿宋_GBK" w:eastAsia="方正仿宋_GBK" w:cs="方正仿宋_GBK"/>
                <w:color w:val="00000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B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2020-08-03T03:03:53Z</dcterms:created>
  <dc:creator>Administrator</dc:creator>
  <cp:lastModifiedBy>Administrator</cp:lastModifiedBy>
  <dcterms:modified xsi:type="dcterms:W3CDTF">2020-08-03T03:04:05Z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