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/>
        <w:jc w:val="center"/>
        <w:rPr>
          <w:rFonts w:ascii="Times New Roman" w:hAnsi="Times New Roman" w:eastAsia="方正小标宋_GBK" w:cs="Times New Roman"/>
          <w:spacing w:val="0"/>
          <w:w w:val="94"/>
          <w:kern w:val="1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w w:val="94"/>
          <w:kern w:val="10"/>
          <w:sz w:val="44"/>
          <w:szCs w:val="44"/>
        </w:rPr>
        <w:t>重庆市渝中区人民政府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/>
        <w:jc w:val="center"/>
        <w:rPr>
          <w:rFonts w:ascii="Times New Roman" w:hAnsi="Times New Roman" w:eastAsia="方正小标宋_GBK" w:cs="Times New Roman"/>
          <w:spacing w:val="0"/>
          <w:w w:val="94"/>
          <w:kern w:val="1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w w:val="94"/>
          <w:kern w:val="10"/>
          <w:sz w:val="44"/>
          <w:szCs w:val="44"/>
        </w:rPr>
        <w:t>关于2023年第三次预算调整方案（草案）的报告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/>
        <w:jc w:val="center"/>
        <w:textAlignment w:val="auto"/>
        <w:rPr>
          <w:rFonts w:ascii="Times New Roman" w:hAnsi="Times New Roman" w:eastAsia="方正楷体_GBK" w:cs="Times New Roman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方正楷体_GBK" w:cs="Times New Roman"/>
          <w:spacing w:val="0"/>
          <w:kern w:val="0"/>
          <w:sz w:val="32"/>
          <w:szCs w:val="32"/>
          <w:u w:val="none"/>
          <w:lang w:eastAsia="zh-CN"/>
        </w:rPr>
        <w:t>（经</w:t>
      </w:r>
      <w:r>
        <w:rPr>
          <w:rFonts w:ascii="Times New Roman" w:hAnsi="Times New Roman" w:eastAsia="方正楷体_GBK" w:cs="Times New Roman"/>
          <w:spacing w:val="0"/>
          <w:kern w:val="0"/>
          <w:sz w:val="32"/>
          <w:szCs w:val="32"/>
          <w:u w:val="none"/>
        </w:rPr>
        <w:t>2023年</w:t>
      </w:r>
      <w:r>
        <w:rPr>
          <w:rFonts w:hint="eastAsia" w:ascii="Times New Roman" w:hAnsi="Times New Roman" w:eastAsia="方正楷体_GBK" w:cs="Times New Roman"/>
          <w:spacing w:val="0"/>
          <w:kern w:val="0"/>
          <w:sz w:val="32"/>
          <w:szCs w:val="32"/>
          <w:u w:val="none"/>
          <w:lang w:val="en-US" w:eastAsia="zh-CN"/>
        </w:rPr>
        <w:t>7</w:t>
      </w:r>
      <w:r>
        <w:rPr>
          <w:rFonts w:ascii="Times New Roman" w:hAnsi="Times New Roman" w:eastAsia="方正楷体_GBK" w:cs="Times New Roman"/>
          <w:spacing w:val="0"/>
          <w:kern w:val="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楷体_GBK" w:cs="Times New Roman"/>
          <w:spacing w:val="0"/>
          <w:kern w:val="0"/>
          <w:sz w:val="32"/>
          <w:szCs w:val="32"/>
          <w:u w:val="none"/>
          <w:lang w:val="en-US" w:eastAsia="zh-CN"/>
        </w:rPr>
        <w:t>26</w:t>
      </w:r>
      <w:r>
        <w:rPr>
          <w:rFonts w:ascii="Times New Roman" w:hAnsi="Times New Roman" w:eastAsia="方正楷体_GBK" w:cs="Times New Roman"/>
          <w:spacing w:val="0"/>
          <w:kern w:val="0"/>
          <w:sz w:val="32"/>
          <w:szCs w:val="32"/>
          <w:u w:val="none"/>
        </w:rPr>
        <w:t>日区第</w:t>
      </w:r>
      <w:r>
        <w:rPr>
          <w:rFonts w:ascii="Times New Roman" w:hAnsi="Times New Roman" w:eastAsia="方正楷体_GBK" w:cs="Times New Roman"/>
          <w:spacing w:val="0"/>
          <w:kern w:val="0"/>
          <w:sz w:val="32"/>
          <w:szCs w:val="32"/>
          <w:u w:val="none"/>
          <w:lang w:val="en-US" w:eastAsia="zh-CN"/>
        </w:rPr>
        <w:t>十九</w:t>
      </w:r>
      <w:r>
        <w:rPr>
          <w:rFonts w:ascii="Times New Roman" w:hAnsi="Times New Roman" w:eastAsia="方正楷体_GBK" w:cs="Times New Roman"/>
          <w:spacing w:val="0"/>
          <w:kern w:val="0"/>
          <w:sz w:val="32"/>
          <w:szCs w:val="32"/>
          <w:u w:val="none"/>
        </w:rPr>
        <w:t>届人大常委会第</w:t>
      </w:r>
      <w:r>
        <w:rPr>
          <w:rFonts w:hint="eastAsia" w:ascii="Times New Roman" w:hAnsi="Times New Roman" w:eastAsia="方正楷体_GBK" w:cs="Times New Roman"/>
          <w:spacing w:val="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ascii="Times New Roman" w:hAnsi="Times New Roman" w:eastAsia="方正楷体_GBK" w:cs="Times New Roman"/>
          <w:spacing w:val="0"/>
          <w:kern w:val="0"/>
          <w:sz w:val="32"/>
          <w:szCs w:val="32"/>
          <w:u w:val="none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/>
        <w:jc w:val="center"/>
        <w:textAlignment w:val="auto"/>
        <w:rPr>
          <w:rFonts w:hint="eastAsia" w:ascii="Times New Roman" w:hAnsi="Times New Roman" w:eastAsia="方正楷体_GBK" w:cs="Times New Roman"/>
          <w:spacing w:val="0"/>
          <w:kern w:val="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楷体_GBK" w:cs="Times New Roman"/>
          <w:spacing w:val="0"/>
          <w:kern w:val="0"/>
          <w:sz w:val="32"/>
          <w:szCs w:val="32"/>
          <w:u w:val="none"/>
          <w:lang w:eastAsia="zh-CN"/>
        </w:rPr>
        <w:t>审议通过）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640" w:firstLineChars="200"/>
        <w:jc w:val="both"/>
        <w:textAlignment w:val="auto"/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640" w:firstLineChars="200"/>
        <w:jc w:val="both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方正黑体_GBK" w:cs="Times New Roman"/>
          <w:sz w:val="32"/>
          <w:szCs w:val="32"/>
        </w:rPr>
        <w:t>预算调整事由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根据《重庆市财政局关于下达2023年第四批政府债券资金预算的通知》（渝财债〔2023〕28号），2023年5月，市财政局转贷给我区新增政府专项债券资金150,000万元，期限30年、利率3.18%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根据《重庆市财政局关于下达2023年第五批政府债券资金预算的通知》（渝财债〔2023〕35号），2023年6月，市财政局转贷给我区新增政府一般债券资金10,000万元，期限5年、利率2.53%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相应一般公共收支预算和政府性基金收支预算需要调整。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640" w:firstLineChars="200"/>
        <w:jc w:val="both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预算调整事项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firstLine="640" w:firstLineChars="200"/>
        <w:jc w:val="both"/>
        <w:textAlignment w:val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（一）一般债券10,000万元。</w:t>
      </w:r>
      <w:r>
        <w:rPr>
          <w:rFonts w:ascii="Times New Roman" w:hAnsi="Times New Roman" w:eastAsia="方正仿宋_GBK" w:cs="Times New Roman"/>
          <w:sz w:val="32"/>
          <w:szCs w:val="32"/>
        </w:rPr>
        <w:t>根据新增债券使用要求，一般债券主要用于公益性项目。建议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优先满足续建项目需要，</w:t>
      </w:r>
      <w:r>
        <w:rPr>
          <w:rFonts w:ascii="Times New Roman" w:hAnsi="Times New Roman" w:eastAsia="方正仿宋_GBK" w:cs="Times New Roman"/>
          <w:sz w:val="32"/>
          <w:szCs w:val="32"/>
        </w:rPr>
        <w:t>安排10,000万元渝中区求精中学河运校区工程、人和街小学教辅用房建设工程、大坪小学老教学楼排危改造工程等教育基础设施建设项目（详见附件1）。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（二）专项债券150,000万元。</w:t>
      </w:r>
      <w:r>
        <w:rPr>
          <w:rFonts w:ascii="Times New Roman" w:hAnsi="Times New Roman" w:eastAsia="方正仿宋_GBK" w:cs="Times New Roman"/>
          <w:sz w:val="32"/>
          <w:szCs w:val="32"/>
        </w:rPr>
        <w:t>根据新增债券使用要求，专项债券优先满足续建项目需要。结合区发改委梳理上报的新增政府债券项目需求以及上级审核、公开披露情况，新增政府专项债券150,000万元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建议安排8,000万元用于渝中区老旧小区改造提升项目（三期），22,000万元用于渝中区老旧小区改造提升项目（二期），120,000万元用于渝中区城市更新项目（一期）（详见附件2）。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三、预算调整方案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（一）一般公共预算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上述调整后，一般公共收入预算总计调整为881,715万元，调增10,000万元。其中：本级收入预算428,000万元，保持不变；转移性收入预算调整为453,715万元，调增10,000万元，全部为地方政府一般债券转贷收入增加。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一般公共支出预算总计调整为881,715万元，调增10,000万元。其中：本级支出预算783,973万元，调增10,000万元，全部为新增地方政府一般债券收入对应的支出；转移性支出预算97,742万元，保持不变（详见附件3）。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上述调整后，政府性基金收入预算总计调整为332,185万元，调增150,000万元。其中：无本级收入预算，保持不变；转移性收入预算调整为332,185万元，调增150,000万元，全部为新增地方政府专项债务转贷收入增加。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政府性基金支出预算总计调整为332,185万元，调增150,000万元。其中：本级支出预算调整为269,985万元，调增150,000万元，全部为新增政府专项债券对应的支出；转移性支出预算62,200万元，保持不变（详见附件4）。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四、政府债务限额及余额情况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firstLine="643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限额方面</w:t>
      </w:r>
      <w:r>
        <w:rPr>
          <w:rFonts w:ascii="Times New Roman" w:hAnsi="Times New Roman" w:eastAsia="方正仿宋_GBK" w:cs="Times New Roman"/>
          <w:sz w:val="32"/>
          <w:szCs w:val="32"/>
        </w:rPr>
        <w:t>：根据《重庆市财政局关于下达2023年第二批新增政府债务限额的通知》（渝财债〔2023〕29号），新增下达政府债务限额共272,300万元，其中一般债务22,300万元、专项债务250,000万元。本次新增下达政府债务限额后，政府债务限额为1,873,300万元，其中：一般债务限额共计543,300万元、专项债务限额共计1,330,000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3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余额方面</w:t>
      </w:r>
      <w:r>
        <w:rPr>
          <w:rFonts w:ascii="Times New Roman" w:hAnsi="Times New Roman" w:eastAsia="方正仿宋_GBK" w:cs="Times New Roman"/>
          <w:sz w:val="32"/>
          <w:szCs w:val="32"/>
        </w:rPr>
        <w:t>：本次新增政府债券发行后，政府债务余额1,610,100万元，其中：一般债务共计530,700万元、专项债务共计1,079,400万元，严格控制在限额范围内。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0" w:line="620" w:lineRule="exact"/>
        <w:ind w:left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以上报告，请予审议。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640" w:firstLineChars="20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20" w:lineRule="exact"/>
        <w:ind w:left="0" w:firstLine="596" w:firstLineChars="200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11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1.渝中区2023年新增政府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一般</w:t>
      </w: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债券资金使用建议表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1494" w:firstLineChars="467"/>
        <w:jc w:val="both"/>
        <w:textAlignment w:val="auto"/>
        <w:rPr>
          <w:rFonts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0"/>
          <w:sz w:val="32"/>
          <w:szCs w:val="32"/>
        </w:rPr>
        <w:t>2.渝中区2023年新增政府专项债券资金使用建议表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1484" w:firstLineChars="482"/>
        <w:jc w:val="both"/>
        <w:textAlignment w:val="auto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3.渝中区2023年一般公共预算收支调整预算表（草案）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left="0" w:firstLine="1484" w:firstLineChars="498"/>
        <w:jc w:val="both"/>
        <w:textAlignment w:val="auto"/>
        <w:rPr>
          <w:rFonts w:ascii="Times New Roman" w:hAnsi="Times New Roman" w:eastAsia="方正仿宋_GBK" w:cs="Times New Roman"/>
          <w:spacing w:val="-11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7" w:right="1587" w:bottom="1417" w:left="158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pacing w:val="-11"/>
          <w:sz w:val="32"/>
          <w:szCs w:val="32"/>
        </w:rPr>
        <w:t>4.渝中区2023年政府性基金预算收支调整预算表（草案）</w:t>
      </w:r>
    </w:p>
    <w:p>
      <w:pPr>
        <w:rPr>
          <w:rFonts w:ascii="Times New Roman" w:hAnsi="Times New Roman" w:eastAsia="方正仿宋_GBK" w:cs="Times New Roman"/>
          <w:spacing w:val="-17"/>
          <w:w w:val="96"/>
          <w:sz w:val="32"/>
          <w:szCs w:val="32"/>
        </w:rPr>
      </w:pPr>
    </w:p>
    <w:tbl>
      <w:tblPr>
        <w:tblStyle w:val="11"/>
        <w:tblpPr w:leftFromText="180" w:rightFromText="180" w:vertAnchor="text" w:horzAnchor="page" w:tblpXSpec="center" w:tblpY="-52"/>
        <w:tblOverlap w:val="never"/>
        <w:tblW w:w="14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3619"/>
        <w:gridCol w:w="1500"/>
        <w:gridCol w:w="1755"/>
        <w:gridCol w:w="1500"/>
        <w:gridCol w:w="4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bottom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华文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渝中区2023年新增政府一般债券资金使用建议表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ascii="Times New Roman" w:hAnsi="Times New Roman" w:eastAsia="华文仿宋" w:cs="Times New Roman"/>
                <w:color w:val="000000"/>
                <w:sz w:val="36"/>
                <w:szCs w:val="36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ascii="Times New Roman" w:hAnsi="Times New Roman" w:eastAsia="华文仿宋" w:cs="Times New Roman"/>
                <w:color w:val="000000"/>
                <w:sz w:val="36"/>
                <w:szCs w:val="3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ascii="Times New Roman" w:hAnsi="Times New Roman" w:eastAsia="华文仿宋" w:cs="Times New Roman"/>
                <w:color w:val="000000"/>
                <w:sz w:val="36"/>
                <w:szCs w:val="3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ascii="Times New Roman" w:hAnsi="Times New Roman" w:eastAsia="华文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ascii="Times New Roman" w:hAnsi="Times New Roman" w:eastAsia="华文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ascii="Times New Roman" w:hAnsi="Times New Roman" w:eastAsia="华文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项目类别</w:t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（续建/新建）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债券使用额度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项目内容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</w:rPr>
              <w:t>10,000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渝中区求精中学河运校区工程、人和街小学教辅用房建设工程等教育基础设施建设项目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义务教育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续建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10,000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主要包括大坪小学老教学楼排危改造工程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求精中学河运校区工程、人和街小学教辅用房建设工程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中华路小学改扩建（二期）工程、二十九中学校分部初中教学楼建设工程、巴蜀小学南校区排危改造及周边环境综合整治工程、巴蜀中学张家花园校区教学楼新建工程等</w:t>
            </w:r>
          </w:p>
        </w:tc>
      </w:tr>
    </w:tbl>
    <w:p>
      <w:r>
        <w:br w:type="page"/>
      </w:r>
    </w:p>
    <w:tbl>
      <w:tblPr>
        <w:tblStyle w:val="11"/>
        <w:tblW w:w="13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4320"/>
        <w:gridCol w:w="1695"/>
        <w:gridCol w:w="1650"/>
        <w:gridCol w:w="1312"/>
        <w:gridCol w:w="4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华文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华文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渝中区2023年新增政府专项债券资金使用建议表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华文仿宋" w:cs="Times New Roman"/>
                <w:color w:val="000000"/>
                <w:sz w:val="36"/>
                <w:szCs w:val="3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华文仿宋" w:cs="Times New Roman"/>
                <w:color w:val="000000"/>
                <w:sz w:val="36"/>
                <w:szCs w:val="36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华文仿宋" w:cs="Times New Roman"/>
                <w:color w:val="000000"/>
                <w:sz w:val="36"/>
                <w:szCs w:val="3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华文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华文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Style w:val="18"/>
                <w:rFonts w:ascii="Times New Roman" w:hAnsi="Times New Roman" w:eastAsia="方正黑体_GBK" w:cs="Times New Roman"/>
              </w:rPr>
              <w:t>项目类别</w:t>
            </w:r>
            <w:r>
              <w:rPr>
                <w:rStyle w:val="18"/>
                <w:rFonts w:ascii="Times New Roman" w:hAnsi="Times New Roman" w:eastAsia="方正黑体_GBK" w:cs="Times New Roman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（续建/新建）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债券金额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</w:rPr>
              <w:t>项目内容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4"/>
              </w:rPr>
              <w:t>150,000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渝中区老旧小区改造提升项目（三期）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城镇老旧小区改造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续建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8,000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主要包括全民健身场馆、大黄路公共停车楼等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渝中区老旧小区改造提升项目（二期）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城镇老旧小区改造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续建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22,000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主要包括渝中区新型智慧城市智能中枢（一期）、解放碑地下停车库及连接通道国贸绕行段等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渝中区城市更新项目（一期）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城镇老旧小区改造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120,000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主要包括红岩公园提升改造项目、蒲草田片区十号线上盖及周边建设项目等</w:t>
            </w:r>
          </w:p>
        </w:tc>
      </w:tr>
    </w:tbl>
    <w:p/>
    <w:p>
      <w:pPr>
        <w:pStyle w:val="10"/>
      </w:pPr>
    </w:p>
    <w:p/>
    <w:p>
      <w:pPr>
        <w:pStyle w:val="15"/>
        <w:sectPr>
          <w:pgSz w:w="16838" w:h="11906" w:orient="landscape"/>
          <w:pgMar w:top="1417" w:right="1587" w:bottom="1417" w:left="1587" w:header="851" w:footer="992" w:gutter="0"/>
          <w:cols w:space="720" w:num="1"/>
          <w:docGrid w:type="lines" w:linePitch="312" w:charSpace="0"/>
        </w:sectPr>
      </w:pPr>
    </w:p>
    <w:tbl>
      <w:tblPr>
        <w:tblStyle w:val="11"/>
        <w:tblpPr w:leftFromText="180" w:rightFromText="180" w:vertAnchor="page" w:horzAnchor="page" w:tblpXSpec="center" w:tblpY="1597"/>
        <w:tblOverlap w:val="never"/>
        <w:tblW w:w="10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933"/>
        <w:gridCol w:w="934"/>
        <w:gridCol w:w="1277"/>
        <w:gridCol w:w="2267"/>
        <w:gridCol w:w="967"/>
        <w:gridCol w:w="933"/>
        <w:gridCol w:w="1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渝中区2023年一般公共预算收支调整预算表（草案）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6"/>
                <w:szCs w:val="3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6"/>
                <w:szCs w:val="3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6"/>
                <w:szCs w:val="3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6"/>
                <w:szCs w:val="36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36"/>
                <w:szCs w:val="3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收  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增减额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支  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增减额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总  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871,715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10,000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881,715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总  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871,715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10,000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881,715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本级收入合计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428,000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428,000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本级支出合计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773,973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783,973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一、税收收入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354,000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354,000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6"/>
                <w:kern w:val="0"/>
                <w:sz w:val="24"/>
                <w:szCs w:val="24"/>
              </w:rPr>
              <w:t>一、一般公共服务支出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90,698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90,698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增值税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115,000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115,000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二、国防支出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2,930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2,930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企业所得税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59,500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59,500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三、公共安全支出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100,620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100,620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个人所得税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33,600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33,600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四、教育支出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170,762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170,762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城市维护建设税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19,800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19,800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五、科学技术支出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4,242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4,242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房产税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28,100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28,100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六、文化旅游体育与传媒支出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7,887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7,887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印花税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23,000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23,000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七、社会保障和就业支出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142,077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142,077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城镇土地使用税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4,200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4,200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八、卫生健康支出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60,151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60,151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土地增值税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49,000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49,000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九、节能环保支出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5,919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5,919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契税及其他税收收入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21,800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21,800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十、城乡社区支出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83,070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93,070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二、非税收入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74,000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74,000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十一、农林水支出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3,147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3,147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教育费附加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16,000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16,000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十二、交通运输支出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1,661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1,661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残疾人保障金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8,800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8,800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十三、资源勘探工业信息等支出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5,501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5,501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行政事业性收费收入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十四、商业服务业等支出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15,785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15,785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罚没收入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6,000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6,000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十五、自然资源海洋气象等支出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国有资源（资产）有偿使用收入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42,300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42,300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十六、住房保障支出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35,185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35,185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捐赠收入及其他收入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</w:rPr>
              <w:t>十七、粮油物资储备支出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转移性收入合计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443,715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10,000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453,715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十八、灾害防治及应急管理支出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11,394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11,394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一、上级补助收入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317,233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317,233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十九、预备费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10,000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二、动用预算稳定调节基金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二十、其他支出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收  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增减额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支  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增减额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三、调入资金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65,000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65,000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6"/>
                <w:kern w:val="0"/>
                <w:sz w:val="24"/>
                <w:szCs w:val="24"/>
              </w:rPr>
              <w:t>二十一、债务付息支出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22,000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1"/>
                <w:kern w:val="0"/>
                <w:sz w:val="24"/>
                <w:szCs w:val="24"/>
              </w:rPr>
              <w:t>四、地方政府债务收入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19,000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29,000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二十二、债务发行费用支出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地方政府债券收入(新增）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转移性支出合计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97,742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97,742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地方政府债券收入(再融资）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19,000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19,000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一、上解支出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78,742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78,742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1"/>
                <w:kern w:val="0"/>
                <w:sz w:val="24"/>
                <w:szCs w:val="24"/>
              </w:rPr>
              <w:t>地方政府外债借款收入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二、债务还本支出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19,000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五、上年结转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42,482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42,482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地方政府一般债务还本支出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19,000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19,000</w:t>
            </w:r>
          </w:p>
        </w:tc>
      </w:tr>
    </w:tbl>
    <w:p>
      <w:pPr>
        <w:pStyle w:val="2"/>
      </w:pPr>
    </w:p>
    <w:p>
      <w:pPr>
        <w:sectPr>
          <w:pgSz w:w="11906" w:h="16838"/>
          <w:pgMar w:top="1417" w:right="1587" w:bottom="1417" w:left="1587" w:header="851" w:footer="992" w:gutter="0"/>
          <w:cols w:space="720" w:num="1"/>
          <w:docGrid w:type="lines" w:linePitch="312" w:charSpace="0"/>
        </w:sectPr>
      </w:pPr>
    </w:p>
    <w:tbl>
      <w:tblPr>
        <w:tblStyle w:val="11"/>
        <w:tblpPr w:leftFromText="180" w:rightFromText="180" w:vertAnchor="text" w:horzAnchor="page" w:tblpX="1391" w:tblpY="371"/>
        <w:tblOverlap w:val="never"/>
        <w:tblW w:w="14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1284"/>
        <w:gridCol w:w="1533"/>
        <w:gridCol w:w="1407"/>
        <w:gridCol w:w="2593"/>
        <w:gridCol w:w="1562"/>
        <w:gridCol w:w="1562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 w:cs="方正黑体_GBK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4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44"/>
                <w:szCs w:val="44"/>
              </w:rPr>
              <w:t>渝中区</w:t>
            </w:r>
            <w:r>
              <w:rPr>
                <w:rStyle w:val="19"/>
                <w:rFonts w:hint="eastAsia" w:ascii="方正小标宋_GBK" w:eastAsia="方正小标宋_GBK" w:cs="方正小标宋_GBK"/>
                <w:sz w:val="44"/>
                <w:szCs w:val="44"/>
              </w:rPr>
              <w:t>2023</w:t>
            </w: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44"/>
                <w:szCs w:val="44"/>
              </w:rPr>
              <w:t>年政府性基金预算收支调整预算表（草案）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收  入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增减额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调整预算数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支  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增减额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调整预算数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总  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182,185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150,000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332,185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总  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182,185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150,000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332,185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本级收入合计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本级支出合计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119,985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150,000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269,985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</w:rPr>
              <w:t>其中：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2290402</w:t>
            </w: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</w:rPr>
              <w:t>其他地方自行试点项目收益专项债券收入安排的支出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50,000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150,000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ascii="Times New Roman" w:hAnsi="Times New Roman" w:eastAsia="方正黑体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/>
                <w:color w:val="000000"/>
                <w:kern w:val="0"/>
                <w:sz w:val="24"/>
                <w:szCs w:val="24"/>
              </w:rPr>
              <w:t>转移性收入合计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/>
                <w:color w:val="000000"/>
                <w:kern w:val="0"/>
                <w:sz w:val="24"/>
                <w:szCs w:val="24"/>
              </w:rPr>
              <w:t>182,185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/>
                <w:color w:val="000000"/>
                <w:kern w:val="0"/>
                <w:sz w:val="24"/>
                <w:szCs w:val="24"/>
              </w:rPr>
              <w:t>150,000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/>
                <w:color w:val="000000"/>
                <w:kern w:val="0"/>
                <w:sz w:val="24"/>
                <w:szCs w:val="24"/>
              </w:rPr>
              <w:t>332,185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ascii="Times New Roman" w:hAnsi="Times New Roman" w:eastAsia="方正黑体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/>
                <w:color w:val="000000"/>
                <w:kern w:val="0"/>
                <w:sz w:val="24"/>
                <w:szCs w:val="24"/>
              </w:rPr>
              <w:t>转移性支出合计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/>
                <w:color w:val="000000"/>
                <w:kern w:val="0"/>
                <w:sz w:val="24"/>
                <w:szCs w:val="24"/>
              </w:rPr>
              <w:t>62,200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黑体_GBK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黑体_GBK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 w:val="0"/>
                <w:bCs/>
                <w:color w:val="000000"/>
                <w:kern w:val="0"/>
                <w:sz w:val="24"/>
                <w:szCs w:val="24"/>
              </w:rPr>
              <w:t>62,200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一、上级补助收入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82,369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82,369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一、调出资金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62,200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62,200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二、债务转贷收入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50,000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150,000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200,000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其中：地方政府专项债务转贷收入（新增）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50,000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150,000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200,000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  <w:t>三、上年结转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49,816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49,816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</w:tbl>
    <w:p>
      <w:r>
        <w:br w:type="page"/>
      </w:r>
    </w:p>
    <w:p>
      <w:pPr>
        <w:sectPr>
          <w:pgSz w:w="16838" w:h="11906" w:orient="landscape"/>
          <w:pgMar w:top="1417" w:right="1587" w:bottom="1417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6924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8535" cy="26924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21.2pt;width:77.05pt;mso-position-horizontal:outside;mso-position-horizontal-relative:margin;z-index:251659264;mso-width-relative:page;mso-height-relative:page;" filled="f" stroked="f" coordsize="21600,21600" o:gfxdata="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QGx73UAAAABAEAAA8AAAAAAAAAAQAgAAAAIgAAAGRycy9k&#10;b3ducmV2LnhtbFBLAQIUABQAAAAIAIdO4kCFTxM4BgIAAPYDAAAOAAAAAAAAAAEAIAAAACM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280" w:firstLineChars="10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83335" cy="2794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3335" cy="27940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22pt;width:101.05pt;mso-position-horizontal:outside;mso-position-horizontal-relative:margin;z-index:251659264;mso-width-relative:page;mso-height-relative:page;" filled="f" stroked="f" coordsize="21600,21600" o:gfxdata="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AG+KXTAAAABAEAAA8AAAAAAAAAAQAgAAAAIgAAAGRycy9k&#10;b3ducmV2LnhtbFBLAQIUABQAAAAIAIdO4kBpYzegBwIAAPcDAAAOAAAAAAAAAAEAIAAAACI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280" w:firstLineChars="10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TNjZmZkNjQ1NzQ3ZmE2Nzk3NzNmNjAzZTExNDMwMzkifQ=="/>
  </w:docVars>
  <w:rsids>
    <w:rsidRoot w:val="00000000"/>
    <w:rsid w:val="09360E53"/>
    <w:rsid w:val="12183261"/>
    <w:rsid w:val="121F3A4F"/>
    <w:rsid w:val="12B63802"/>
    <w:rsid w:val="2B8D6D49"/>
    <w:rsid w:val="37537A1E"/>
    <w:rsid w:val="481F6F9D"/>
    <w:rsid w:val="5B2F3CA6"/>
    <w:rsid w:val="5B422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Arial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oc 3"/>
    <w:basedOn w:val="1"/>
    <w:next w:val="1"/>
    <w:qFormat/>
    <w:uiPriority w:val="0"/>
    <w:pPr>
      <w:ind w:left="84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200" w:firstLineChars="200"/>
    </w:pPr>
  </w:style>
  <w:style w:type="paragraph" w:styleId="8">
    <w:name w:val="header"/>
    <w:next w:val="9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itle"/>
    <w:basedOn w:val="1"/>
    <w:next w:val="1"/>
    <w:qFormat/>
    <w:uiPriority w:val="0"/>
    <w:pPr>
      <w:spacing w:before="240" w:after="60" w:line="594" w:lineRule="exact"/>
      <w:ind w:firstLine="200" w:firstLineChars="200"/>
      <w:jc w:val="center"/>
    </w:pPr>
    <w:rPr>
      <w:rFonts w:ascii="Cambria" w:hAnsi="Cambria" w:eastAsia="方正仿宋简体"/>
      <w:b/>
      <w:sz w:val="32"/>
    </w:rPr>
  </w:style>
  <w:style w:type="character" w:styleId="13">
    <w:name w:val="page number"/>
    <w:qFormat/>
    <w:uiPriority w:val="0"/>
  </w:style>
  <w:style w:type="paragraph" w:customStyle="1" w:styleId="14">
    <w:name w:val="样式 小四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">
    <w:name w:val="UserStyle_0"/>
    <w:basedOn w:val="1"/>
    <w:qFormat/>
    <w:uiPriority w:val="0"/>
    <w:pPr>
      <w:textAlignment w:val="baseline"/>
    </w:pPr>
    <w:rPr>
      <w:rFonts w:ascii="Times New Roman" w:hAnsi="Times New Roman" w:eastAsia="宋体"/>
    </w:rPr>
  </w:style>
  <w:style w:type="paragraph" w:customStyle="1" w:styleId="16">
    <w:name w:val="Default"/>
    <w:basedOn w:val="1"/>
    <w:next w:val="3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Times New Roman"/>
      <w:color w:val="000000"/>
      <w:kern w:val="0"/>
      <w:sz w:val="24"/>
      <w:szCs w:val="24"/>
    </w:rPr>
  </w:style>
  <w:style w:type="paragraph" w:customStyle="1" w:styleId="17">
    <w:name w:val="NormalIndent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18">
    <w:name w:val="font11"/>
    <w:basedOn w:val="12"/>
    <w:qFormat/>
    <w:uiPriority w:val="0"/>
    <w:rPr>
      <w:rFonts w:ascii="方正黑体_GBK" w:eastAsia="方正黑体_GBK" w:cs="方正黑体_GBK"/>
      <w:color w:val="000000"/>
      <w:sz w:val="24"/>
      <w:szCs w:val="24"/>
      <w:u w:val="none"/>
    </w:rPr>
  </w:style>
  <w:style w:type="character" w:customStyle="1" w:styleId="19">
    <w:name w:val="font21"/>
    <w:basedOn w:val="12"/>
    <w:qFormat/>
    <w:uiPriority w:val="0"/>
    <w:rPr>
      <w:rFonts w:ascii="Times New Roman" w:hAnsi="Times New Roman" w:cs="Times New Roman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2735</Words>
  <Characters>3774</Characters>
  <Lines>3</Lines>
  <Paragraphs>1</Paragraphs>
  <TotalTime>7</TotalTime>
  <ScaleCrop>false</ScaleCrop>
  <LinksUpToDate>false</LinksUpToDate>
  <CharactersWithSpaces>3835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2023-07-20T09:18:00Z</dcterms:created>
  <dc:creator>熊伟</dc:creator>
  <cp:lastModifiedBy>Administrator</cp:lastModifiedBy>
  <cp:lastPrinted>2023-07-24T09:12:00Z</cp:lastPrinted>
  <dcterms:modified xsi:type="dcterms:W3CDTF">2023-07-28T06:32:54Z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C30A87721C0B47F79AC34E80DF346D6B</vt:lpwstr>
  </property>
</Properties>
</file>