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N/>
        <w:bidi w:val="0"/>
        <w:adjustRightInd/>
        <w:snapToGrid/>
        <w:spacing w:beforeAutospacing="0" w:afterAutospacing="0" w:line="540" w:lineRule="exact"/>
        <w:jc w:val="center"/>
        <w:textAlignment w:val="auto"/>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shd w:val="clear" w:color="auto" w:fill="FFFFFF"/>
        </w:rPr>
        <w:t>重庆市渝中区妇女联合会</w:t>
      </w:r>
    </w:p>
    <w:p>
      <w:pPr>
        <w:pStyle w:val="4"/>
        <w:keepNext w:val="0"/>
        <w:keepLines w:val="0"/>
        <w:pageBreakBefore w:val="0"/>
        <w:widowControl w:val="0"/>
        <w:kinsoku/>
        <w:wordWrap/>
        <w:overflowPunct/>
        <w:topLinePunct w:val="0"/>
        <w:autoSpaceDN/>
        <w:bidi w:val="0"/>
        <w:adjustRightInd/>
        <w:snapToGrid/>
        <w:spacing w:beforeAutospacing="0" w:afterAutospacing="0" w:line="540" w:lineRule="exact"/>
        <w:jc w:val="center"/>
        <w:textAlignment w:val="auto"/>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shd w:val="clear" w:color="auto" w:fill="FFFFFF"/>
        </w:rPr>
        <w:t>2021年度部门决算情况说明</w:t>
      </w:r>
    </w:p>
    <w:p>
      <w:pPr>
        <w:pStyle w:val="8"/>
        <w:keepNext w:val="0"/>
        <w:keepLines w:val="0"/>
        <w:pageBreakBefore w:val="0"/>
        <w:widowControl w:val="0"/>
        <w:kinsoku/>
        <w:wordWrap/>
        <w:overflowPunct/>
        <w:topLinePunct w:val="0"/>
        <w:autoSpaceDE w:val="0"/>
        <w:autoSpaceDN/>
        <w:bidi w:val="0"/>
        <w:adjustRightInd/>
        <w:snapToGrid/>
        <w:spacing w:beforeAutospacing="0" w:afterAutospacing="0" w:line="540" w:lineRule="exact"/>
        <w:ind w:firstLine="640" w:firstLineChars="200"/>
        <w:jc w:val="both"/>
        <w:textAlignment w:val="auto"/>
        <w:rPr>
          <w:rStyle w:val="9"/>
          <w:rFonts w:hint="eastAsia" w:ascii="方正黑体_GBK" w:hAnsi="方正黑体_GBK" w:eastAsia="方正黑体_GBK" w:cs="方正黑体_GBK"/>
          <w:b w:val="0"/>
          <w:bCs/>
          <w:sz w:val="32"/>
          <w:szCs w:val="32"/>
          <w:shd w:val="clear" w:color="auto" w:fill="FFFFFF"/>
        </w:rPr>
      </w:pPr>
    </w:p>
    <w:p>
      <w:pPr>
        <w:pStyle w:val="8"/>
        <w:keepNext w:val="0"/>
        <w:keepLines w:val="0"/>
        <w:pageBreakBefore w:val="0"/>
        <w:widowControl w:val="0"/>
        <w:kinsoku/>
        <w:wordWrap/>
        <w:overflowPunct/>
        <w:topLinePunct w:val="0"/>
        <w:autoSpaceDE w:val="0"/>
        <w:autoSpaceDN/>
        <w:bidi w:val="0"/>
        <w:adjustRightInd/>
        <w:snapToGrid/>
        <w:spacing w:beforeAutospacing="0" w:afterAutospacing="0" w:line="540" w:lineRule="exact"/>
        <w:ind w:firstLine="640" w:firstLineChars="200"/>
        <w:jc w:val="both"/>
        <w:textAlignment w:val="auto"/>
        <w:rPr>
          <w:rFonts w:hint="default" w:ascii="方正黑体_GBK" w:hAnsi="方正黑体_GBK" w:eastAsia="方正黑体_GBK" w:cs="方正黑体_GBK"/>
          <w:bCs/>
          <w:sz w:val="32"/>
          <w:szCs w:val="32"/>
        </w:rPr>
      </w:pPr>
      <w:r>
        <w:rPr>
          <w:rStyle w:val="9"/>
          <w:rFonts w:hint="eastAsia" w:ascii="方正黑体_GBK" w:hAnsi="方正黑体_GBK" w:eastAsia="方正黑体_GBK" w:cs="方正黑体_GBK"/>
          <w:b w:val="0"/>
          <w:bCs/>
          <w:sz w:val="32"/>
          <w:szCs w:val="32"/>
          <w:shd w:val="clear" w:color="auto" w:fill="FFFFFF"/>
        </w:rPr>
        <w:t>一、部门基本情况</w:t>
      </w:r>
    </w:p>
    <w:p>
      <w:pPr>
        <w:pStyle w:val="4"/>
        <w:keepNext w:val="0"/>
        <w:keepLines w:val="0"/>
        <w:pageBreakBefore w:val="0"/>
        <w:widowControl w:val="0"/>
        <w:kinsoku/>
        <w:wordWrap/>
        <w:overflowPunct/>
        <w:topLinePunct w:val="0"/>
        <w:autoSpaceDN/>
        <w:bidi w:val="0"/>
        <w:adjustRightInd/>
        <w:snapToGrid/>
        <w:spacing w:beforeAutospacing="0" w:afterAutospacing="0" w:line="540" w:lineRule="exact"/>
        <w:ind w:firstLine="643" w:firstLineChars="200"/>
        <w:textAlignment w:val="auto"/>
        <w:rPr>
          <w:rFonts w:hint="default" w:ascii="Times New Roman" w:hAnsi="Times New Roman" w:eastAsia="方正仿宋_GBK"/>
          <w:b/>
          <w:bCs/>
          <w:sz w:val="32"/>
          <w:szCs w:val="32"/>
        </w:rPr>
      </w:pPr>
      <w:r>
        <w:rPr>
          <w:rFonts w:ascii="Times New Roman" w:hAnsi="Times New Roman" w:eastAsia="方正仿宋_GBK"/>
          <w:b/>
          <w:bCs/>
          <w:sz w:val="32"/>
          <w:szCs w:val="32"/>
        </w:rPr>
        <w:t>（一）职能职责</w:t>
      </w:r>
    </w:p>
    <w:p>
      <w:pPr>
        <w:keepNext w:val="0"/>
        <w:keepLines w:val="0"/>
        <w:pageBreakBefore w:val="0"/>
        <w:widowControl w:val="0"/>
        <w:kinsoku/>
        <w:wordWrap/>
        <w:overflowPunct/>
        <w:topLinePunct w:val="0"/>
        <w:autoSpaceDN/>
        <w:bidi w:val="0"/>
        <w:adjustRightInd/>
        <w:snapToGrid/>
        <w:spacing w:afterAutospacing="0" w:line="540" w:lineRule="exact"/>
        <w:ind w:firstLine="640" w:firstLineChars="200"/>
        <w:textAlignment w:val="auto"/>
        <w:rPr>
          <w:rFonts w:hint="default" w:eastAsia="方正仿宋_GBK"/>
          <w:sz w:val="32"/>
          <w:szCs w:val="32"/>
        </w:rPr>
      </w:pPr>
      <w:r>
        <w:rPr>
          <w:rFonts w:eastAsia="方正仿宋_GBK"/>
          <w:sz w:val="32"/>
          <w:szCs w:val="32"/>
        </w:rPr>
        <w:t>负责指导全区各级妇女组织按照《中华全国妇女联合会章程》和妇女代表大会的决议，开展妇女儿童工作，联系团体会员；调查、研究全区妇女和儿童的状况、问题，及时向区委、区政府提出建议，协助区属各党工委、党委管理下级妇联干部；组织全区广大妇女投身改革开放和经济建设，为全区经济社会发展服务；负责代表全区妇女参与国家和社会事务的民主监督，按照有关规定，向区委推荐优秀妇女干部；负责开展家庭教育、儿童校外教育等工作，牵头协调、推动社会各界为儿童服务；开展与各族各界妇女的联系和同海内外妇女组织的联谊，增进友谊，加强合作。</w:t>
      </w:r>
    </w:p>
    <w:p>
      <w:pPr>
        <w:pStyle w:val="4"/>
        <w:keepNext w:val="0"/>
        <w:keepLines w:val="0"/>
        <w:pageBreakBefore w:val="0"/>
        <w:widowControl w:val="0"/>
        <w:kinsoku/>
        <w:wordWrap/>
        <w:overflowPunct/>
        <w:topLinePunct w:val="0"/>
        <w:autoSpaceDN/>
        <w:bidi w:val="0"/>
        <w:adjustRightInd/>
        <w:snapToGrid/>
        <w:spacing w:beforeAutospacing="0" w:afterAutospacing="0" w:line="540" w:lineRule="exact"/>
        <w:ind w:firstLine="643" w:firstLineChars="200"/>
        <w:textAlignment w:val="auto"/>
        <w:rPr>
          <w:rFonts w:hint="default" w:ascii="Times New Roman" w:hAnsi="Times New Roman" w:eastAsia="方正仿宋_GBK"/>
          <w:b/>
          <w:bCs/>
          <w:sz w:val="32"/>
          <w:szCs w:val="32"/>
        </w:rPr>
      </w:pPr>
      <w:r>
        <w:rPr>
          <w:rFonts w:ascii="Times New Roman" w:hAnsi="Times New Roman" w:eastAsia="方正仿宋_GBK"/>
          <w:b/>
          <w:bCs/>
          <w:sz w:val="32"/>
          <w:szCs w:val="32"/>
        </w:rPr>
        <w:t>（二）机构设置</w:t>
      </w:r>
    </w:p>
    <w:p>
      <w:pPr>
        <w:keepNext w:val="0"/>
        <w:keepLines w:val="0"/>
        <w:pageBreakBefore w:val="0"/>
        <w:widowControl w:val="0"/>
        <w:kinsoku/>
        <w:wordWrap/>
        <w:overflowPunct/>
        <w:topLinePunct w:val="0"/>
        <w:autoSpaceDN/>
        <w:bidi w:val="0"/>
        <w:adjustRightInd/>
        <w:snapToGrid/>
        <w:spacing w:afterAutospacing="0" w:line="540" w:lineRule="exact"/>
        <w:ind w:firstLine="640" w:firstLineChars="200"/>
        <w:textAlignment w:val="auto"/>
        <w:rPr>
          <w:rFonts w:hint="default" w:eastAsia="方正仿宋_GBK"/>
          <w:sz w:val="32"/>
          <w:szCs w:val="32"/>
        </w:rPr>
      </w:pPr>
      <w:r>
        <w:rPr>
          <w:rFonts w:eastAsia="方正仿宋_GBK"/>
          <w:sz w:val="32"/>
          <w:szCs w:val="32"/>
        </w:rPr>
        <w:t>渝中区妇联下设办公室和基层工作部两个科室，其中区政府妇儿工委办公室设在区妇联。渝中区妇女儿童活动中心是由区妇联主管的公益一类事业单位。</w:t>
      </w:r>
    </w:p>
    <w:p>
      <w:pPr>
        <w:pStyle w:val="4"/>
        <w:keepNext w:val="0"/>
        <w:keepLines w:val="0"/>
        <w:pageBreakBefore w:val="0"/>
        <w:widowControl w:val="0"/>
        <w:kinsoku/>
        <w:wordWrap/>
        <w:overflowPunct/>
        <w:topLinePunct w:val="0"/>
        <w:autoSpaceDN/>
        <w:bidi w:val="0"/>
        <w:adjustRightInd/>
        <w:snapToGrid/>
        <w:spacing w:beforeAutospacing="0" w:afterAutospacing="0" w:line="540" w:lineRule="exact"/>
        <w:ind w:firstLine="643" w:firstLineChars="200"/>
        <w:textAlignment w:val="auto"/>
        <w:rPr>
          <w:rFonts w:hint="default" w:ascii="Times New Roman" w:hAnsi="Times New Roman" w:eastAsia="方正仿宋_GBK"/>
          <w:b/>
          <w:bCs/>
          <w:sz w:val="32"/>
          <w:szCs w:val="32"/>
        </w:rPr>
      </w:pPr>
      <w:r>
        <w:rPr>
          <w:rFonts w:ascii="Times New Roman" w:hAnsi="Times New Roman" w:eastAsia="方正仿宋_GBK"/>
          <w:b/>
          <w:bCs/>
          <w:sz w:val="32"/>
          <w:szCs w:val="32"/>
        </w:rPr>
        <w:t>（三）单位构成</w:t>
      </w:r>
    </w:p>
    <w:p>
      <w:pPr>
        <w:keepNext w:val="0"/>
        <w:keepLines w:val="0"/>
        <w:pageBreakBefore w:val="0"/>
        <w:widowControl w:val="0"/>
        <w:kinsoku/>
        <w:wordWrap/>
        <w:overflowPunct/>
        <w:topLinePunct w:val="0"/>
        <w:autoSpaceDN/>
        <w:bidi w:val="0"/>
        <w:adjustRightInd/>
        <w:snapToGrid/>
        <w:spacing w:afterAutospacing="0" w:line="540" w:lineRule="exact"/>
        <w:ind w:firstLine="640" w:firstLineChars="200"/>
        <w:textAlignment w:val="auto"/>
        <w:rPr>
          <w:rFonts w:hint="default" w:eastAsia="方正仿宋_GBK"/>
          <w:sz w:val="32"/>
          <w:szCs w:val="32"/>
        </w:rPr>
      </w:pPr>
      <w:r>
        <w:rPr>
          <w:rFonts w:eastAsia="方正仿宋_GBK"/>
          <w:sz w:val="32"/>
          <w:szCs w:val="32"/>
        </w:rPr>
        <w:t>本部门</w:t>
      </w:r>
      <w:r>
        <w:rPr>
          <w:rFonts w:hint="default" w:ascii="Times New Roman" w:hAnsi="Times New Roman" w:eastAsia="方正仿宋_GBK"/>
          <w:sz w:val="32"/>
          <w:szCs w:val="32"/>
        </w:rPr>
        <w:t>2021</w:t>
      </w:r>
      <w:r>
        <w:rPr>
          <w:rFonts w:eastAsia="方正仿宋_GBK"/>
          <w:sz w:val="32"/>
          <w:szCs w:val="32"/>
        </w:rPr>
        <w:t>年度决算编制时无二级预算单位。</w:t>
      </w:r>
    </w:p>
    <w:p>
      <w:pPr>
        <w:pStyle w:val="8"/>
        <w:keepNext w:val="0"/>
        <w:keepLines w:val="0"/>
        <w:pageBreakBefore w:val="0"/>
        <w:widowControl w:val="0"/>
        <w:kinsoku/>
        <w:wordWrap/>
        <w:overflowPunct/>
        <w:topLinePunct w:val="0"/>
        <w:autoSpaceDE w:val="0"/>
        <w:autoSpaceDN/>
        <w:bidi w:val="0"/>
        <w:adjustRightInd/>
        <w:snapToGrid/>
        <w:spacing w:beforeAutospacing="0" w:afterAutospacing="0" w:line="540" w:lineRule="exact"/>
        <w:ind w:firstLine="640" w:firstLineChars="200"/>
        <w:jc w:val="both"/>
        <w:textAlignment w:val="auto"/>
        <w:rPr>
          <w:rStyle w:val="9"/>
          <w:rFonts w:hint="eastAsia" w:ascii="方正黑体_GBK" w:hAnsi="方正黑体_GBK" w:eastAsia="方正黑体_GBK" w:cs="方正黑体_GBK"/>
          <w:b w:val="0"/>
          <w:bCs/>
          <w:sz w:val="32"/>
          <w:szCs w:val="32"/>
          <w:shd w:val="clear" w:color="auto" w:fill="FFFFFF"/>
        </w:rPr>
      </w:pPr>
      <w:r>
        <w:rPr>
          <w:rStyle w:val="9"/>
          <w:rFonts w:hint="eastAsia" w:ascii="方正黑体_GBK" w:hAnsi="方正黑体_GBK" w:eastAsia="方正黑体_GBK" w:cs="方正黑体_GBK"/>
          <w:b w:val="0"/>
          <w:bCs/>
          <w:sz w:val="32"/>
          <w:szCs w:val="32"/>
          <w:shd w:val="clear" w:color="auto" w:fill="FFFFFF"/>
        </w:rPr>
        <w:t>二、部门决算情况说明</w:t>
      </w:r>
    </w:p>
    <w:p>
      <w:pPr>
        <w:pStyle w:val="4"/>
        <w:keepNext w:val="0"/>
        <w:keepLines w:val="0"/>
        <w:pageBreakBefore w:val="0"/>
        <w:widowControl w:val="0"/>
        <w:kinsoku/>
        <w:wordWrap/>
        <w:overflowPunct/>
        <w:topLinePunct w:val="0"/>
        <w:autoSpaceDN/>
        <w:bidi w:val="0"/>
        <w:adjustRightInd/>
        <w:snapToGrid/>
        <w:spacing w:beforeAutospacing="0" w:afterAutospacing="0" w:line="540" w:lineRule="exact"/>
        <w:ind w:firstLine="643" w:firstLineChars="200"/>
        <w:textAlignment w:val="auto"/>
        <w:rPr>
          <w:rFonts w:hint="default" w:ascii="Times New Roman" w:hAnsi="Times New Roman" w:eastAsia="方正仿宋_GBK"/>
          <w:b/>
          <w:bCs/>
          <w:sz w:val="32"/>
          <w:szCs w:val="32"/>
        </w:rPr>
      </w:pPr>
      <w:r>
        <w:rPr>
          <w:rFonts w:ascii="Times New Roman" w:hAnsi="Times New Roman" w:eastAsia="方正仿宋_GBK"/>
          <w:b/>
          <w:bCs/>
          <w:sz w:val="32"/>
          <w:szCs w:val="32"/>
        </w:rPr>
        <w:t>（一）收入支出决算总体情况说明</w:t>
      </w:r>
    </w:p>
    <w:p>
      <w:pPr>
        <w:pStyle w:val="4"/>
        <w:keepNext w:val="0"/>
        <w:keepLines w:val="0"/>
        <w:pageBreakBefore w:val="0"/>
        <w:widowControl w:val="0"/>
        <w:kinsoku/>
        <w:wordWrap/>
        <w:overflowPunct/>
        <w:topLinePunct w:val="0"/>
        <w:autoSpaceDN/>
        <w:bidi w:val="0"/>
        <w:adjustRightInd/>
        <w:snapToGrid/>
        <w:spacing w:beforeAutospacing="0" w:afterAutospacing="0" w:line="540" w:lineRule="exact"/>
        <w:ind w:firstLine="643" w:firstLineChars="200"/>
        <w:textAlignment w:val="auto"/>
        <w:rPr>
          <w:rFonts w:hint="default" w:ascii="Times New Roman" w:hAnsi="Times New Roman" w:eastAsia="方正仿宋_GBK"/>
          <w:sz w:val="32"/>
          <w:szCs w:val="32"/>
        </w:rPr>
      </w:pPr>
      <w:r>
        <w:rPr>
          <w:rFonts w:ascii="Times New Roman" w:hAnsi="Times New Roman" w:eastAsia="方正仿宋_GBK"/>
          <w:b/>
          <w:bCs/>
          <w:sz w:val="32"/>
          <w:szCs w:val="32"/>
        </w:rPr>
        <w:t xml:space="preserve">  1.总体情况。</w:t>
      </w:r>
      <w:r>
        <w:rPr>
          <w:rFonts w:ascii="Times New Roman" w:hAnsi="Times New Roman" w:eastAsia="方正仿宋_GBK"/>
          <w:sz w:val="32"/>
          <w:szCs w:val="32"/>
        </w:rPr>
        <w:t>2021年度收入总计612.49万元，支出总计612.49万元。收支较上年决算数增加205.44万元、增长50.5%，主要原因是年初结转和结余、新增3名事业人员经费、</w:t>
      </w:r>
      <w:r>
        <w:rPr>
          <w:rFonts w:hint="default" w:ascii="Times New Roman" w:hAnsi="Times New Roman" w:eastAsia="方正仿宋_GBK"/>
          <w:sz w:val="32"/>
          <w:szCs w:val="32"/>
        </w:rPr>
        <w:t>1</w:t>
      </w:r>
      <w:r>
        <w:rPr>
          <w:rFonts w:ascii="Times New Roman" w:hAnsi="Times New Roman" w:eastAsia="方正仿宋_GBK"/>
          <w:sz w:val="32"/>
          <w:szCs w:val="32"/>
        </w:rPr>
        <w:t>名退休老同志逝世后的一次性抚恤金和丧葬费、开展了2011--2020年实施妇女儿童发展纲要（规划）终期监测评估及新一轮妇女儿童发展纲要（规划）编制工作、开展了渝中区妇女儿童活动中心前期项目建设，以及渝中区妇女儿童活动中心2021年项目经费等。</w:t>
      </w:r>
    </w:p>
    <w:p>
      <w:pPr>
        <w:pStyle w:val="4"/>
        <w:keepNext w:val="0"/>
        <w:keepLines w:val="0"/>
        <w:pageBreakBefore w:val="0"/>
        <w:widowControl w:val="0"/>
        <w:kinsoku/>
        <w:wordWrap/>
        <w:overflowPunct/>
        <w:topLinePunct w:val="0"/>
        <w:autoSpaceDN/>
        <w:bidi w:val="0"/>
        <w:adjustRightInd/>
        <w:snapToGrid/>
        <w:spacing w:beforeAutospacing="0" w:afterAutospacing="0" w:line="540" w:lineRule="exact"/>
        <w:ind w:firstLine="643" w:firstLineChars="200"/>
        <w:textAlignment w:val="auto"/>
        <w:rPr>
          <w:rFonts w:hint="default" w:ascii="Times New Roman" w:hAnsi="Times New Roman" w:eastAsia="方正仿宋_GBK"/>
          <w:sz w:val="32"/>
          <w:szCs w:val="32"/>
        </w:rPr>
      </w:pPr>
      <w:r>
        <w:rPr>
          <w:rFonts w:ascii="Times New Roman" w:hAnsi="Times New Roman" w:eastAsia="方正仿宋_GBK"/>
          <w:b/>
          <w:bCs/>
          <w:sz w:val="32"/>
          <w:szCs w:val="32"/>
        </w:rPr>
        <w:t>2.收入情况。</w:t>
      </w:r>
      <w:r>
        <w:rPr>
          <w:rFonts w:ascii="Times New Roman" w:hAnsi="Times New Roman" w:eastAsia="方正仿宋_GBK"/>
          <w:sz w:val="32"/>
          <w:szCs w:val="32"/>
        </w:rPr>
        <w:t>2021年度收入合计588.83万元，较上年决算数增加181.78万元，增长44.7%，主要原因是新增3名事业人员经费、追加了</w:t>
      </w:r>
      <w:r>
        <w:rPr>
          <w:rFonts w:hint="default" w:ascii="Times New Roman" w:hAnsi="Times New Roman" w:eastAsia="方正仿宋_GBK"/>
          <w:sz w:val="32"/>
          <w:szCs w:val="32"/>
        </w:rPr>
        <w:t>1</w:t>
      </w:r>
      <w:r>
        <w:rPr>
          <w:rFonts w:ascii="Times New Roman" w:hAnsi="Times New Roman" w:eastAsia="方正仿宋_GBK"/>
          <w:sz w:val="32"/>
          <w:szCs w:val="32"/>
        </w:rPr>
        <w:t>名退休老同志死亡一次性抚恤金和丧葬费22.14万元、追加了2011--2020年实施妇女儿童发展纲要（规划）终期监测评估及新一轮妇女儿童发展纲要（规划）编制工作经费38万元、渝中区妇女儿童活动中心2021年项目经费89.9万元、渝中区妇女儿童活动中心建设前期项目经费9.8万元等。其中：财政拨款收入588.83万元，占100%；此外，年初结转和结余23.66万元。</w:t>
      </w:r>
    </w:p>
    <w:p>
      <w:pPr>
        <w:pStyle w:val="4"/>
        <w:keepNext w:val="0"/>
        <w:keepLines w:val="0"/>
        <w:pageBreakBefore w:val="0"/>
        <w:widowControl w:val="0"/>
        <w:kinsoku/>
        <w:wordWrap/>
        <w:overflowPunct/>
        <w:topLinePunct w:val="0"/>
        <w:autoSpaceDN/>
        <w:bidi w:val="0"/>
        <w:adjustRightInd/>
        <w:snapToGrid/>
        <w:spacing w:beforeAutospacing="0" w:afterAutospacing="0" w:line="540" w:lineRule="exact"/>
        <w:ind w:firstLine="643" w:firstLineChars="200"/>
        <w:textAlignment w:val="auto"/>
        <w:rPr>
          <w:rFonts w:hint="default" w:ascii="Times New Roman" w:hAnsi="Times New Roman" w:eastAsia="方正仿宋_GBK"/>
          <w:sz w:val="32"/>
          <w:szCs w:val="32"/>
        </w:rPr>
      </w:pPr>
      <w:r>
        <w:rPr>
          <w:rFonts w:ascii="Times New Roman" w:hAnsi="Times New Roman" w:eastAsia="方正仿宋_GBK"/>
          <w:b/>
          <w:bCs/>
          <w:sz w:val="32"/>
          <w:szCs w:val="32"/>
        </w:rPr>
        <w:t xml:space="preserve">  3.支出情况。</w:t>
      </w:r>
      <w:r>
        <w:rPr>
          <w:rFonts w:ascii="Times New Roman" w:hAnsi="Times New Roman" w:eastAsia="方正仿宋_GBK"/>
          <w:sz w:val="32"/>
          <w:szCs w:val="32"/>
        </w:rPr>
        <w:t>2021年度支出合计607.06万元，较上年决算数增加200.01万元，增长49.1%，主要原因是新增3名事业人员经费、</w:t>
      </w:r>
      <w:r>
        <w:rPr>
          <w:rFonts w:hint="default" w:ascii="Times New Roman" w:hAnsi="Times New Roman" w:eastAsia="方正仿宋_GBK"/>
          <w:sz w:val="32"/>
          <w:szCs w:val="32"/>
        </w:rPr>
        <w:t>1</w:t>
      </w:r>
      <w:r>
        <w:rPr>
          <w:rFonts w:ascii="Times New Roman" w:hAnsi="Times New Roman" w:eastAsia="方正仿宋_GBK"/>
          <w:sz w:val="32"/>
          <w:szCs w:val="32"/>
        </w:rPr>
        <w:t xml:space="preserve">名退休老同志死亡一次性抚恤金和丧葬费22.14万元、2011--2020年实施妇女儿童发展纲要（规划）终期监测评估及新一轮妇女儿童发展纲要（规划）编制工作经费35.38万元、渝中区妇女儿童活动中心2021年项目经费89.9万元、渝中区妇女儿童活动中心建设前期项目经费9万元等。其中：基本支出281.17万元，占46.3%；项目支出325.89万元，占53.7%。 </w:t>
      </w:r>
    </w:p>
    <w:p>
      <w:pPr>
        <w:pStyle w:val="4"/>
        <w:keepNext w:val="0"/>
        <w:keepLines w:val="0"/>
        <w:pageBreakBefore w:val="0"/>
        <w:widowControl w:val="0"/>
        <w:kinsoku/>
        <w:wordWrap/>
        <w:overflowPunct/>
        <w:topLinePunct w:val="0"/>
        <w:autoSpaceDN/>
        <w:bidi w:val="0"/>
        <w:adjustRightInd/>
        <w:snapToGrid/>
        <w:spacing w:beforeAutospacing="0" w:afterAutospacing="0" w:line="540" w:lineRule="exact"/>
        <w:ind w:firstLine="643" w:firstLineChars="200"/>
        <w:textAlignment w:val="auto"/>
        <w:rPr>
          <w:rFonts w:hint="default" w:ascii="Times New Roman" w:hAnsi="Times New Roman" w:eastAsia="方正仿宋_GBK"/>
          <w:sz w:val="32"/>
          <w:szCs w:val="32"/>
        </w:rPr>
      </w:pPr>
      <w:r>
        <w:rPr>
          <w:rFonts w:ascii="Times New Roman" w:hAnsi="Times New Roman" w:eastAsia="方正仿宋_GBK"/>
          <w:b/>
          <w:bCs/>
          <w:sz w:val="32"/>
          <w:szCs w:val="32"/>
        </w:rPr>
        <w:t>4.结转结余情况。</w:t>
      </w:r>
      <w:r>
        <w:rPr>
          <w:rFonts w:ascii="Times New Roman" w:hAnsi="Times New Roman" w:eastAsia="方正仿宋_GBK"/>
          <w:sz w:val="32"/>
          <w:szCs w:val="32"/>
        </w:rPr>
        <w:t>2021年度年末结转和结余5.43万元，较上年决算数增加5.43万元，增长100%，主要原因是一般行政管理事务结余2万元、2011--2020年实施妇女儿童发展纲要（规划）终期监测评估及新一轮妇女儿童发展纲要（规划）编制工作经费结余2.6万元、渝中区妇女儿童活动中心建设前期项目经费结余0.8万元。</w:t>
      </w:r>
    </w:p>
    <w:p>
      <w:pPr>
        <w:pStyle w:val="4"/>
        <w:keepNext w:val="0"/>
        <w:keepLines w:val="0"/>
        <w:pageBreakBefore w:val="0"/>
        <w:widowControl w:val="0"/>
        <w:kinsoku/>
        <w:wordWrap/>
        <w:overflowPunct/>
        <w:topLinePunct w:val="0"/>
        <w:autoSpaceDN/>
        <w:bidi w:val="0"/>
        <w:adjustRightInd/>
        <w:snapToGrid/>
        <w:spacing w:beforeAutospacing="0" w:afterAutospacing="0" w:line="540" w:lineRule="exact"/>
        <w:ind w:firstLine="643" w:firstLineChars="200"/>
        <w:textAlignment w:val="auto"/>
        <w:rPr>
          <w:rFonts w:hint="default" w:ascii="Times New Roman" w:hAnsi="Times New Roman" w:eastAsia="方正仿宋_GBK"/>
          <w:b/>
          <w:bCs/>
          <w:sz w:val="32"/>
          <w:szCs w:val="32"/>
        </w:rPr>
      </w:pPr>
      <w:r>
        <w:rPr>
          <w:rFonts w:ascii="Times New Roman" w:hAnsi="Times New Roman" w:eastAsia="方正仿宋_GBK"/>
          <w:b/>
          <w:bCs/>
          <w:sz w:val="32"/>
          <w:szCs w:val="32"/>
        </w:rPr>
        <w:t>（二）财政拨款收入支出决算总体情况说明</w:t>
      </w:r>
    </w:p>
    <w:p>
      <w:pPr>
        <w:pStyle w:val="4"/>
        <w:keepNext w:val="0"/>
        <w:keepLines w:val="0"/>
        <w:pageBreakBefore w:val="0"/>
        <w:widowControl w:val="0"/>
        <w:kinsoku/>
        <w:wordWrap/>
        <w:overflowPunct/>
        <w:topLinePunct w:val="0"/>
        <w:autoSpaceDN/>
        <w:bidi w:val="0"/>
        <w:adjustRightInd/>
        <w:snapToGrid/>
        <w:spacing w:beforeAutospacing="0" w:afterAutospacing="0" w:line="540" w:lineRule="exact"/>
        <w:ind w:firstLine="640" w:firstLineChars="200"/>
        <w:textAlignment w:val="auto"/>
        <w:rPr>
          <w:rFonts w:hint="default" w:ascii="Times New Roman" w:hAnsi="Times New Roman" w:eastAsia="方正仿宋_GBK"/>
          <w:sz w:val="32"/>
          <w:szCs w:val="32"/>
        </w:rPr>
      </w:pPr>
      <w:r>
        <w:rPr>
          <w:rFonts w:ascii="Times New Roman" w:hAnsi="Times New Roman" w:eastAsia="方正仿宋_GBK"/>
          <w:sz w:val="32"/>
          <w:szCs w:val="32"/>
        </w:rPr>
        <w:t>2021年度财政拨款收、支总计612.49万元。与2020年相比，财政拨款收、支总计各增加205.44万元，增长50.5%。主要原因是年初结转和结余、新增3名事业编制人员经费，</w:t>
      </w:r>
      <w:r>
        <w:rPr>
          <w:rFonts w:hint="default" w:ascii="Times New Roman" w:hAnsi="Times New Roman" w:eastAsia="方正仿宋_GBK"/>
          <w:sz w:val="32"/>
          <w:szCs w:val="32"/>
        </w:rPr>
        <w:t>1</w:t>
      </w:r>
      <w:r>
        <w:rPr>
          <w:rFonts w:ascii="Times New Roman" w:hAnsi="Times New Roman" w:eastAsia="方正仿宋_GBK"/>
          <w:sz w:val="32"/>
          <w:szCs w:val="32"/>
        </w:rPr>
        <w:t>名退休老同志逝世后的一次性抚恤金和丧葬费，开展了2011--2020年实施妇女儿童发展纲要（规划）终期监测评估及新一轮妇女儿童发展纲要（规划）编制工作，开展了渝中区妇女儿童活动中心前期项目建设，以及渝中区妇女儿童活动中心2021年项目经费等。</w:t>
      </w:r>
    </w:p>
    <w:p>
      <w:pPr>
        <w:pStyle w:val="4"/>
        <w:keepNext w:val="0"/>
        <w:keepLines w:val="0"/>
        <w:pageBreakBefore w:val="0"/>
        <w:widowControl w:val="0"/>
        <w:kinsoku/>
        <w:wordWrap/>
        <w:overflowPunct/>
        <w:topLinePunct w:val="0"/>
        <w:autoSpaceDN/>
        <w:bidi w:val="0"/>
        <w:adjustRightInd/>
        <w:snapToGrid/>
        <w:spacing w:beforeAutospacing="0" w:afterAutospacing="0" w:line="540" w:lineRule="exact"/>
        <w:ind w:firstLine="643" w:firstLineChars="200"/>
        <w:textAlignment w:val="auto"/>
        <w:rPr>
          <w:rFonts w:hint="default" w:ascii="Times New Roman" w:hAnsi="Times New Roman" w:eastAsia="方正仿宋_GBK"/>
          <w:b/>
          <w:bCs/>
          <w:sz w:val="32"/>
          <w:szCs w:val="32"/>
        </w:rPr>
      </w:pPr>
      <w:r>
        <w:rPr>
          <w:rFonts w:ascii="Times New Roman" w:hAnsi="Times New Roman" w:eastAsia="方正仿宋_GBK"/>
          <w:b/>
          <w:bCs/>
          <w:sz w:val="32"/>
          <w:szCs w:val="32"/>
        </w:rPr>
        <w:t xml:space="preserve"> （三）一般公共预算财政拨款收入支出决算情况说明</w:t>
      </w:r>
    </w:p>
    <w:p>
      <w:pPr>
        <w:pStyle w:val="4"/>
        <w:keepNext w:val="0"/>
        <w:keepLines w:val="0"/>
        <w:pageBreakBefore w:val="0"/>
        <w:widowControl w:val="0"/>
        <w:kinsoku/>
        <w:wordWrap/>
        <w:overflowPunct/>
        <w:topLinePunct w:val="0"/>
        <w:autoSpaceDN/>
        <w:bidi w:val="0"/>
        <w:adjustRightInd/>
        <w:snapToGrid/>
        <w:spacing w:beforeAutospacing="0" w:afterAutospacing="0" w:line="540" w:lineRule="exact"/>
        <w:ind w:firstLine="643" w:firstLineChars="200"/>
        <w:jc w:val="both"/>
        <w:textAlignment w:val="auto"/>
        <w:rPr>
          <w:rFonts w:hint="default" w:ascii="Times New Roman" w:hAnsi="Times New Roman" w:eastAsia="方正仿宋_GBK"/>
          <w:sz w:val="32"/>
          <w:szCs w:val="32"/>
        </w:rPr>
      </w:pPr>
      <w:r>
        <w:rPr>
          <w:rFonts w:ascii="Times New Roman" w:hAnsi="Times New Roman" w:eastAsia="方正仿宋_GBK"/>
          <w:b/>
          <w:bCs/>
          <w:sz w:val="32"/>
          <w:szCs w:val="32"/>
        </w:rPr>
        <w:t xml:space="preserve">  1.收入情况。</w:t>
      </w:r>
      <w:r>
        <w:rPr>
          <w:rFonts w:ascii="Times New Roman" w:hAnsi="Times New Roman" w:eastAsia="方正仿宋_GBK"/>
          <w:sz w:val="32"/>
          <w:szCs w:val="32"/>
        </w:rPr>
        <w:t>2021年度一般公共预算财政拨款收入588.83万元，较上年决算数增加181.78万元，增长44.7%。主要原因是新增3名事业编制人员经费、追加了</w:t>
      </w:r>
      <w:r>
        <w:rPr>
          <w:rFonts w:hint="default" w:ascii="Times New Roman" w:hAnsi="Times New Roman" w:eastAsia="方正仿宋_GBK"/>
          <w:sz w:val="32"/>
          <w:szCs w:val="32"/>
        </w:rPr>
        <w:t>1</w:t>
      </w:r>
      <w:r>
        <w:rPr>
          <w:rFonts w:ascii="Times New Roman" w:hAnsi="Times New Roman" w:eastAsia="方正仿宋_GBK"/>
          <w:sz w:val="32"/>
          <w:szCs w:val="32"/>
        </w:rPr>
        <w:t>名退休老同志死亡一次性抚恤金和丧葬费22.14万元、追加了2011--2020年实施妇女儿童发展纲要（规划）终期监测评估及新一轮妇女儿童发展纲要（规划）编制工作经费38万元、渝中区妇女儿童活动中心2021年项目经费89.9万元、渝中区妇女儿童活动中心建设前期项目经费9.8万元等。较年初预算数增加238.83万元，增长68.2%。主要原因是追加了</w:t>
      </w:r>
      <w:r>
        <w:rPr>
          <w:rFonts w:hint="default" w:ascii="Times New Roman" w:hAnsi="Times New Roman" w:eastAsia="方正仿宋_GBK"/>
          <w:sz w:val="32"/>
          <w:szCs w:val="32"/>
        </w:rPr>
        <w:t>1</w:t>
      </w:r>
      <w:r>
        <w:rPr>
          <w:rFonts w:ascii="Times New Roman" w:hAnsi="Times New Roman" w:eastAsia="方正仿宋_GBK"/>
          <w:sz w:val="32"/>
          <w:szCs w:val="32"/>
        </w:rPr>
        <w:t>名退休老同志死亡一次性抚恤金和丧葬费22.14万元、追加了2011--2020年实施妇女儿童发展纲要（规划）终期监测评估及新一轮妇女儿童发展纲要（规划）编制工作经费38万元、渝中区妇女儿童活动中心2021年项目经费89.9万元、渝中区妇女儿童活动中心建设前期项目经费9.8万元等。 此外，年初财政拨款结转和结余23.66万元。</w:t>
      </w:r>
    </w:p>
    <w:p>
      <w:pPr>
        <w:pStyle w:val="4"/>
        <w:keepNext w:val="0"/>
        <w:keepLines w:val="0"/>
        <w:pageBreakBefore w:val="0"/>
        <w:widowControl w:val="0"/>
        <w:kinsoku/>
        <w:wordWrap/>
        <w:overflowPunct/>
        <w:topLinePunct w:val="0"/>
        <w:autoSpaceDN/>
        <w:bidi w:val="0"/>
        <w:adjustRightInd/>
        <w:snapToGrid/>
        <w:spacing w:beforeAutospacing="0" w:afterAutospacing="0" w:line="540" w:lineRule="exact"/>
        <w:ind w:firstLine="643" w:firstLineChars="200"/>
        <w:jc w:val="both"/>
        <w:textAlignment w:val="auto"/>
        <w:rPr>
          <w:rFonts w:hint="default" w:ascii="Times New Roman" w:hAnsi="Times New Roman" w:eastAsia="方正仿宋_GBK"/>
          <w:sz w:val="32"/>
          <w:szCs w:val="32"/>
        </w:rPr>
      </w:pPr>
      <w:r>
        <w:rPr>
          <w:rFonts w:ascii="Times New Roman" w:hAnsi="Times New Roman" w:eastAsia="方正仿宋_GBK"/>
          <w:b/>
          <w:bCs/>
          <w:sz w:val="32"/>
          <w:szCs w:val="32"/>
        </w:rPr>
        <w:t>2.支出情况。</w:t>
      </w:r>
      <w:r>
        <w:rPr>
          <w:rFonts w:ascii="Times New Roman" w:hAnsi="Times New Roman" w:eastAsia="方正仿宋_GBK"/>
          <w:sz w:val="32"/>
          <w:szCs w:val="32"/>
        </w:rPr>
        <w:t>2021年度一般公共预算财政拨款支</w:t>
      </w:r>
      <w:r>
        <w:rPr>
          <w:rFonts w:hint="eastAsia" w:ascii="Times New Roman" w:hAnsi="Times New Roman" w:eastAsia="方正仿宋_GBK"/>
          <w:sz w:val="32"/>
          <w:szCs w:val="32"/>
          <w:lang w:eastAsia="zh-CN"/>
        </w:rPr>
        <w:t>出</w:t>
      </w:r>
      <w:r>
        <w:rPr>
          <w:rFonts w:ascii="Times New Roman" w:hAnsi="Times New Roman" w:eastAsia="方正仿宋_GBK"/>
          <w:sz w:val="32"/>
          <w:szCs w:val="32"/>
        </w:rPr>
        <w:t>607.06万元，较上年决算数增加200.01万元，增长49.1%。主要原因是新增3名事业编制人员经费、</w:t>
      </w:r>
      <w:r>
        <w:rPr>
          <w:rFonts w:hint="default" w:ascii="Times New Roman" w:hAnsi="Times New Roman" w:eastAsia="方正仿宋_GBK"/>
          <w:sz w:val="32"/>
          <w:szCs w:val="32"/>
        </w:rPr>
        <w:t>1</w:t>
      </w:r>
      <w:r>
        <w:rPr>
          <w:rFonts w:ascii="Times New Roman" w:hAnsi="Times New Roman" w:eastAsia="方正仿宋_GBK"/>
          <w:sz w:val="32"/>
          <w:szCs w:val="32"/>
        </w:rPr>
        <w:t>名退休老同志死亡一次性抚恤金和丧葬费22.14万元、2011--2020年实施妇女儿童发展纲要（规划）终期监测评估及新一轮妇女儿童发展纲要（规划）编制工作经费35.38万元、渝中区妇女儿童活动中心2021年项目经费89.9万元、渝中区妇女儿童活动中心建设前期项目经费9万元等。较年初预算数增加257.06万元，增长73.4%。主要原因是</w:t>
      </w:r>
      <w:r>
        <w:rPr>
          <w:rFonts w:hint="default" w:ascii="Times New Roman" w:hAnsi="Times New Roman" w:eastAsia="方正仿宋_GBK"/>
          <w:sz w:val="32"/>
          <w:szCs w:val="32"/>
        </w:rPr>
        <w:t>1</w:t>
      </w:r>
      <w:r>
        <w:rPr>
          <w:rFonts w:ascii="Times New Roman" w:hAnsi="Times New Roman" w:eastAsia="方正仿宋_GBK"/>
          <w:sz w:val="32"/>
          <w:szCs w:val="32"/>
        </w:rPr>
        <w:t>名退休老同志死亡一次性抚恤金和丧葬费22.14万元、2011--2020年实施妇女儿童发展纲要（规划）终期监测评估及新一轮妇女儿童发展纲要（规划）编制工作经费35.38万元、渝中区妇女儿童活动中心2021年项目经费89.9万元、渝中区妇女儿童活动中心建设前期项目经费9万元等。</w:t>
      </w:r>
    </w:p>
    <w:p>
      <w:pPr>
        <w:pStyle w:val="4"/>
        <w:keepNext w:val="0"/>
        <w:keepLines w:val="0"/>
        <w:pageBreakBefore w:val="0"/>
        <w:widowControl w:val="0"/>
        <w:kinsoku/>
        <w:wordWrap/>
        <w:overflowPunct/>
        <w:topLinePunct w:val="0"/>
        <w:autoSpaceDN/>
        <w:bidi w:val="0"/>
        <w:adjustRightInd/>
        <w:snapToGrid/>
        <w:spacing w:beforeAutospacing="0" w:afterAutospacing="0" w:line="540" w:lineRule="exact"/>
        <w:ind w:firstLine="643" w:firstLineChars="200"/>
        <w:jc w:val="both"/>
        <w:textAlignment w:val="auto"/>
        <w:rPr>
          <w:rFonts w:hint="default" w:ascii="Times New Roman" w:hAnsi="Times New Roman" w:eastAsia="方正仿宋_GBK"/>
          <w:sz w:val="32"/>
          <w:szCs w:val="32"/>
        </w:rPr>
      </w:pPr>
      <w:r>
        <w:rPr>
          <w:rFonts w:ascii="Times New Roman" w:hAnsi="Times New Roman" w:eastAsia="方正仿宋_GBK"/>
          <w:b/>
          <w:bCs/>
          <w:sz w:val="32"/>
          <w:szCs w:val="32"/>
        </w:rPr>
        <w:t xml:space="preserve">  3.结转结余情况。</w:t>
      </w:r>
      <w:r>
        <w:rPr>
          <w:rFonts w:ascii="Times New Roman" w:hAnsi="Times New Roman" w:eastAsia="方正仿宋_GBK"/>
          <w:sz w:val="32"/>
          <w:szCs w:val="32"/>
        </w:rPr>
        <w:t>2021年度年末一般公共预算财政拨款结转和结余5.43万元，较上年决算数增加5.43万元，增长1</w:t>
      </w:r>
      <w:r>
        <w:rPr>
          <w:rFonts w:hint="default" w:ascii="Times New Roman" w:hAnsi="Times New Roman" w:eastAsia="方正仿宋_GBK"/>
          <w:sz w:val="32"/>
          <w:szCs w:val="32"/>
        </w:rPr>
        <w:t>00</w:t>
      </w:r>
      <w:r>
        <w:rPr>
          <w:rFonts w:ascii="Times New Roman" w:hAnsi="Times New Roman" w:eastAsia="方正仿宋_GBK"/>
          <w:sz w:val="32"/>
          <w:szCs w:val="32"/>
        </w:rPr>
        <w:t>%，主要原因是一般行政管理事务结余2万元、2011--2020年实施妇女儿童发展纲要（规划）终期监测评估及新一轮妇女儿童发展纲要（规划）编制工作经费结余2.6万元、渝中区妇女儿童活动中心建设前期项目经费结余0.8万元。</w:t>
      </w:r>
    </w:p>
    <w:p>
      <w:pPr>
        <w:pStyle w:val="4"/>
        <w:keepNext w:val="0"/>
        <w:keepLines w:val="0"/>
        <w:pageBreakBefore w:val="0"/>
        <w:widowControl w:val="0"/>
        <w:kinsoku/>
        <w:wordWrap/>
        <w:overflowPunct/>
        <w:topLinePunct w:val="0"/>
        <w:autoSpaceDN/>
        <w:bidi w:val="0"/>
        <w:adjustRightInd/>
        <w:snapToGrid/>
        <w:spacing w:beforeAutospacing="0" w:afterAutospacing="0" w:line="540" w:lineRule="exact"/>
        <w:ind w:firstLine="643" w:firstLineChars="200"/>
        <w:textAlignment w:val="auto"/>
        <w:rPr>
          <w:rFonts w:hint="default" w:ascii="Times New Roman" w:hAnsi="Times New Roman" w:eastAsia="方正仿宋_GBK"/>
          <w:sz w:val="32"/>
          <w:szCs w:val="32"/>
        </w:rPr>
      </w:pPr>
      <w:r>
        <w:rPr>
          <w:rFonts w:ascii="Times New Roman" w:hAnsi="Times New Roman" w:eastAsia="方正仿宋_GBK"/>
          <w:b/>
          <w:bCs/>
          <w:sz w:val="32"/>
          <w:szCs w:val="32"/>
        </w:rPr>
        <w:t xml:space="preserve">  4.比较情况。</w:t>
      </w:r>
      <w:r>
        <w:rPr>
          <w:rFonts w:ascii="Times New Roman" w:hAnsi="Times New Roman" w:eastAsia="方正仿宋_GBK"/>
          <w:sz w:val="32"/>
          <w:szCs w:val="32"/>
        </w:rPr>
        <w:t>本部门2021年度一般公共预算财政拨款支出主要用于以下几个方面：</w:t>
      </w:r>
    </w:p>
    <w:p>
      <w:pPr>
        <w:pStyle w:val="4"/>
        <w:keepNext w:val="0"/>
        <w:keepLines w:val="0"/>
        <w:pageBreakBefore w:val="0"/>
        <w:widowControl w:val="0"/>
        <w:kinsoku/>
        <w:wordWrap/>
        <w:overflowPunct/>
        <w:topLinePunct w:val="0"/>
        <w:autoSpaceDN/>
        <w:bidi w:val="0"/>
        <w:adjustRightInd/>
        <w:snapToGrid/>
        <w:spacing w:beforeAutospacing="0" w:afterAutospacing="0" w:line="540" w:lineRule="exact"/>
        <w:ind w:firstLine="640" w:firstLineChars="200"/>
        <w:textAlignment w:val="auto"/>
        <w:rPr>
          <w:rFonts w:hint="default" w:ascii="Times New Roman" w:hAnsi="Times New Roman" w:eastAsia="方正仿宋_GBK"/>
          <w:sz w:val="32"/>
          <w:szCs w:val="32"/>
        </w:rPr>
      </w:pPr>
      <w:r>
        <w:rPr>
          <w:rFonts w:ascii="Times New Roman" w:hAnsi="Times New Roman" w:eastAsia="方正仿宋_GBK"/>
          <w:sz w:val="32"/>
          <w:szCs w:val="32"/>
        </w:rPr>
        <w:t>（1）一般公共服务支出513.51万元，占84.6%，较年初预算数增加210.55万元，增长69.5%，主要原因是</w:t>
      </w:r>
      <w:r>
        <w:rPr>
          <w:rFonts w:hint="default" w:ascii="Times New Roman" w:hAnsi="Times New Roman" w:eastAsia="方正仿宋_GBK"/>
          <w:sz w:val="32"/>
          <w:szCs w:val="32"/>
        </w:rPr>
        <w:t>1</w:t>
      </w:r>
      <w:r>
        <w:rPr>
          <w:rFonts w:ascii="Times New Roman" w:hAnsi="Times New Roman" w:eastAsia="方正仿宋_GBK"/>
          <w:sz w:val="32"/>
          <w:szCs w:val="32"/>
        </w:rPr>
        <w:t xml:space="preserve">名退休老同志死亡一次性抚恤金和丧葬费22.14万元、2011--2020年实施妇女儿童发展纲要（规划）终期监测评估及新一轮妇女儿童发展纲要（规划）编制工作经费35.38万元、渝中区妇女儿童活动中心2021年项目经费89.9万元、渝中区妇女儿童活动中心建设前期项目经费9万元等 </w:t>
      </w:r>
    </w:p>
    <w:p>
      <w:pPr>
        <w:pStyle w:val="4"/>
        <w:keepNext w:val="0"/>
        <w:keepLines w:val="0"/>
        <w:pageBreakBefore w:val="0"/>
        <w:widowControl w:val="0"/>
        <w:kinsoku/>
        <w:wordWrap/>
        <w:overflowPunct/>
        <w:topLinePunct w:val="0"/>
        <w:autoSpaceDN/>
        <w:bidi w:val="0"/>
        <w:adjustRightInd/>
        <w:snapToGrid/>
        <w:spacing w:beforeAutospacing="0" w:afterAutospacing="0" w:line="540" w:lineRule="exact"/>
        <w:ind w:firstLine="640" w:firstLineChars="200"/>
        <w:textAlignment w:val="auto"/>
        <w:rPr>
          <w:rFonts w:hint="default" w:ascii="Times New Roman" w:hAnsi="Times New Roman" w:eastAsia="方正仿宋_GBK"/>
          <w:sz w:val="32"/>
          <w:szCs w:val="32"/>
        </w:rPr>
      </w:pPr>
      <w:r>
        <w:rPr>
          <w:rFonts w:ascii="Times New Roman" w:hAnsi="Times New Roman" w:eastAsia="方正仿宋_GBK"/>
          <w:sz w:val="32"/>
          <w:szCs w:val="32"/>
        </w:rPr>
        <w:t>（2）社会保障与就业支出61.51万元，占10.1%，较年初预算数增加31.91万元，增长107.8%，主要原因是</w:t>
      </w:r>
      <w:r>
        <w:rPr>
          <w:rFonts w:hint="default" w:ascii="Times New Roman" w:hAnsi="Times New Roman" w:eastAsia="方正仿宋_GBK"/>
          <w:sz w:val="32"/>
          <w:szCs w:val="32"/>
        </w:rPr>
        <w:t>1</w:t>
      </w:r>
      <w:r>
        <w:rPr>
          <w:rFonts w:ascii="Times New Roman" w:hAnsi="Times New Roman" w:eastAsia="方正仿宋_GBK"/>
          <w:sz w:val="32"/>
          <w:szCs w:val="32"/>
        </w:rPr>
        <w:t>名退休老同志死亡一次性抚恤金和丧葬费22.14万元、新增3名事业编制人员社会保障经费。</w:t>
      </w:r>
    </w:p>
    <w:p>
      <w:pPr>
        <w:pStyle w:val="4"/>
        <w:keepNext w:val="0"/>
        <w:keepLines w:val="0"/>
        <w:pageBreakBefore w:val="0"/>
        <w:widowControl w:val="0"/>
        <w:kinsoku/>
        <w:wordWrap/>
        <w:overflowPunct/>
        <w:topLinePunct w:val="0"/>
        <w:autoSpaceDN/>
        <w:bidi w:val="0"/>
        <w:adjustRightInd/>
        <w:snapToGrid/>
        <w:spacing w:beforeAutospacing="0" w:afterAutospacing="0" w:line="540" w:lineRule="exact"/>
        <w:ind w:firstLine="640" w:firstLineChars="200"/>
        <w:textAlignment w:val="auto"/>
        <w:rPr>
          <w:rFonts w:hint="default" w:ascii="Times New Roman" w:hAnsi="Times New Roman" w:eastAsia="方正仿宋_GBK"/>
          <w:sz w:val="32"/>
          <w:szCs w:val="32"/>
        </w:rPr>
      </w:pPr>
      <w:r>
        <w:rPr>
          <w:rFonts w:ascii="Times New Roman" w:hAnsi="Times New Roman" w:eastAsia="方正仿宋_GBK"/>
          <w:sz w:val="32"/>
          <w:szCs w:val="32"/>
        </w:rPr>
        <w:t>（3）卫生健康支出10.45万元，占1.7%，较年初预算数增加2.02万元，增长24%，主要原因是新增3名事业编制人员卫生健康保障经费。</w:t>
      </w:r>
    </w:p>
    <w:p>
      <w:pPr>
        <w:pStyle w:val="4"/>
        <w:keepNext w:val="0"/>
        <w:keepLines w:val="0"/>
        <w:pageBreakBefore w:val="0"/>
        <w:widowControl w:val="0"/>
        <w:kinsoku/>
        <w:wordWrap/>
        <w:overflowPunct/>
        <w:topLinePunct w:val="0"/>
        <w:autoSpaceDN/>
        <w:bidi w:val="0"/>
        <w:adjustRightInd/>
        <w:snapToGrid/>
        <w:spacing w:beforeAutospacing="0" w:afterAutospacing="0" w:line="540" w:lineRule="exact"/>
        <w:ind w:firstLine="640" w:firstLineChars="200"/>
        <w:textAlignment w:val="auto"/>
        <w:rPr>
          <w:rFonts w:hint="default" w:ascii="Times New Roman" w:hAnsi="Times New Roman" w:eastAsia="方正仿宋_GBK"/>
          <w:sz w:val="32"/>
          <w:szCs w:val="32"/>
        </w:rPr>
      </w:pPr>
      <w:r>
        <w:rPr>
          <w:rFonts w:ascii="Times New Roman" w:hAnsi="Times New Roman" w:eastAsia="方正仿宋_GBK"/>
          <w:sz w:val="32"/>
          <w:szCs w:val="32"/>
        </w:rPr>
        <w:t>（4）城乡社区支出9.00万元，占1.5%，较年初预算数增加9.00万元，增长100%，主要原因是用于渝中区妇女儿童活动中心前期建设。</w:t>
      </w:r>
    </w:p>
    <w:p>
      <w:pPr>
        <w:pStyle w:val="4"/>
        <w:keepNext w:val="0"/>
        <w:keepLines w:val="0"/>
        <w:pageBreakBefore w:val="0"/>
        <w:widowControl w:val="0"/>
        <w:kinsoku/>
        <w:wordWrap/>
        <w:overflowPunct/>
        <w:topLinePunct w:val="0"/>
        <w:autoSpaceDN/>
        <w:bidi w:val="0"/>
        <w:adjustRightInd/>
        <w:snapToGrid/>
        <w:spacing w:beforeAutospacing="0" w:afterAutospacing="0" w:line="540" w:lineRule="exact"/>
        <w:ind w:firstLine="640" w:firstLineChars="200"/>
        <w:textAlignment w:val="auto"/>
        <w:rPr>
          <w:rFonts w:hint="default" w:ascii="Times New Roman" w:hAnsi="Times New Roman" w:eastAsia="方正仿宋_GBK"/>
          <w:sz w:val="32"/>
          <w:szCs w:val="32"/>
        </w:rPr>
      </w:pPr>
      <w:r>
        <w:rPr>
          <w:rFonts w:ascii="Times New Roman" w:hAnsi="Times New Roman" w:eastAsia="方正仿宋_GBK"/>
          <w:sz w:val="32"/>
          <w:szCs w:val="32"/>
        </w:rPr>
        <w:t>（5）住房保障支出12.59万元，占2.1%，较年初预算数增加3.58万元，增长39.7%，主要原因是新增3名事业编制人员住房保障经费。</w:t>
      </w:r>
    </w:p>
    <w:p>
      <w:pPr>
        <w:pStyle w:val="4"/>
        <w:keepNext w:val="0"/>
        <w:keepLines w:val="0"/>
        <w:pageBreakBefore w:val="0"/>
        <w:widowControl w:val="0"/>
        <w:kinsoku/>
        <w:wordWrap/>
        <w:overflowPunct/>
        <w:topLinePunct w:val="0"/>
        <w:autoSpaceDN/>
        <w:bidi w:val="0"/>
        <w:adjustRightInd/>
        <w:snapToGrid/>
        <w:spacing w:beforeAutospacing="0" w:afterAutospacing="0" w:line="540" w:lineRule="exact"/>
        <w:ind w:firstLine="643" w:firstLineChars="200"/>
        <w:textAlignment w:val="auto"/>
        <w:rPr>
          <w:rFonts w:hint="default" w:ascii="Times New Roman" w:hAnsi="Times New Roman" w:eastAsia="方正仿宋_GBK"/>
          <w:b/>
          <w:bCs/>
          <w:sz w:val="32"/>
          <w:szCs w:val="32"/>
        </w:rPr>
      </w:pPr>
      <w:r>
        <w:rPr>
          <w:rFonts w:ascii="Times New Roman" w:hAnsi="Times New Roman" w:eastAsia="方正仿宋_GBK"/>
          <w:b/>
          <w:bCs/>
          <w:sz w:val="32"/>
          <w:szCs w:val="32"/>
        </w:rPr>
        <w:t>（四）一般公共预算财政拨款基本支出决算情况说明</w:t>
      </w:r>
    </w:p>
    <w:p>
      <w:pPr>
        <w:pStyle w:val="4"/>
        <w:keepNext w:val="0"/>
        <w:keepLines w:val="0"/>
        <w:pageBreakBefore w:val="0"/>
        <w:widowControl w:val="0"/>
        <w:kinsoku/>
        <w:wordWrap/>
        <w:overflowPunct/>
        <w:topLinePunct w:val="0"/>
        <w:autoSpaceDN/>
        <w:bidi w:val="0"/>
        <w:adjustRightInd/>
        <w:snapToGrid/>
        <w:spacing w:beforeAutospacing="0" w:afterAutospacing="0" w:line="540" w:lineRule="exact"/>
        <w:ind w:firstLine="640" w:firstLineChars="200"/>
        <w:textAlignment w:val="auto"/>
        <w:rPr>
          <w:rFonts w:hint="default" w:cs="宋体"/>
          <w:color w:val="FF0000"/>
          <w:sz w:val="21"/>
          <w:szCs w:val="21"/>
          <w:shd w:val="clear" w:color="auto" w:fill="FFFFFF"/>
        </w:rPr>
      </w:pPr>
      <w:r>
        <w:rPr>
          <w:rFonts w:ascii="Times New Roman" w:hAnsi="Times New Roman" w:eastAsia="方正仿宋_GBK"/>
          <w:sz w:val="32"/>
          <w:szCs w:val="32"/>
        </w:rPr>
        <w:t>2021年度一般公共财政拨款基本支出281.17万元。其中：人员经费227.44万元，较上年决算数增加60.97万元，增长36.6%，主要原因是</w:t>
      </w:r>
      <w:r>
        <w:rPr>
          <w:rFonts w:hint="default" w:ascii="Times New Roman" w:hAnsi="Times New Roman" w:eastAsia="方正仿宋_GBK"/>
          <w:sz w:val="32"/>
          <w:szCs w:val="32"/>
        </w:rPr>
        <w:t>1</w:t>
      </w:r>
      <w:r>
        <w:rPr>
          <w:rFonts w:ascii="Times New Roman" w:hAnsi="Times New Roman" w:eastAsia="方正仿宋_GBK"/>
          <w:sz w:val="32"/>
          <w:szCs w:val="32"/>
        </w:rPr>
        <w:t>名退休老同志死亡一次性抚恤金和丧葬费、新增3名事业编制人员等。人员经费用途主要包括基本工资、津贴补贴、奖金、机关事业单位基本养老保险费、职业年金缴费、职工基本医疗保险缴费、其他社会保障缴费、住房公积金、医疗费、其他工资福利支出、抚恤金、生活补助等。公用经费53.73万元，较上年决算数减少0.10万元，下降0.2%。公用经费用途主要包括办公费、邮电费、物业管理费、差旅费、维修（护）费、劳务费、委托业务费、工会经费、其他交通费用、其他商品和服务支出等。</w:t>
      </w:r>
    </w:p>
    <w:p>
      <w:pPr>
        <w:pStyle w:val="4"/>
        <w:keepNext w:val="0"/>
        <w:keepLines w:val="0"/>
        <w:pageBreakBefore w:val="0"/>
        <w:widowControl w:val="0"/>
        <w:kinsoku/>
        <w:wordWrap/>
        <w:overflowPunct/>
        <w:topLinePunct w:val="0"/>
        <w:autoSpaceDN/>
        <w:bidi w:val="0"/>
        <w:adjustRightInd/>
        <w:snapToGrid/>
        <w:spacing w:beforeAutospacing="0" w:afterAutospacing="0" w:line="540" w:lineRule="exact"/>
        <w:ind w:firstLine="643" w:firstLineChars="200"/>
        <w:textAlignment w:val="auto"/>
        <w:rPr>
          <w:rFonts w:hint="default" w:ascii="Times New Roman" w:hAnsi="Times New Roman" w:eastAsia="方正仿宋_GBK"/>
          <w:b/>
          <w:bCs/>
          <w:sz w:val="32"/>
          <w:szCs w:val="32"/>
        </w:rPr>
      </w:pPr>
      <w:r>
        <w:rPr>
          <w:rFonts w:ascii="Times New Roman" w:hAnsi="Times New Roman" w:eastAsia="方正仿宋_GBK"/>
          <w:b/>
          <w:bCs/>
          <w:sz w:val="32"/>
          <w:szCs w:val="32"/>
        </w:rPr>
        <w:t>（五）政府性基金预算收支决算情况说明</w:t>
      </w:r>
    </w:p>
    <w:p>
      <w:pPr>
        <w:pStyle w:val="8"/>
        <w:keepNext w:val="0"/>
        <w:keepLines w:val="0"/>
        <w:pageBreakBefore w:val="0"/>
        <w:kinsoku/>
        <w:wordWrap/>
        <w:overflowPunct/>
        <w:topLinePunct w:val="0"/>
        <w:autoSpaceDE w:val="0"/>
        <w:autoSpaceDN/>
        <w:bidi w:val="0"/>
        <w:adjustRightInd/>
        <w:snapToGrid/>
        <w:spacing w:beforeAutospacing="0" w:afterAutospacing="0" w:line="540" w:lineRule="exact"/>
        <w:ind w:firstLine="640" w:firstLineChars="200"/>
        <w:jc w:val="both"/>
        <w:textAlignment w:val="auto"/>
        <w:rPr>
          <w:rFonts w:hint="eastAsia" w:ascii="Times New Roman" w:hAnsi="Times New Roman" w:eastAsia="方正仿宋_GBK" w:cs="Times New Roman"/>
          <w:sz w:val="32"/>
          <w:szCs w:val="32"/>
          <w:lang w:val="en-US" w:eastAsia="zh-CN" w:bidi="ar-SA"/>
        </w:rPr>
      </w:pPr>
      <w:r>
        <w:rPr>
          <w:rFonts w:hint="eastAsia" w:ascii="Times New Roman" w:hAnsi="Times New Roman" w:eastAsia="方正仿宋_GBK" w:cs="Times New Roman"/>
          <w:sz w:val="32"/>
          <w:szCs w:val="32"/>
          <w:lang w:val="en-US" w:eastAsia="zh-CN" w:bidi="ar-SA"/>
        </w:rPr>
        <w:t>本部门2021年度无政府性基金预算财政拨款收支，较上年决算数和年初预算数持平。</w:t>
      </w:r>
    </w:p>
    <w:p>
      <w:pPr>
        <w:pStyle w:val="4"/>
        <w:keepNext w:val="0"/>
        <w:keepLines w:val="0"/>
        <w:pageBreakBefore w:val="0"/>
        <w:widowControl w:val="0"/>
        <w:kinsoku/>
        <w:wordWrap/>
        <w:overflowPunct/>
        <w:topLinePunct w:val="0"/>
        <w:autoSpaceDN/>
        <w:bidi w:val="0"/>
        <w:adjustRightInd/>
        <w:snapToGrid/>
        <w:spacing w:beforeAutospacing="0" w:afterAutospacing="0" w:line="540" w:lineRule="exact"/>
        <w:ind w:firstLine="643" w:firstLineChars="200"/>
        <w:textAlignment w:val="auto"/>
        <w:rPr>
          <w:rFonts w:hint="default" w:ascii="Times New Roman" w:hAnsi="Times New Roman" w:eastAsia="方正仿宋_GBK"/>
          <w:b/>
          <w:bCs/>
          <w:sz w:val="32"/>
          <w:szCs w:val="32"/>
        </w:rPr>
      </w:pPr>
      <w:r>
        <w:rPr>
          <w:rFonts w:ascii="Times New Roman" w:hAnsi="Times New Roman" w:eastAsia="方正仿宋_GBK"/>
          <w:b/>
          <w:bCs/>
          <w:sz w:val="32"/>
          <w:szCs w:val="32"/>
        </w:rPr>
        <w:t>（六）国有资本经营预算财政拨款支出决算情况说明</w:t>
      </w:r>
    </w:p>
    <w:p>
      <w:pPr>
        <w:pStyle w:val="8"/>
        <w:keepNext w:val="0"/>
        <w:keepLines w:val="0"/>
        <w:pageBreakBefore w:val="0"/>
        <w:kinsoku/>
        <w:wordWrap/>
        <w:overflowPunct/>
        <w:topLinePunct w:val="0"/>
        <w:autoSpaceDE w:val="0"/>
        <w:autoSpaceDN/>
        <w:bidi w:val="0"/>
        <w:adjustRightInd/>
        <w:snapToGrid/>
        <w:spacing w:beforeAutospacing="0" w:afterAutospacing="0" w:line="540" w:lineRule="exact"/>
        <w:ind w:firstLine="640" w:firstLineChars="200"/>
        <w:jc w:val="both"/>
        <w:textAlignment w:val="auto"/>
        <w:rPr>
          <w:rFonts w:hint="eastAsia" w:ascii="Times New Roman" w:hAnsi="Times New Roman" w:eastAsia="方正仿宋_GBK" w:cs="Times New Roman"/>
          <w:sz w:val="32"/>
          <w:szCs w:val="32"/>
          <w:lang w:val="en-US" w:eastAsia="zh-CN" w:bidi="ar-SA"/>
        </w:rPr>
      </w:pPr>
      <w:r>
        <w:rPr>
          <w:rFonts w:hint="eastAsia" w:ascii="Times New Roman" w:hAnsi="Times New Roman" w:eastAsia="方正仿宋_GBK" w:cs="Times New Roman"/>
          <w:sz w:val="32"/>
          <w:szCs w:val="32"/>
          <w:lang w:val="en-US" w:eastAsia="zh-CN" w:bidi="ar-SA"/>
        </w:rPr>
        <w:t>本部门2021年度无国有资本经营预算财政拨款支出，较上年决算数和年初预算数持平。</w:t>
      </w:r>
    </w:p>
    <w:p>
      <w:pPr>
        <w:pStyle w:val="8"/>
        <w:keepNext w:val="0"/>
        <w:keepLines w:val="0"/>
        <w:pageBreakBefore w:val="0"/>
        <w:widowControl w:val="0"/>
        <w:kinsoku/>
        <w:wordWrap/>
        <w:overflowPunct/>
        <w:topLinePunct w:val="0"/>
        <w:autoSpaceDE w:val="0"/>
        <w:autoSpaceDN/>
        <w:bidi w:val="0"/>
        <w:adjustRightInd/>
        <w:snapToGrid/>
        <w:spacing w:beforeAutospacing="0" w:afterAutospacing="0" w:line="540" w:lineRule="exact"/>
        <w:ind w:firstLine="640" w:firstLineChars="200"/>
        <w:jc w:val="both"/>
        <w:textAlignment w:val="auto"/>
        <w:rPr>
          <w:rStyle w:val="9"/>
          <w:rFonts w:hint="eastAsia" w:ascii="方正黑体_GBK" w:hAnsi="方正黑体_GBK" w:eastAsia="方正黑体_GBK" w:cs="方正黑体_GBK"/>
          <w:b w:val="0"/>
          <w:bCs/>
          <w:sz w:val="32"/>
          <w:szCs w:val="32"/>
          <w:shd w:val="clear" w:color="auto" w:fill="FFFFFF"/>
        </w:rPr>
      </w:pPr>
      <w:r>
        <w:rPr>
          <w:rStyle w:val="9"/>
          <w:rFonts w:hint="eastAsia" w:ascii="方正黑体_GBK" w:hAnsi="方正黑体_GBK" w:eastAsia="方正黑体_GBK" w:cs="方正黑体_GBK"/>
          <w:b w:val="0"/>
          <w:bCs/>
          <w:sz w:val="32"/>
          <w:szCs w:val="32"/>
          <w:shd w:val="clear" w:color="auto" w:fill="FFFFFF"/>
        </w:rPr>
        <w:t>三、“三公”经费情况说明</w:t>
      </w:r>
    </w:p>
    <w:p>
      <w:pPr>
        <w:pStyle w:val="4"/>
        <w:keepNext w:val="0"/>
        <w:keepLines w:val="0"/>
        <w:pageBreakBefore w:val="0"/>
        <w:widowControl w:val="0"/>
        <w:kinsoku/>
        <w:wordWrap/>
        <w:overflowPunct/>
        <w:topLinePunct w:val="0"/>
        <w:autoSpaceDN/>
        <w:bidi w:val="0"/>
        <w:adjustRightInd/>
        <w:snapToGrid/>
        <w:spacing w:beforeAutospacing="0" w:afterAutospacing="0" w:line="540" w:lineRule="exact"/>
        <w:ind w:firstLine="643" w:firstLineChars="200"/>
        <w:textAlignment w:val="auto"/>
        <w:rPr>
          <w:rFonts w:hint="default" w:ascii="Times New Roman" w:hAnsi="Times New Roman" w:eastAsia="方正仿宋_GBK"/>
          <w:b/>
          <w:bCs/>
          <w:sz w:val="32"/>
          <w:szCs w:val="32"/>
        </w:rPr>
      </w:pPr>
      <w:r>
        <w:rPr>
          <w:rFonts w:ascii="Times New Roman" w:hAnsi="Times New Roman" w:eastAsia="方正仿宋_GBK"/>
          <w:b/>
          <w:bCs/>
          <w:sz w:val="32"/>
          <w:szCs w:val="32"/>
        </w:rPr>
        <w:t>（一）“三公”经费支出总体情况说明</w:t>
      </w:r>
    </w:p>
    <w:p>
      <w:pPr>
        <w:pStyle w:val="4"/>
        <w:keepNext w:val="0"/>
        <w:keepLines w:val="0"/>
        <w:pageBreakBefore w:val="0"/>
        <w:widowControl w:val="0"/>
        <w:kinsoku/>
        <w:wordWrap/>
        <w:overflowPunct/>
        <w:topLinePunct w:val="0"/>
        <w:autoSpaceDN/>
        <w:bidi w:val="0"/>
        <w:adjustRightInd/>
        <w:snapToGrid/>
        <w:spacing w:beforeAutospacing="0" w:afterAutospacing="0" w:line="540" w:lineRule="exact"/>
        <w:ind w:firstLine="640" w:firstLineChars="200"/>
        <w:textAlignment w:val="auto"/>
        <w:rPr>
          <w:rFonts w:hint="default" w:ascii="Times New Roman" w:hAnsi="Times New Roman" w:eastAsia="方正仿宋_GBK"/>
          <w:sz w:val="32"/>
          <w:szCs w:val="32"/>
        </w:rPr>
      </w:pPr>
      <w:r>
        <w:rPr>
          <w:rFonts w:ascii="Times New Roman" w:hAnsi="Times New Roman" w:eastAsia="方正仿宋_GBK"/>
          <w:sz w:val="32"/>
          <w:szCs w:val="32"/>
        </w:rPr>
        <w:t>2021年度“三公”经费支出共计0.80万元，较年初预算数增加0.00万元，增长0%，主要原因是用于</w:t>
      </w:r>
      <w:r>
        <w:rPr>
          <w:rFonts w:hint="default" w:ascii="Times New Roman" w:hAnsi="Times New Roman" w:eastAsia="方正仿宋_GBK"/>
          <w:sz w:val="32"/>
          <w:szCs w:val="32"/>
        </w:rPr>
        <w:t>接待</w:t>
      </w:r>
      <w:r>
        <w:rPr>
          <w:rFonts w:ascii="Times New Roman" w:hAnsi="Times New Roman" w:eastAsia="方正仿宋_GBK"/>
          <w:sz w:val="32"/>
          <w:szCs w:val="32"/>
        </w:rPr>
        <w:t>成都</w:t>
      </w:r>
      <w:r>
        <w:rPr>
          <w:rFonts w:hint="default" w:ascii="Times New Roman" w:hAnsi="Times New Roman" w:eastAsia="方正仿宋_GBK"/>
          <w:sz w:val="32"/>
          <w:szCs w:val="32"/>
        </w:rPr>
        <w:t>双流区妇联到渝中</w:t>
      </w:r>
      <w:r>
        <w:rPr>
          <w:rFonts w:ascii="Times New Roman" w:hAnsi="Times New Roman" w:eastAsia="方正仿宋_GBK"/>
          <w:sz w:val="32"/>
          <w:szCs w:val="32"/>
        </w:rPr>
        <w:t>参加女企业家专场活动，</w:t>
      </w:r>
      <w:r>
        <w:rPr>
          <w:rFonts w:hint="default" w:ascii="Times New Roman" w:hAnsi="Times New Roman" w:eastAsia="方正仿宋_GBK"/>
          <w:sz w:val="32"/>
          <w:szCs w:val="32"/>
        </w:rPr>
        <w:t>接待四川眉山妇联</w:t>
      </w:r>
      <w:r>
        <w:rPr>
          <w:rFonts w:ascii="Times New Roman" w:hAnsi="Times New Roman" w:eastAsia="方正仿宋_GBK"/>
          <w:sz w:val="32"/>
          <w:szCs w:val="32"/>
        </w:rPr>
        <w:t>，</w:t>
      </w:r>
      <w:r>
        <w:rPr>
          <w:rFonts w:hint="default" w:ascii="Times New Roman" w:hAnsi="Times New Roman" w:eastAsia="方正仿宋_GBK"/>
          <w:sz w:val="32"/>
          <w:szCs w:val="32"/>
        </w:rPr>
        <w:t>接待</w:t>
      </w:r>
      <w:r>
        <w:rPr>
          <w:rFonts w:ascii="Times New Roman" w:hAnsi="Times New Roman" w:eastAsia="方正仿宋_GBK"/>
          <w:sz w:val="32"/>
          <w:szCs w:val="32"/>
        </w:rPr>
        <w:t>重庆</w:t>
      </w:r>
      <w:r>
        <w:rPr>
          <w:rFonts w:hint="default" w:ascii="Times New Roman" w:hAnsi="Times New Roman" w:eastAsia="方正仿宋_GBK"/>
          <w:sz w:val="32"/>
          <w:szCs w:val="32"/>
        </w:rPr>
        <w:t>巫溪县妇联调研妇联组织建设工作</w:t>
      </w:r>
      <w:r>
        <w:rPr>
          <w:rFonts w:ascii="Times New Roman" w:hAnsi="Times New Roman" w:eastAsia="方正仿宋_GBK"/>
          <w:sz w:val="32"/>
          <w:szCs w:val="32"/>
        </w:rPr>
        <w:t>等。较上年支出数增加0.80万元，增长100%，主要原因是</w:t>
      </w:r>
      <w:r>
        <w:rPr>
          <w:rFonts w:hint="default" w:ascii="Times New Roman" w:hAnsi="Times New Roman" w:eastAsia="方正仿宋_GBK"/>
          <w:sz w:val="32"/>
          <w:szCs w:val="32"/>
        </w:rPr>
        <w:t>接待</w:t>
      </w:r>
      <w:r>
        <w:rPr>
          <w:rFonts w:ascii="Times New Roman" w:hAnsi="Times New Roman" w:eastAsia="方正仿宋_GBK"/>
          <w:sz w:val="32"/>
          <w:szCs w:val="32"/>
        </w:rPr>
        <w:t>了成都</w:t>
      </w:r>
      <w:r>
        <w:rPr>
          <w:rFonts w:hint="default" w:ascii="Times New Roman" w:hAnsi="Times New Roman" w:eastAsia="方正仿宋_GBK"/>
          <w:sz w:val="32"/>
          <w:szCs w:val="32"/>
        </w:rPr>
        <w:t>双流区妇联</w:t>
      </w:r>
      <w:r>
        <w:rPr>
          <w:rFonts w:ascii="Times New Roman" w:hAnsi="Times New Roman" w:eastAsia="方正仿宋_GBK"/>
          <w:sz w:val="32"/>
          <w:szCs w:val="32"/>
        </w:rPr>
        <w:t>、</w:t>
      </w:r>
      <w:r>
        <w:rPr>
          <w:rFonts w:hint="default" w:ascii="Times New Roman" w:hAnsi="Times New Roman" w:eastAsia="方正仿宋_GBK"/>
          <w:sz w:val="32"/>
          <w:szCs w:val="32"/>
        </w:rPr>
        <w:t>四川眉山市妇联</w:t>
      </w:r>
      <w:r>
        <w:rPr>
          <w:rFonts w:ascii="Times New Roman" w:hAnsi="Times New Roman" w:eastAsia="方正仿宋_GBK"/>
          <w:sz w:val="32"/>
          <w:szCs w:val="32"/>
        </w:rPr>
        <w:t>、重庆</w:t>
      </w:r>
      <w:r>
        <w:rPr>
          <w:rFonts w:hint="default" w:ascii="Times New Roman" w:hAnsi="Times New Roman" w:eastAsia="方正仿宋_GBK"/>
          <w:sz w:val="32"/>
          <w:szCs w:val="32"/>
        </w:rPr>
        <w:t>巫溪县妇联</w:t>
      </w:r>
      <w:r>
        <w:rPr>
          <w:rFonts w:ascii="Times New Roman" w:hAnsi="Times New Roman" w:eastAsia="方正仿宋_GBK"/>
          <w:sz w:val="32"/>
          <w:szCs w:val="32"/>
        </w:rPr>
        <w:t>等。</w:t>
      </w:r>
    </w:p>
    <w:p>
      <w:pPr>
        <w:pStyle w:val="4"/>
        <w:keepNext w:val="0"/>
        <w:keepLines w:val="0"/>
        <w:pageBreakBefore w:val="0"/>
        <w:widowControl w:val="0"/>
        <w:kinsoku/>
        <w:wordWrap/>
        <w:overflowPunct/>
        <w:topLinePunct w:val="0"/>
        <w:autoSpaceDN/>
        <w:bidi w:val="0"/>
        <w:adjustRightInd/>
        <w:snapToGrid/>
        <w:spacing w:beforeAutospacing="0" w:afterAutospacing="0" w:line="540" w:lineRule="exact"/>
        <w:ind w:firstLine="643" w:firstLineChars="200"/>
        <w:textAlignment w:val="auto"/>
        <w:rPr>
          <w:rFonts w:hint="default" w:ascii="Times New Roman" w:hAnsi="Times New Roman" w:eastAsia="方正仿宋_GBK"/>
          <w:b/>
          <w:bCs/>
          <w:sz w:val="32"/>
          <w:szCs w:val="32"/>
        </w:rPr>
      </w:pPr>
      <w:r>
        <w:rPr>
          <w:rFonts w:ascii="Times New Roman" w:hAnsi="Times New Roman" w:eastAsia="方正仿宋_GBK"/>
          <w:b/>
          <w:bCs/>
          <w:sz w:val="32"/>
          <w:szCs w:val="32"/>
        </w:rPr>
        <w:t>（二）“三公”经费分项支出情况</w:t>
      </w:r>
    </w:p>
    <w:p>
      <w:pPr>
        <w:pStyle w:val="4"/>
        <w:keepNext w:val="0"/>
        <w:keepLines w:val="0"/>
        <w:pageBreakBefore w:val="0"/>
        <w:widowControl w:val="0"/>
        <w:kinsoku/>
        <w:wordWrap/>
        <w:overflowPunct/>
        <w:topLinePunct w:val="0"/>
        <w:autoSpaceDN/>
        <w:bidi w:val="0"/>
        <w:adjustRightInd/>
        <w:snapToGrid/>
        <w:spacing w:beforeAutospacing="0" w:afterAutospacing="0" w:line="540" w:lineRule="exact"/>
        <w:ind w:firstLine="640" w:firstLineChars="200"/>
        <w:textAlignment w:val="auto"/>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2021年度本部门因公出国（境）费用0.00万元，主要是本单位2021年度未发生公出国（境）支出。费用支出较年初预算数增加0.00万元，增长0%，与年初预算数持平，主要原因是本单位2021年度未发生公出国（境）支出。较上年支出数增加0.00万元，</w:t>
      </w:r>
      <w:r>
        <w:rPr>
          <w:rFonts w:hint="default" w:ascii="Times New Roman" w:hAnsi="Times New Roman" w:eastAsia="方正仿宋_GBK"/>
          <w:sz w:val="32"/>
          <w:szCs w:val="32"/>
        </w:rPr>
        <w:t>增长0</w:t>
      </w:r>
      <w:r>
        <w:rPr>
          <w:rFonts w:hint="default" w:ascii="Times New Roman" w:hAnsi="Times New Roman" w:eastAsia="方正仿宋_GBK"/>
          <w:sz w:val="32"/>
          <w:szCs w:val="32"/>
          <w:shd w:val="clear" w:color="auto" w:fill="FFFFFF"/>
        </w:rPr>
        <w:t>%，与上年决算数持平，主要原因是本单位2021年度未发生公出国（境）支出。</w:t>
      </w:r>
    </w:p>
    <w:p>
      <w:pPr>
        <w:pStyle w:val="4"/>
        <w:keepNext w:val="0"/>
        <w:keepLines w:val="0"/>
        <w:pageBreakBefore w:val="0"/>
        <w:widowControl w:val="0"/>
        <w:kinsoku/>
        <w:wordWrap/>
        <w:overflowPunct/>
        <w:topLinePunct w:val="0"/>
        <w:autoSpaceDN/>
        <w:bidi w:val="0"/>
        <w:adjustRightInd/>
        <w:snapToGrid/>
        <w:spacing w:beforeAutospacing="0" w:afterAutospacing="0" w:line="540" w:lineRule="exact"/>
        <w:textAlignment w:val="auto"/>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 xml:space="preserve">    公务车购置费0.00万元，主要是本单位2021年度未发生公务车购置费支出。费用支出较年初预算数增加0.00万元，</w:t>
      </w:r>
      <w:r>
        <w:rPr>
          <w:rFonts w:hint="default" w:ascii="Times New Roman" w:hAnsi="Times New Roman" w:eastAsia="方正仿宋_GBK"/>
          <w:sz w:val="32"/>
          <w:szCs w:val="32"/>
        </w:rPr>
        <w:t>增长0</w:t>
      </w:r>
      <w:r>
        <w:rPr>
          <w:rFonts w:hint="default" w:ascii="Times New Roman" w:hAnsi="Times New Roman" w:eastAsia="方正仿宋_GBK"/>
          <w:sz w:val="32"/>
          <w:szCs w:val="32"/>
          <w:shd w:val="clear" w:color="auto" w:fill="FFFFFF"/>
        </w:rPr>
        <w:t>%，与年初预算数持平</w:t>
      </w:r>
      <w:r>
        <w:rPr>
          <w:rFonts w:ascii="方正仿宋_GBK" w:hAnsi="方正仿宋_GBK"/>
          <w:sz w:val="32"/>
          <w:szCs w:val="32"/>
        </w:rPr>
        <w:t xml:space="preserve">, </w:t>
      </w:r>
      <w:r>
        <w:rPr>
          <w:rFonts w:hint="default" w:ascii="Times New Roman" w:hAnsi="Times New Roman" w:eastAsia="方正仿宋_GBK"/>
          <w:sz w:val="32"/>
          <w:szCs w:val="32"/>
          <w:shd w:val="clear" w:color="auto" w:fill="FFFFFF"/>
        </w:rPr>
        <w:t xml:space="preserve">主要原因是2021年度未发生公务车购置费支出。较上年支出数增加0.00万元，增长0%，与上年决算数持平，主要原因是2021年度未发生公务车购置费支出。  </w:t>
      </w:r>
    </w:p>
    <w:p>
      <w:pPr>
        <w:pStyle w:val="4"/>
        <w:keepNext w:val="0"/>
        <w:keepLines w:val="0"/>
        <w:pageBreakBefore w:val="0"/>
        <w:widowControl w:val="0"/>
        <w:kinsoku/>
        <w:wordWrap/>
        <w:overflowPunct/>
        <w:topLinePunct w:val="0"/>
        <w:autoSpaceDN/>
        <w:bidi w:val="0"/>
        <w:adjustRightInd/>
        <w:snapToGrid/>
        <w:spacing w:beforeAutospacing="0" w:afterAutospacing="0" w:line="540" w:lineRule="exact"/>
        <w:ind w:firstLine="640" w:firstLineChars="200"/>
        <w:textAlignment w:val="auto"/>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公务车运行维护费0.00万元，主要是2021年度未发生公务车运行维护费支出。费用支出较年初预算数增加0.00万元，</w:t>
      </w:r>
      <w:r>
        <w:rPr>
          <w:rFonts w:hint="default" w:ascii="Times New Roman" w:hAnsi="Times New Roman" w:eastAsia="方正仿宋_GBK"/>
          <w:sz w:val="32"/>
          <w:szCs w:val="32"/>
        </w:rPr>
        <w:t>增长0</w:t>
      </w:r>
      <w:r>
        <w:rPr>
          <w:rFonts w:hint="default" w:ascii="Times New Roman" w:hAnsi="Times New Roman" w:eastAsia="方正仿宋_GBK"/>
          <w:sz w:val="32"/>
          <w:szCs w:val="32"/>
          <w:shd w:val="clear" w:color="auto" w:fill="FFFFFF"/>
        </w:rPr>
        <w:t>%，与年初预算数持平，主要原因是2021年度未发生公务车运行维护费支出</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较上年支出数增加0.00万元，</w:t>
      </w:r>
      <w:r>
        <w:rPr>
          <w:rFonts w:hint="default" w:ascii="Times New Roman" w:hAnsi="Times New Roman" w:eastAsia="方正仿宋_GBK"/>
          <w:sz w:val="32"/>
          <w:szCs w:val="32"/>
        </w:rPr>
        <w:t>增长0</w:t>
      </w:r>
      <w:r>
        <w:rPr>
          <w:rFonts w:hint="default" w:ascii="Times New Roman" w:hAnsi="Times New Roman" w:eastAsia="方正仿宋_GBK"/>
          <w:sz w:val="32"/>
          <w:szCs w:val="32"/>
          <w:shd w:val="clear" w:color="auto" w:fill="FFFFFF"/>
        </w:rPr>
        <w:t>%，与上年决算数持平</w:t>
      </w:r>
      <w:r>
        <w:rPr>
          <w:rFonts w:ascii="方正仿宋_GBK" w:hAnsi="方正仿宋_GBK"/>
          <w:sz w:val="32"/>
          <w:szCs w:val="32"/>
        </w:rPr>
        <w:t>，</w:t>
      </w:r>
      <w:r>
        <w:rPr>
          <w:rFonts w:hint="default" w:ascii="Times New Roman" w:hAnsi="Times New Roman" w:eastAsia="方正仿宋_GBK"/>
          <w:sz w:val="32"/>
          <w:szCs w:val="32"/>
          <w:shd w:val="clear" w:color="auto" w:fill="FFFFFF"/>
        </w:rPr>
        <w:t xml:space="preserve">主要原因是2021年度未发生公务车运行维护费支出。  </w:t>
      </w:r>
    </w:p>
    <w:p>
      <w:pPr>
        <w:pStyle w:val="4"/>
        <w:keepNext w:val="0"/>
        <w:keepLines w:val="0"/>
        <w:pageBreakBefore w:val="0"/>
        <w:widowControl w:val="0"/>
        <w:kinsoku/>
        <w:wordWrap/>
        <w:overflowPunct/>
        <w:topLinePunct w:val="0"/>
        <w:autoSpaceDN/>
        <w:bidi w:val="0"/>
        <w:adjustRightInd/>
        <w:snapToGrid/>
        <w:spacing w:beforeAutospacing="0" w:afterAutospacing="0" w:line="540" w:lineRule="exact"/>
        <w:ind w:firstLine="640" w:firstLineChars="200"/>
        <w:textAlignment w:val="auto"/>
        <w:rPr>
          <w:rFonts w:hint="default" w:ascii="Times New Roman" w:hAnsi="Times New Roman" w:eastAsia="方正仿宋_GBK"/>
          <w:color w:val="FF0000"/>
          <w:sz w:val="32"/>
          <w:szCs w:val="32"/>
          <w:shd w:val="clear" w:color="auto" w:fill="FFFFFF"/>
        </w:rPr>
      </w:pPr>
      <w:r>
        <w:rPr>
          <w:rFonts w:hint="default" w:ascii="Times New Roman" w:hAnsi="Times New Roman" w:eastAsia="方正仿宋_GBK"/>
          <w:sz w:val="32"/>
          <w:szCs w:val="32"/>
          <w:shd w:val="clear" w:color="auto" w:fill="FFFFFF"/>
        </w:rPr>
        <w:t>公务接待费0.80万元，主要用于接待</w:t>
      </w:r>
      <w:r>
        <w:rPr>
          <w:rFonts w:hint="default" w:ascii="Times New Roman" w:hAnsi="Times New Roman" w:eastAsia="方正仿宋_GBK"/>
          <w:sz w:val="32"/>
          <w:szCs w:val="32"/>
        </w:rPr>
        <w:t>双流区妇联到渝中参加女企业家专场活动，接待四川省眉山市妇联，接待巫溪妇联调研妇联组织建设工作等</w:t>
      </w:r>
      <w:r>
        <w:rPr>
          <w:rFonts w:hint="default" w:ascii="Times New Roman" w:hAnsi="Times New Roman" w:eastAsia="方正仿宋_GBK"/>
          <w:sz w:val="32"/>
          <w:szCs w:val="32"/>
          <w:shd w:val="clear" w:color="auto" w:fill="FFFFFF"/>
        </w:rPr>
        <w:t>。费用支出较年初预算数增加0.00万元，增长0%，与年初预算数持平，主要原因是</w:t>
      </w:r>
      <w:r>
        <w:rPr>
          <w:rFonts w:hint="default" w:ascii="Times New Roman" w:hAnsi="Times New Roman" w:eastAsia="方正仿宋_GBK"/>
          <w:sz w:val="32"/>
          <w:szCs w:val="32"/>
        </w:rPr>
        <w:t>接待了成都双流区妇联、四川眉山市妇联、</w:t>
      </w:r>
      <w:r>
        <w:rPr>
          <w:rFonts w:ascii="Times New Roman" w:hAnsi="Times New Roman" w:eastAsia="方正仿宋_GBK"/>
          <w:sz w:val="32"/>
          <w:szCs w:val="32"/>
        </w:rPr>
        <w:t>重庆</w:t>
      </w:r>
      <w:r>
        <w:rPr>
          <w:rFonts w:hint="default" w:ascii="Times New Roman" w:hAnsi="Times New Roman" w:eastAsia="方正仿宋_GBK"/>
          <w:sz w:val="32"/>
          <w:szCs w:val="32"/>
        </w:rPr>
        <w:t>巫溪县妇联等。</w:t>
      </w:r>
      <w:r>
        <w:rPr>
          <w:rFonts w:hint="default" w:ascii="Times New Roman" w:hAnsi="Times New Roman" w:eastAsia="方正仿宋_GBK"/>
          <w:sz w:val="32"/>
          <w:szCs w:val="32"/>
          <w:shd w:val="clear" w:color="auto" w:fill="FFFFFF"/>
        </w:rPr>
        <w:t>较上年支出数增加0.80万元，增长</w:t>
      </w:r>
      <w:r>
        <w:rPr>
          <w:rFonts w:ascii="Times New Roman" w:hAnsi="Times New Roman" w:eastAsia="方正仿宋_GBK"/>
          <w:sz w:val="32"/>
          <w:szCs w:val="32"/>
          <w:shd w:val="clear" w:color="auto" w:fill="FFFFFF"/>
        </w:rPr>
        <w:t>100</w:t>
      </w:r>
      <w:r>
        <w:rPr>
          <w:rFonts w:hint="default" w:ascii="Times New Roman" w:hAnsi="Times New Roman" w:eastAsia="方正仿宋_GBK"/>
          <w:sz w:val="32"/>
          <w:szCs w:val="32"/>
          <w:shd w:val="clear" w:color="auto" w:fill="FFFFFF"/>
        </w:rPr>
        <w:t>%，主要原因是</w:t>
      </w:r>
      <w:r>
        <w:rPr>
          <w:rFonts w:hint="default" w:ascii="Times New Roman" w:hAnsi="Times New Roman" w:eastAsia="方正仿宋_GBK"/>
          <w:sz w:val="32"/>
          <w:szCs w:val="32"/>
        </w:rPr>
        <w:t>接待了成都双流区妇联、四川眉山市妇联、</w:t>
      </w:r>
      <w:r>
        <w:rPr>
          <w:rFonts w:ascii="Times New Roman" w:hAnsi="Times New Roman" w:eastAsia="方正仿宋_GBK"/>
          <w:sz w:val="32"/>
          <w:szCs w:val="32"/>
        </w:rPr>
        <w:t>重庆</w:t>
      </w:r>
      <w:r>
        <w:rPr>
          <w:rFonts w:hint="default" w:ascii="Times New Roman" w:hAnsi="Times New Roman" w:eastAsia="方正仿宋_GBK"/>
          <w:sz w:val="32"/>
          <w:szCs w:val="32"/>
        </w:rPr>
        <w:t>巫溪县妇联等</w:t>
      </w:r>
      <w:r>
        <w:rPr>
          <w:rFonts w:hint="default" w:ascii="Times New Roman" w:hAnsi="Times New Roman" w:eastAsia="方正仿宋_GBK"/>
          <w:sz w:val="32"/>
          <w:szCs w:val="32"/>
          <w:shd w:val="clear" w:color="auto" w:fill="FFFFFF"/>
        </w:rPr>
        <w:t>。</w:t>
      </w:r>
    </w:p>
    <w:p>
      <w:pPr>
        <w:pStyle w:val="4"/>
        <w:keepNext w:val="0"/>
        <w:keepLines w:val="0"/>
        <w:pageBreakBefore w:val="0"/>
        <w:widowControl w:val="0"/>
        <w:kinsoku/>
        <w:wordWrap/>
        <w:overflowPunct/>
        <w:topLinePunct w:val="0"/>
        <w:autoSpaceDN/>
        <w:bidi w:val="0"/>
        <w:adjustRightInd/>
        <w:snapToGrid/>
        <w:spacing w:beforeAutospacing="0" w:afterAutospacing="0" w:line="540" w:lineRule="exact"/>
        <w:ind w:firstLine="643" w:firstLineChars="200"/>
        <w:textAlignment w:val="auto"/>
        <w:rPr>
          <w:rFonts w:hint="default" w:ascii="Times New Roman" w:hAnsi="Times New Roman" w:eastAsia="方正仿宋_GBK"/>
          <w:b/>
          <w:bCs/>
          <w:sz w:val="32"/>
          <w:szCs w:val="32"/>
        </w:rPr>
      </w:pPr>
      <w:r>
        <w:rPr>
          <w:rFonts w:ascii="Times New Roman" w:hAnsi="Times New Roman" w:eastAsia="方正仿宋_GBK"/>
          <w:b/>
          <w:bCs/>
          <w:sz w:val="32"/>
          <w:szCs w:val="32"/>
        </w:rPr>
        <w:t>（三）“三公”经费实物量情况</w:t>
      </w:r>
    </w:p>
    <w:p>
      <w:pPr>
        <w:pStyle w:val="4"/>
        <w:keepNext w:val="0"/>
        <w:keepLines w:val="0"/>
        <w:pageBreakBefore w:val="0"/>
        <w:widowControl w:val="0"/>
        <w:kinsoku/>
        <w:wordWrap/>
        <w:overflowPunct/>
        <w:topLinePunct w:val="0"/>
        <w:autoSpaceDN/>
        <w:bidi w:val="0"/>
        <w:adjustRightInd/>
        <w:snapToGrid/>
        <w:spacing w:beforeAutospacing="0" w:afterAutospacing="0" w:line="540" w:lineRule="exact"/>
        <w:ind w:firstLine="640" w:firstLineChars="200"/>
        <w:textAlignment w:val="auto"/>
        <w:rPr>
          <w:rFonts w:hint="default" w:ascii="Times New Roman" w:hAnsi="Times New Roman" w:eastAsia="方正仿宋_GBK"/>
          <w:sz w:val="32"/>
          <w:szCs w:val="32"/>
        </w:rPr>
      </w:pPr>
      <w:r>
        <w:rPr>
          <w:rFonts w:ascii="Times New Roman" w:hAnsi="Times New Roman" w:eastAsia="方正仿宋_GBK"/>
          <w:sz w:val="32"/>
          <w:szCs w:val="32"/>
        </w:rPr>
        <w:t>2021年度本部门因公出国（境）共计0个团组，0人；公务用车购置0辆，公务车保有量为0辆；国内公务接待4批次92人，其中：国内外事接待0批次，0人；国（境）外公务接待0批次，0人。2021年本部门人均接待费87.15元，车均购置费0.00万元，车均维护费0.00万元。</w:t>
      </w:r>
    </w:p>
    <w:p>
      <w:pPr>
        <w:pStyle w:val="8"/>
        <w:keepNext w:val="0"/>
        <w:keepLines w:val="0"/>
        <w:pageBreakBefore w:val="0"/>
        <w:widowControl w:val="0"/>
        <w:kinsoku/>
        <w:wordWrap/>
        <w:overflowPunct/>
        <w:topLinePunct w:val="0"/>
        <w:autoSpaceDE w:val="0"/>
        <w:autoSpaceDN/>
        <w:bidi w:val="0"/>
        <w:adjustRightInd/>
        <w:snapToGrid/>
        <w:spacing w:beforeAutospacing="0" w:afterAutospacing="0" w:line="540" w:lineRule="exact"/>
        <w:ind w:firstLine="640" w:firstLineChars="200"/>
        <w:jc w:val="both"/>
        <w:textAlignment w:val="auto"/>
        <w:rPr>
          <w:rStyle w:val="9"/>
          <w:rFonts w:hint="eastAsia" w:ascii="方正黑体_GBK" w:hAnsi="方正黑体_GBK" w:eastAsia="方正黑体_GBK" w:cs="方正黑体_GBK"/>
          <w:b w:val="0"/>
          <w:bCs/>
          <w:sz w:val="32"/>
          <w:szCs w:val="32"/>
          <w:shd w:val="clear" w:color="auto" w:fill="FFFFFF"/>
        </w:rPr>
      </w:pPr>
      <w:r>
        <w:rPr>
          <w:rStyle w:val="9"/>
          <w:rFonts w:hint="eastAsia" w:ascii="方正黑体_GBK" w:hAnsi="方正黑体_GBK" w:eastAsia="方正黑体_GBK" w:cs="方正黑体_GBK"/>
          <w:b w:val="0"/>
          <w:bCs/>
          <w:sz w:val="32"/>
          <w:szCs w:val="32"/>
          <w:shd w:val="clear" w:color="auto" w:fill="FFFFFF"/>
        </w:rPr>
        <w:t>四、其他需要说明的事项</w:t>
      </w:r>
    </w:p>
    <w:p>
      <w:pPr>
        <w:pStyle w:val="4"/>
        <w:keepNext w:val="0"/>
        <w:keepLines w:val="0"/>
        <w:pageBreakBefore w:val="0"/>
        <w:widowControl w:val="0"/>
        <w:kinsoku/>
        <w:wordWrap/>
        <w:overflowPunct/>
        <w:topLinePunct w:val="0"/>
        <w:autoSpaceDN/>
        <w:bidi w:val="0"/>
        <w:adjustRightInd/>
        <w:snapToGrid/>
        <w:spacing w:beforeAutospacing="0" w:afterAutospacing="0" w:line="540" w:lineRule="exact"/>
        <w:ind w:firstLine="643" w:firstLineChars="200"/>
        <w:textAlignment w:val="auto"/>
        <w:rPr>
          <w:rFonts w:hint="default" w:ascii="Times New Roman" w:hAnsi="Times New Roman" w:eastAsia="方正仿宋_GBK"/>
          <w:b/>
          <w:bCs/>
          <w:sz w:val="32"/>
          <w:szCs w:val="32"/>
        </w:rPr>
      </w:pPr>
      <w:r>
        <w:rPr>
          <w:rFonts w:ascii="Times New Roman" w:hAnsi="Times New Roman" w:eastAsia="方正仿宋_GBK"/>
          <w:b/>
          <w:bCs/>
          <w:sz w:val="32"/>
          <w:szCs w:val="32"/>
        </w:rPr>
        <w:t>（一）一般公共预算财政拨款会议费和培训费情况说明</w:t>
      </w:r>
    </w:p>
    <w:p>
      <w:pPr>
        <w:pStyle w:val="4"/>
        <w:keepNext w:val="0"/>
        <w:keepLines w:val="0"/>
        <w:pageBreakBefore w:val="0"/>
        <w:widowControl w:val="0"/>
        <w:kinsoku/>
        <w:wordWrap/>
        <w:overflowPunct/>
        <w:topLinePunct w:val="0"/>
        <w:autoSpaceDN/>
        <w:bidi w:val="0"/>
        <w:adjustRightInd/>
        <w:snapToGrid/>
        <w:spacing w:beforeAutospacing="0" w:afterAutospacing="0" w:line="540" w:lineRule="exact"/>
        <w:ind w:firstLine="640" w:firstLineChars="200"/>
        <w:textAlignment w:val="auto"/>
        <w:rPr>
          <w:rFonts w:hint="default" w:ascii="Times New Roman" w:hAnsi="Times New Roman" w:eastAsia="方正仿宋_GBK"/>
          <w:sz w:val="32"/>
          <w:szCs w:val="32"/>
        </w:rPr>
      </w:pPr>
      <w:r>
        <w:rPr>
          <w:rFonts w:ascii="Times New Roman" w:hAnsi="Times New Roman" w:eastAsia="方正仿宋_GBK"/>
          <w:sz w:val="32"/>
          <w:szCs w:val="32"/>
        </w:rPr>
        <w:t>本年度会议费支出2.42万元，较上年决算数减少6.72万元，下降73.5%，主要原因是</w:t>
      </w:r>
      <w:bookmarkStart w:id="0" w:name="_GoBack"/>
      <w:bookmarkEnd w:id="0"/>
      <w:r>
        <w:rPr>
          <w:rFonts w:hint="eastAsia" w:ascii="Times New Roman" w:hAnsi="Times New Roman" w:eastAsia="方正仿宋_GBK"/>
          <w:sz w:val="32"/>
          <w:szCs w:val="32"/>
          <w:lang w:eastAsia="zh-CN"/>
        </w:rPr>
        <w:t>厉行节约</w:t>
      </w:r>
      <w:r>
        <w:rPr>
          <w:rFonts w:ascii="Times New Roman" w:hAnsi="Times New Roman" w:eastAsia="方正仿宋_GBK"/>
          <w:sz w:val="32"/>
          <w:szCs w:val="32"/>
        </w:rPr>
        <w:t>，为基层肩负，尽量少召开会议。本年度培训费支出4.80万元，较上年决算数增加3.38万元，增长238%，主要原因是开展基层妇联干部培训班等。</w:t>
      </w:r>
    </w:p>
    <w:p>
      <w:pPr>
        <w:pStyle w:val="4"/>
        <w:keepNext w:val="0"/>
        <w:keepLines w:val="0"/>
        <w:pageBreakBefore w:val="0"/>
        <w:widowControl w:val="0"/>
        <w:kinsoku/>
        <w:wordWrap/>
        <w:overflowPunct/>
        <w:topLinePunct w:val="0"/>
        <w:autoSpaceDN/>
        <w:bidi w:val="0"/>
        <w:adjustRightInd/>
        <w:snapToGrid/>
        <w:spacing w:beforeAutospacing="0" w:afterAutospacing="0" w:line="540" w:lineRule="exact"/>
        <w:ind w:firstLine="643" w:firstLineChars="200"/>
        <w:textAlignment w:val="auto"/>
        <w:rPr>
          <w:rFonts w:hint="default" w:ascii="Times New Roman" w:hAnsi="Times New Roman" w:eastAsia="方正仿宋_GBK"/>
          <w:b/>
          <w:bCs/>
          <w:sz w:val="32"/>
          <w:szCs w:val="32"/>
        </w:rPr>
      </w:pPr>
      <w:r>
        <w:rPr>
          <w:rFonts w:ascii="Times New Roman" w:hAnsi="Times New Roman" w:eastAsia="方正仿宋_GBK"/>
          <w:b/>
          <w:bCs/>
          <w:sz w:val="32"/>
          <w:szCs w:val="32"/>
        </w:rPr>
        <w:t>（二）机关运行经费情况说明</w:t>
      </w:r>
    </w:p>
    <w:p>
      <w:pPr>
        <w:pStyle w:val="4"/>
        <w:keepNext w:val="0"/>
        <w:keepLines w:val="0"/>
        <w:pageBreakBefore w:val="0"/>
        <w:widowControl w:val="0"/>
        <w:kinsoku/>
        <w:wordWrap/>
        <w:overflowPunct/>
        <w:topLinePunct w:val="0"/>
        <w:autoSpaceDN/>
        <w:bidi w:val="0"/>
        <w:adjustRightInd/>
        <w:snapToGrid/>
        <w:spacing w:beforeAutospacing="0" w:afterAutospacing="0" w:line="540" w:lineRule="exact"/>
        <w:ind w:firstLine="640" w:firstLineChars="200"/>
        <w:textAlignment w:val="auto"/>
        <w:rPr>
          <w:rFonts w:hint="default" w:ascii="Times New Roman" w:hAnsi="Times New Roman" w:eastAsia="方正仿宋_GBK"/>
          <w:sz w:val="32"/>
          <w:szCs w:val="32"/>
        </w:rPr>
      </w:pPr>
      <w:r>
        <w:rPr>
          <w:rFonts w:ascii="Times New Roman" w:hAnsi="Times New Roman" w:eastAsia="方正仿宋_GBK"/>
          <w:sz w:val="32"/>
          <w:szCs w:val="32"/>
        </w:rPr>
        <w:t>2021年度本部门机关运行经费支出53.73万元，机关运行经费主要用于开支办公费、邮电费、物业管理费、差旅费、维修（护）费、劳务费、委托业务费、工会经费、其他交通费用、其他商品和服务支出等。机关运行经费较上年决算数减少0.10万元，下降0.2%，主要原因是厉行节约。</w:t>
      </w:r>
    </w:p>
    <w:p>
      <w:pPr>
        <w:pStyle w:val="4"/>
        <w:keepNext w:val="0"/>
        <w:keepLines w:val="0"/>
        <w:pageBreakBefore w:val="0"/>
        <w:widowControl w:val="0"/>
        <w:kinsoku/>
        <w:wordWrap/>
        <w:overflowPunct/>
        <w:topLinePunct w:val="0"/>
        <w:autoSpaceDN/>
        <w:bidi w:val="0"/>
        <w:adjustRightInd/>
        <w:snapToGrid/>
        <w:spacing w:beforeAutospacing="0" w:afterAutospacing="0" w:line="540" w:lineRule="exact"/>
        <w:ind w:firstLine="643" w:firstLineChars="200"/>
        <w:textAlignment w:val="auto"/>
        <w:rPr>
          <w:rFonts w:hint="default" w:ascii="Times New Roman" w:hAnsi="Times New Roman" w:eastAsia="方正仿宋_GBK"/>
          <w:b/>
          <w:bCs/>
          <w:sz w:val="32"/>
          <w:szCs w:val="32"/>
        </w:rPr>
      </w:pPr>
      <w:r>
        <w:rPr>
          <w:rFonts w:ascii="Times New Roman" w:hAnsi="Times New Roman" w:eastAsia="方正仿宋_GBK"/>
          <w:b/>
          <w:bCs/>
          <w:sz w:val="32"/>
          <w:szCs w:val="32"/>
        </w:rPr>
        <w:t>（三）国有资产占用情况说明</w:t>
      </w:r>
    </w:p>
    <w:p>
      <w:pPr>
        <w:pStyle w:val="4"/>
        <w:keepNext w:val="0"/>
        <w:keepLines w:val="0"/>
        <w:pageBreakBefore w:val="0"/>
        <w:widowControl w:val="0"/>
        <w:kinsoku/>
        <w:wordWrap/>
        <w:overflowPunct/>
        <w:topLinePunct w:val="0"/>
        <w:autoSpaceDN/>
        <w:bidi w:val="0"/>
        <w:adjustRightInd/>
        <w:snapToGrid/>
        <w:spacing w:beforeAutospacing="0" w:afterAutospacing="0" w:line="540" w:lineRule="exact"/>
        <w:ind w:firstLine="640" w:firstLineChars="200"/>
        <w:textAlignment w:val="auto"/>
        <w:rPr>
          <w:rFonts w:hint="default" w:ascii="Times New Roman" w:hAnsi="Times New Roman" w:eastAsia="方正仿宋_GBK"/>
          <w:sz w:val="32"/>
          <w:szCs w:val="32"/>
        </w:rPr>
      </w:pPr>
      <w:r>
        <w:rPr>
          <w:rFonts w:ascii="Times New Roman" w:hAnsi="Times New Roman" w:eastAsia="方正仿宋_GBK"/>
          <w:sz w:val="32"/>
          <w:szCs w:val="32"/>
        </w:rPr>
        <w:t>截至2021年12月31日，本部门共有车辆0辆，其中，副部（省）级及以上领导用车0辆、主要领导干部用车0辆、机要通信用车0辆、应急保障用车0辆、执法执勤用车0辆，特种专业技术用车0辆，离退休干部用车0辆，其他用车0辆。单价50万元（含）以上通用设备0台（套），单价100万元（含）以上专用设备0台（套）。</w:t>
      </w:r>
    </w:p>
    <w:p>
      <w:pPr>
        <w:pStyle w:val="4"/>
        <w:keepNext w:val="0"/>
        <w:keepLines w:val="0"/>
        <w:pageBreakBefore w:val="0"/>
        <w:widowControl w:val="0"/>
        <w:kinsoku/>
        <w:wordWrap/>
        <w:overflowPunct/>
        <w:topLinePunct w:val="0"/>
        <w:autoSpaceDN/>
        <w:bidi w:val="0"/>
        <w:adjustRightInd/>
        <w:snapToGrid/>
        <w:spacing w:beforeAutospacing="0" w:afterAutospacing="0" w:line="540" w:lineRule="exact"/>
        <w:ind w:firstLine="643" w:firstLineChars="200"/>
        <w:textAlignment w:val="auto"/>
        <w:rPr>
          <w:rFonts w:hint="default" w:ascii="Times New Roman" w:hAnsi="Times New Roman" w:eastAsia="方正仿宋_GBK"/>
          <w:b/>
          <w:bCs/>
          <w:sz w:val="32"/>
          <w:szCs w:val="32"/>
        </w:rPr>
      </w:pPr>
      <w:r>
        <w:rPr>
          <w:rFonts w:ascii="Times New Roman" w:hAnsi="Times New Roman" w:eastAsia="方正仿宋_GBK"/>
          <w:b/>
          <w:bCs/>
          <w:sz w:val="32"/>
          <w:szCs w:val="32"/>
        </w:rPr>
        <w:t>（四）政府采购支出情况说明</w:t>
      </w:r>
    </w:p>
    <w:p>
      <w:pPr>
        <w:pStyle w:val="4"/>
        <w:keepNext w:val="0"/>
        <w:keepLines w:val="0"/>
        <w:pageBreakBefore w:val="0"/>
        <w:widowControl w:val="0"/>
        <w:kinsoku/>
        <w:wordWrap/>
        <w:overflowPunct/>
        <w:topLinePunct w:val="0"/>
        <w:autoSpaceDN/>
        <w:bidi w:val="0"/>
        <w:adjustRightInd/>
        <w:snapToGrid/>
        <w:spacing w:beforeAutospacing="0" w:afterAutospacing="0" w:line="540"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2021年度我单位未发生政府采购事项，无相关经费支出。</w:t>
      </w:r>
    </w:p>
    <w:p>
      <w:pPr>
        <w:pStyle w:val="4"/>
        <w:keepNext w:val="0"/>
        <w:keepLines w:val="0"/>
        <w:pageBreakBefore w:val="0"/>
        <w:widowControl w:val="0"/>
        <w:kinsoku/>
        <w:wordWrap/>
        <w:overflowPunct/>
        <w:topLinePunct w:val="0"/>
        <w:autoSpaceDN/>
        <w:bidi w:val="0"/>
        <w:adjustRightInd/>
        <w:snapToGrid/>
        <w:spacing w:beforeAutospacing="0" w:afterAutospacing="0" w:line="540" w:lineRule="exact"/>
        <w:ind w:firstLine="640" w:firstLineChars="200"/>
        <w:textAlignment w:val="auto"/>
        <w:rPr>
          <w:rStyle w:val="10"/>
          <w:rFonts w:hint="eastAsia" w:ascii="宋体" w:hAnsi="宋体" w:cs="宋体"/>
          <w:color w:val="FF0000"/>
          <w:sz w:val="21"/>
          <w:szCs w:val="21"/>
          <w:shd w:val="clear" w:color="auto" w:fill="FFFFFF"/>
        </w:rPr>
      </w:pPr>
      <w:r>
        <w:rPr>
          <w:rStyle w:val="9"/>
          <w:rFonts w:hint="eastAsia" w:ascii="方正黑体_GBK" w:hAnsi="方正黑体_GBK" w:eastAsia="方正黑体_GBK" w:cs="方正黑体_GBK"/>
          <w:b w:val="0"/>
          <w:bCs/>
          <w:sz w:val="32"/>
          <w:szCs w:val="32"/>
          <w:shd w:val="clear" w:color="auto" w:fill="FFFFFF"/>
          <w:lang w:bidi="ar"/>
        </w:rPr>
        <w:t>五、预算绩效管理情况说明</w:t>
      </w:r>
    </w:p>
    <w:p>
      <w:pPr>
        <w:pStyle w:val="4"/>
        <w:keepNext w:val="0"/>
        <w:keepLines w:val="0"/>
        <w:pageBreakBefore w:val="0"/>
        <w:widowControl w:val="0"/>
        <w:kinsoku/>
        <w:wordWrap/>
        <w:overflowPunct/>
        <w:topLinePunct w:val="0"/>
        <w:autoSpaceDN/>
        <w:bidi w:val="0"/>
        <w:adjustRightInd/>
        <w:snapToGrid/>
        <w:spacing w:beforeAutospacing="0" w:afterAutospacing="0" w:line="540" w:lineRule="exact"/>
        <w:ind w:firstLine="643" w:firstLineChars="200"/>
        <w:textAlignment w:val="auto"/>
        <w:rPr>
          <w:rFonts w:hint="default" w:ascii="Times New Roman" w:hAnsi="Times New Roman" w:eastAsia="方正仿宋_GBK"/>
          <w:b/>
          <w:bCs/>
          <w:sz w:val="32"/>
          <w:szCs w:val="32"/>
        </w:rPr>
      </w:pPr>
      <w:r>
        <w:rPr>
          <w:rFonts w:ascii="Times New Roman" w:hAnsi="Times New Roman" w:eastAsia="方正仿宋_GBK"/>
          <w:b/>
          <w:bCs/>
          <w:sz w:val="32"/>
          <w:szCs w:val="32"/>
        </w:rPr>
        <w:t>（一）预算绩效管理工作开展情况</w:t>
      </w:r>
    </w:p>
    <w:p>
      <w:pPr>
        <w:pStyle w:val="4"/>
        <w:keepNext w:val="0"/>
        <w:keepLines w:val="0"/>
        <w:pageBreakBefore w:val="0"/>
        <w:widowControl w:val="0"/>
        <w:kinsoku/>
        <w:wordWrap/>
        <w:overflowPunct/>
        <w:topLinePunct w:val="0"/>
        <w:autoSpaceDN/>
        <w:bidi w:val="0"/>
        <w:adjustRightInd/>
        <w:snapToGrid/>
        <w:spacing w:beforeAutospacing="0" w:afterAutospacing="0" w:line="540" w:lineRule="exact"/>
        <w:ind w:firstLine="640" w:firstLineChars="200"/>
        <w:textAlignment w:val="auto"/>
        <w:rPr>
          <w:rFonts w:hint="default" w:ascii="Times New Roman" w:hAnsi="Times New Roman" w:eastAsia="方正仿宋_GBK"/>
          <w:sz w:val="32"/>
          <w:szCs w:val="32"/>
        </w:rPr>
      </w:pPr>
      <w:r>
        <w:rPr>
          <w:rFonts w:ascii="Times New Roman" w:hAnsi="Times New Roman" w:eastAsia="方正仿宋_GBK"/>
          <w:sz w:val="32"/>
          <w:szCs w:val="32"/>
        </w:rPr>
        <w:t>根据预算绩效管理要求，本部门对部门整体和4个项目开展了绩效自评，其中，以填报自评表形式开展自评</w:t>
      </w:r>
      <w:r>
        <w:rPr>
          <w:rFonts w:hint="eastAsia" w:ascii="Times New Roman" w:hAnsi="Times New Roman" w:eastAsia="方正仿宋_GBK"/>
          <w:sz w:val="32"/>
          <w:szCs w:val="32"/>
          <w:lang w:val="en-US" w:eastAsia="zh-CN"/>
        </w:rPr>
        <w:t>5</w:t>
      </w:r>
      <w:r>
        <w:rPr>
          <w:rFonts w:ascii="Times New Roman" w:hAnsi="Times New Roman" w:eastAsia="方正仿宋_GBK"/>
          <w:sz w:val="32"/>
          <w:szCs w:val="32"/>
        </w:rPr>
        <w:t>项</w:t>
      </w:r>
      <w:r>
        <w:rPr>
          <w:rFonts w:hint="eastAsia" w:ascii="Times New Roman" w:hAnsi="Times New Roman" w:eastAsia="方正仿宋_GBK"/>
          <w:sz w:val="32"/>
          <w:szCs w:val="32"/>
          <w:lang w:eastAsia="zh-CN"/>
        </w:rPr>
        <w:t>（含部门整体）</w:t>
      </w:r>
      <w:r>
        <w:rPr>
          <w:rFonts w:ascii="Times New Roman" w:hAnsi="Times New Roman" w:eastAsia="方正仿宋_GBK"/>
          <w:sz w:val="32"/>
          <w:szCs w:val="32"/>
        </w:rPr>
        <w:t>，涉及资金583.4万元</w:t>
      </w:r>
      <w:r>
        <w:rPr>
          <w:rFonts w:hint="eastAsia" w:ascii="Times New Roman" w:hAnsi="Times New Roman" w:eastAsia="方正仿宋_GBK"/>
          <w:sz w:val="32"/>
          <w:szCs w:val="32"/>
          <w:lang w:eastAsia="zh-CN"/>
        </w:rPr>
        <w:t>（全年执行数）</w:t>
      </w:r>
      <w:r>
        <w:rPr>
          <w:rFonts w:ascii="Times New Roman" w:hAnsi="Times New Roman" w:eastAsia="方正仿宋_GBK"/>
          <w:sz w:val="32"/>
          <w:szCs w:val="32"/>
        </w:rPr>
        <w:t>。</w:t>
      </w:r>
    </w:p>
    <w:p>
      <w:pPr>
        <w:pStyle w:val="8"/>
        <w:keepNext w:val="0"/>
        <w:keepLines w:val="0"/>
        <w:pageBreakBefore w:val="0"/>
        <w:widowControl w:val="0"/>
        <w:kinsoku/>
        <w:wordWrap/>
        <w:overflowPunct/>
        <w:topLinePunct w:val="0"/>
        <w:autoSpaceDE w:val="0"/>
        <w:autoSpaceDN/>
        <w:bidi w:val="0"/>
        <w:adjustRightInd/>
        <w:snapToGrid/>
        <w:spacing w:beforeAutospacing="0" w:afterAutospacing="0" w:line="540" w:lineRule="exact"/>
        <w:ind w:firstLine="643" w:firstLineChars="200"/>
        <w:jc w:val="both"/>
        <w:textAlignment w:val="auto"/>
        <w:rPr>
          <w:rStyle w:val="9"/>
          <w:rFonts w:hint="eastAsia" w:ascii="方正黑体_GBK" w:hAnsi="方正黑体_GBK" w:eastAsia="方正黑体_GBK" w:cs="方正黑体_GBK"/>
          <w:b w:val="0"/>
          <w:bCs/>
          <w:sz w:val="32"/>
          <w:szCs w:val="32"/>
          <w:shd w:val="clear" w:color="auto" w:fill="FFFFFF"/>
        </w:rPr>
      </w:pPr>
      <w:r>
        <w:rPr>
          <w:rFonts w:ascii="Times New Roman" w:hAnsi="Times New Roman" w:eastAsia="方正仿宋_GBK"/>
          <w:b/>
          <w:bCs/>
          <w:sz w:val="32"/>
          <w:szCs w:val="32"/>
          <w:lang w:bidi="ar"/>
        </w:rPr>
        <w:t>（二）绩效自评结果</w:t>
      </w:r>
    </w:p>
    <w:p>
      <w:pPr>
        <w:pStyle w:val="4"/>
        <w:keepNext w:val="0"/>
        <w:keepLines w:val="0"/>
        <w:pageBreakBefore w:val="0"/>
        <w:widowControl w:val="0"/>
        <w:kinsoku/>
        <w:wordWrap/>
        <w:overflowPunct/>
        <w:topLinePunct w:val="0"/>
        <w:autoSpaceDN/>
        <w:bidi w:val="0"/>
        <w:adjustRightInd/>
        <w:snapToGrid/>
        <w:spacing w:beforeAutospacing="0" w:afterAutospacing="0" w:line="540" w:lineRule="exact"/>
        <w:ind w:firstLine="643" w:firstLineChars="200"/>
        <w:textAlignment w:val="auto"/>
        <w:rPr>
          <w:rFonts w:hint="default" w:ascii="Times New Roman" w:hAnsi="Times New Roman" w:eastAsia="方正仿宋_GBK"/>
          <w:sz w:val="32"/>
          <w:szCs w:val="32"/>
        </w:rPr>
      </w:pPr>
      <w:r>
        <w:rPr>
          <w:rFonts w:ascii="Times New Roman" w:hAnsi="Times New Roman" w:eastAsia="方正仿宋_GBK"/>
          <w:b/>
          <w:bCs/>
          <w:sz w:val="32"/>
          <w:szCs w:val="32"/>
        </w:rPr>
        <w:t>1.绩效目标自评表。</w:t>
      </w:r>
      <w:r>
        <w:rPr>
          <w:rFonts w:ascii="Times New Roman" w:hAnsi="Times New Roman" w:eastAsia="方正仿宋_GBK"/>
          <w:sz w:val="32"/>
          <w:szCs w:val="32"/>
        </w:rPr>
        <w:t>（详见附件）</w:t>
      </w:r>
    </w:p>
    <w:p>
      <w:pPr>
        <w:pStyle w:val="4"/>
        <w:keepNext w:val="0"/>
        <w:keepLines w:val="0"/>
        <w:pageBreakBefore w:val="0"/>
        <w:widowControl w:val="0"/>
        <w:kinsoku/>
        <w:wordWrap/>
        <w:overflowPunct/>
        <w:topLinePunct w:val="0"/>
        <w:autoSpaceDN/>
        <w:bidi w:val="0"/>
        <w:adjustRightInd/>
        <w:snapToGrid/>
        <w:spacing w:beforeAutospacing="0" w:afterAutospacing="0" w:line="540" w:lineRule="exact"/>
        <w:ind w:firstLine="643" w:firstLineChars="200"/>
        <w:textAlignment w:val="auto"/>
        <w:rPr>
          <w:rFonts w:hint="default" w:ascii="Times New Roman" w:hAnsi="Times New Roman" w:eastAsia="方正仿宋_GBK"/>
          <w:b/>
          <w:bCs/>
          <w:sz w:val="32"/>
          <w:szCs w:val="32"/>
        </w:rPr>
      </w:pPr>
      <w:r>
        <w:rPr>
          <w:rFonts w:ascii="Times New Roman" w:hAnsi="Times New Roman" w:eastAsia="方正仿宋_GBK"/>
          <w:b/>
          <w:bCs/>
          <w:sz w:val="32"/>
          <w:szCs w:val="32"/>
        </w:rPr>
        <w:t>2.绩效自评报告或案例。</w:t>
      </w:r>
    </w:p>
    <w:p>
      <w:pPr>
        <w:pStyle w:val="4"/>
        <w:keepNext w:val="0"/>
        <w:keepLines w:val="0"/>
        <w:pageBreakBefore w:val="0"/>
        <w:widowControl w:val="0"/>
        <w:kinsoku/>
        <w:wordWrap/>
        <w:overflowPunct/>
        <w:topLinePunct w:val="0"/>
        <w:autoSpaceDN/>
        <w:bidi w:val="0"/>
        <w:adjustRightInd/>
        <w:snapToGrid/>
        <w:spacing w:beforeAutospacing="0" w:afterAutospacing="0" w:line="540" w:lineRule="exact"/>
        <w:ind w:firstLine="640" w:firstLineChars="200"/>
        <w:textAlignment w:val="auto"/>
        <w:rPr>
          <w:rFonts w:hint="default" w:ascii="Times New Roman" w:hAnsi="Times New Roman" w:eastAsia="方正仿宋_GBK"/>
          <w:sz w:val="32"/>
          <w:szCs w:val="32"/>
        </w:rPr>
      </w:pPr>
      <w:r>
        <w:rPr>
          <w:rFonts w:ascii="Times New Roman" w:hAnsi="Times New Roman" w:eastAsia="方正仿宋_GBK"/>
          <w:sz w:val="32"/>
          <w:szCs w:val="32"/>
        </w:rPr>
        <w:t>无</w:t>
      </w:r>
    </w:p>
    <w:p>
      <w:pPr>
        <w:pStyle w:val="4"/>
        <w:keepNext w:val="0"/>
        <w:keepLines w:val="0"/>
        <w:pageBreakBefore w:val="0"/>
        <w:widowControl w:val="0"/>
        <w:kinsoku/>
        <w:wordWrap/>
        <w:overflowPunct/>
        <w:topLinePunct w:val="0"/>
        <w:autoSpaceDN/>
        <w:bidi w:val="0"/>
        <w:adjustRightInd/>
        <w:snapToGrid/>
        <w:spacing w:beforeAutospacing="0" w:afterAutospacing="0" w:line="540" w:lineRule="exact"/>
        <w:ind w:firstLine="643" w:firstLineChars="200"/>
        <w:textAlignment w:val="auto"/>
        <w:rPr>
          <w:rFonts w:hint="default" w:ascii="Times New Roman" w:hAnsi="Times New Roman" w:eastAsia="方正仿宋_GBK"/>
          <w:b/>
          <w:bCs/>
          <w:sz w:val="32"/>
          <w:szCs w:val="32"/>
        </w:rPr>
      </w:pPr>
      <w:r>
        <w:rPr>
          <w:rFonts w:ascii="Times New Roman" w:hAnsi="Times New Roman" w:eastAsia="方正仿宋_GBK"/>
          <w:b/>
          <w:bCs/>
          <w:sz w:val="32"/>
          <w:szCs w:val="32"/>
        </w:rPr>
        <w:t>3.关于绩效自评结果的说明。</w:t>
      </w:r>
    </w:p>
    <w:p>
      <w:pPr>
        <w:pStyle w:val="4"/>
        <w:keepNext w:val="0"/>
        <w:keepLines w:val="0"/>
        <w:pageBreakBefore w:val="0"/>
        <w:widowControl w:val="0"/>
        <w:kinsoku/>
        <w:wordWrap/>
        <w:overflowPunct/>
        <w:topLinePunct w:val="0"/>
        <w:autoSpaceDN/>
        <w:bidi w:val="0"/>
        <w:adjustRightInd/>
        <w:snapToGrid/>
        <w:spacing w:beforeAutospacing="0" w:afterAutospacing="0" w:line="540"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 xml:space="preserve">2021年预算执行率为97.2%，原因是市妇儿工委2011-2020年妇女儿童总结表彰大会未召开，渝中区也相应未召开次会议，待市里面确定后，渝中区再召开大会；细化工作方案，确保每一个项目都有计划、有总结、有档案资料；进一步加强内部控制，严格按照内部控制制度各项规定开展各类活动；加大宣传力度和考核力度，把绩效目标实现情况同平时考核等挂钩，确保绩效目标能够实现。  </w:t>
      </w:r>
    </w:p>
    <w:p>
      <w:pPr>
        <w:pStyle w:val="8"/>
        <w:keepNext w:val="0"/>
        <w:keepLines w:val="0"/>
        <w:pageBreakBefore w:val="0"/>
        <w:widowControl w:val="0"/>
        <w:kinsoku/>
        <w:wordWrap/>
        <w:overflowPunct/>
        <w:topLinePunct w:val="0"/>
        <w:autoSpaceDE w:val="0"/>
        <w:autoSpaceDN/>
        <w:bidi w:val="0"/>
        <w:adjustRightInd/>
        <w:snapToGrid/>
        <w:spacing w:beforeAutospacing="0" w:afterAutospacing="0" w:line="540" w:lineRule="exact"/>
        <w:ind w:firstLine="640" w:firstLineChars="200"/>
        <w:jc w:val="both"/>
        <w:textAlignment w:val="auto"/>
        <w:rPr>
          <w:rStyle w:val="9"/>
          <w:rFonts w:hint="eastAsia" w:ascii="方正黑体_GBK" w:hAnsi="方正黑体_GBK" w:eastAsia="方正黑体_GBK" w:cs="方正黑体_GBK"/>
          <w:b w:val="0"/>
          <w:bCs/>
          <w:sz w:val="32"/>
          <w:szCs w:val="32"/>
          <w:shd w:val="clear" w:color="auto" w:fill="FFFFFF"/>
        </w:rPr>
      </w:pPr>
      <w:r>
        <w:rPr>
          <w:rStyle w:val="9"/>
          <w:rFonts w:hint="eastAsia" w:ascii="方正黑体_GBK" w:hAnsi="方正黑体_GBK" w:eastAsia="方正黑体_GBK" w:cs="方正黑体_GBK"/>
          <w:b w:val="0"/>
          <w:bCs/>
          <w:sz w:val="32"/>
          <w:szCs w:val="32"/>
          <w:shd w:val="clear" w:color="auto" w:fill="FFFFFF"/>
        </w:rPr>
        <w:t>六、专业名词解释</w:t>
      </w:r>
    </w:p>
    <w:p>
      <w:pPr>
        <w:pStyle w:val="4"/>
        <w:keepNext w:val="0"/>
        <w:keepLines w:val="0"/>
        <w:pageBreakBefore w:val="0"/>
        <w:widowControl w:val="0"/>
        <w:kinsoku/>
        <w:wordWrap/>
        <w:overflowPunct/>
        <w:topLinePunct w:val="0"/>
        <w:autoSpaceDN/>
        <w:bidi w:val="0"/>
        <w:adjustRightInd/>
        <w:snapToGrid/>
        <w:spacing w:beforeAutospacing="0" w:afterAutospacing="0" w:line="540" w:lineRule="exact"/>
        <w:ind w:firstLine="643" w:firstLineChars="200"/>
        <w:textAlignment w:val="auto"/>
        <w:rPr>
          <w:rFonts w:hint="default" w:ascii="Times New Roman" w:hAnsi="Times New Roman" w:eastAsia="方正仿宋_GBK"/>
          <w:sz w:val="32"/>
          <w:szCs w:val="32"/>
        </w:rPr>
      </w:pPr>
      <w:r>
        <w:rPr>
          <w:rFonts w:ascii="Times New Roman" w:hAnsi="Times New Roman" w:eastAsia="方正仿宋_GBK"/>
          <w:b/>
          <w:bCs/>
          <w:sz w:val="32"/>
          <w:szCs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4"/>
        <w:keepNext w:val="0"/>
        <w:keepLines w:val="0"/>
        <w:pageBreakBefore w:val="0"/>
        <w:widowControl w:val="0"/>
        <w:kinsoku/>
        <w:wordWrap/>
        <w:overflowPunct/>
        <w:topLinePunct w:val="0"/>
        <w:autoSpaceDN/>
        <w:bidi w:val="0"/>
        <w:adjustRightInd/>
        <w:snapToGrid/>
        <w:spacing w:beforeAutospacing="0" w:afterAutospacing="0" w:line="540" w:lineRule="exact"/>
        <w:ind w:firstLine="643" w:firstLineChars="200"/>
        <w:textAlignment w:val="auto"/>
        <w:rPr>
          <w:rFonts w:hint="default" w:ascii="Times New Roman" w:hAnsi="Times New Roman" w:eastAsia="方正仿宋_GBK"/>
          <w:sz w:val="32"/>
          <w:szCs w:val="32"/>
        </w:rPr>
      </w:pPr>
      <w:r>
        <w:rPr>
          <w:rFonts w:ascii="Times New Roman" w:hAnsi="Times New Roman" w:eastAsia="方正仿宋_GBK"/>
          <w:b/>
          <w:bCs/>
          <w:sz w:val="32"/>
          <w:szCs w:val="32"/>
        </w:rPr>
        <w:t>（二）事业收入：</w:t>
      </w:r>
      <w:r>
        <w:rPr>
          <w:rFonts w:ascii="Times New Roman" w:hAnsi="Times New Roman" w:eastAsia="方正仿宋_GBK"/>
          <w:sz w:val="32"/>
          <w:szCs w:val="32"/>
        </w:rPr>
        <w:t>指事业单位开展专业业务活动及其辅助活动取得的现金流入；事业单位收到的财政专户实际核拨的教育收费等资金在此反映。</w:t>
      </w:r>
    </w:p>
    <w:p>
      <w:pPr>
        <w:pStyle w:val="4"/>
        <w:keepNext w:val="0"/>
        <w:keepLines w:val="0"/>
        <w:pageBreakBefore w:val="0"/>
        <w:widowControl w:val="0"/>
        <w:kinsoku/>
        <w:wordWrap/>
        <w:overflowPunct/>
        <w:topLinePunct w:val="0"/>
        <w:autoSpaceDN/>
        <w:bidi w:val="0"/>
        <w:adjustRightInd/>
        <w:snapToGrid/>
        <w:spacing w:beforeAutospacing="0" w:afterAutospacing="0" w:line="540" w:lineRule="exact"/>
        <w:ind w:firstLine="643" w:firstLineChars="200"/>
        <w:textAlignment w:val="auto"/>
        <w:rPr>
          <w:rFonts w:hint="default" w:ascii="Times New Roman" w:hAnsi="Times New Roman" w:eastAsia="方正仿宋_GBK"/>
          <w:sz w:val="32"/>
          <w:szCs w:val="32"/>
        </w:rPr>
      </w:pPr>
      <w:r>
        <w:rPr>
          <w:rFonts w:ascii="Times New Roman" w:hAnsi="Times New Roman" w:eastAsia="方正仿宋_GBK"/>
          <w:b/>
          <w:bCs/>
          <w:sz w:val="32"/>
          <w:szCs w:val="32"/>
        </w:rPr>
        <w:t>（三）经营收入：</w:t>
      </w:r>
      <w:r>
        <w:rPr>
          <w:rFonts w:ascii="Times New Roman" w:hAnsi="Times New Roman" w:eastAsia="方正仿宋_GBK"/>
          <w:sz w:val="32"/>
          <w:szCs w:val="32"/>
        </w:rPr>
        <w:t>指事业单位在专业业务活动及其辅助活动之外开展非独立核算经营活动取得的现金流入。</w:t>
      </w:r>
    </w:p>
    <w:p>
      <w:pPr>
        <w:pStyle w:val="4"/>
        <w:keepNext w:val="0"/>
        <w:keepLines w:val="0"/>
        <w:pageBreakBefore w:val="0"/>
        <w:widowControl w:val="0"/>
        <w:kinsoku/>
        <w:wordWrap/>
        <w:overflowPunct/>
        <w:topLinePunct w:val="0"/>
        <w:autoSpaceDN/>
        <w:bidi w:val="0"/>
        <w:adjustRightInd/>
        <w:snapToGrid/>
        <w:spacing w:beforeAutospacing="0" w:afterAutospacing="0" w:line="540" w:lineRule="exact"/>
        <w:ind w:firstLine="643" w:firstLineChars="200"/>
        <w:textAlignment w:val="auto"/>
        <w:rPr>
          <w:rFonts w:hint="default" w:ascii="Times New Roman" w:hAnsi="Times New Roman" w:eastAsia="方正仿宋_GBK"/>
          <w:sz w:val="32"/>
          <w:szCs w:val="32"/>
        </w:rPr>
      </w:pPr>
      <w:r>
        <w:rPr>
          <w:rFonts w:ascii="Times New Roman" w:hAnsi="Times New Roman" w:eastAsia="方正仿宋_GBK"/>
          <w:b/>
          <w:bCs/>
          <w:sz w:val="32"/>
          <w:szCs w:val="32"/>
        </w:rPr>
        <w:t>（四）其他收入：</w:t>
      </w:r>
      <w:r>
        <w:rPr>
          <w:rFonts w:ascii="Times New Roman" w:hAnsi="Times New Roman" w:eastAsia="方正仿宋_GBK"/>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4"/>
        <w:keepNext w:val="0"/>
        <w:keepLines w:val="0"/>
        <w:pageBreakBefore w:val="0"/>
        <w:widowControl w:val="0"/>
        <w:kinsoku/>
        <w:wordWrap/>
        <w:overflowPunct/>
        <w:topLinePunct w:val="0"/>
        <w:autoSpaceDN/>
        <w:bidi w:val="0"/>
        <w:adjustRightInd/>
        <w:snapToGrid/>
        <w:spacing w:beforeAutospacing="0" w:afterAutospacing="0" w:line="540" w:lineRule="exact"/>
        <w:ind w:firstLine="643" w:firstLineChars="200"/>
        <w:textAlignment w:val="auto"/>
        <w:rPr>
          <w:rFonts w:hint="default" w:ascii="Times New Roman" w:hAnsi="Times New Roman" w:eastAsia="方正仿宋_GBK"/>
          <w:sz w:val="32"/>
          <w:szCs w:val="32"/>
        </w:rPr>
      </w:pPr>
      <w:r>
        <w:rPr>
          <w:rFonts w:ascii="Times New Roman" w:hAnsi="Times New Roman" w:eastAsia="方正仿宋_GBK"/>
          <w:b/>
          <w:bCs/>
          <w:sz w:val="32"/>
          <w:szCs w:val="32"/>
        </w:rPr>
        <w:t>（五）使用非财政拨款结余：</w:t>
      </w:r>
      <w:r>
        <w:rPr>
          <w:rFonts w:ascii="Times New Roman" w:hAnsi="Times New Roman" w:eastAsia="方正仿宋_GBK"/>
          <w:sz w:val="32"/>
          <w:szCs w:val="32"/>
        </w:rPr>
        <w:t>指单位在当年的“财政拨款收入”、“事业收入”、“经营收入”、“其他收入”等不足以安排当年支出的情况下，使用以前年度积累的非财政拨款结余弥补本年度收支缺口的资金。</w:t>
      </w:r>
    </w:p>
    <w:p>
      <w:pPr>
        <w:pStyle w:val="4"/>
        <w:keepNext w:val="0"/>
        <w:keepLines w:val="0"/>
        <w:pageBreakBefore w:val="0"/>
        <w:widowControl w:val="0"/>
        <w:kinsoku/>
        <w:wordWrap/>
        <w:overflowPunct/>
        <w:topLinePunct w:val="0"/>
        <w:autoSpaceDN/>
        <w:bidi w:val="0"/>
        <w:adjustRightInd/>
        <w:snapToGrid/>
        <w:spacing w:beforeAutospacing="0" w:afterAutospacing="0" w:line="540" w:lineRule="exact"/>
        <w:ind w:firstLine="643" w:firstLineChars="200"/>
        <w:textAlignment w:val="auto"/>
        <w:rPr>
          <w:rFonts w:hint="default" w:ascii="Times New Roman" w:hAnsi="Times New Roman" w:eastAsia="方正仿宋_GBK"/>
          <w:sz w:val="32"/>
          <w:szCs w:val="32"/>
        </w:rPr>
      </w:pPr>
      <w:r>
        <w:rPr>
          <w:rFonts w:ascii="Times New Roman" w:hAnsi="Times New Roman" w:eastAsia="方正仿宋_GBK"/>
          <w:b/>
          <w:bCs/>
          <w:sz w:val="32"/>
          <w:szCs w:val="32"/>
        </w:rPr>
        <w:t>（六）年初结转和结余：</w:t>
      </w:r>
      <w:r>
        <w:rPr>
          <w:rFonts w:ascii="Times New Roman" w:hAnsi="Times New Roman" w:eastAsia="方正仿宋_GBK"/>
          <w:sz w:val="32"/>
          <w:szCs w:val="32"/>
        </w:rPr>
        <w:t>指单位上年结转本年使用的基本支出结转、项目支出结转和结余、经营结余。</w:t>
      </w:r>
    </w:p>
    <w:p>
      <w:pPr>
        <w:pStyle w:val="4"/>
        <w:keepNext w:val="0"/>
        <w:keepLines w:val="0"/>
        <w:pageBreakBefore w:val="0"/>
        <w:widowControl w:val="0"/>
        <w:kinsoku/>
        <w:wordWrap/>
        <w:overflowPunct/>
        <w:topLinePunct w:val="0"/>
        <w:autoSpaceDN/>
        <w:bidi w:val="0"/>
        <w:adjustRightInd/>
        <w:snapToGrid/>
        <w:spacing w:beforeAutospacing="0" w:afterAutospacing="0" w:line="540" w:lineRule="exact"/>
        <w:ind w:firstLine="643" w:firstLineChars="200"/>
        <w:textAlignment w:val="auto"/>
        <w:rPr>
          <w:rFonts w:hint="default" w:ascii="Times New Roman" w:hAnsi="Times New Roman" w:eastAsia="方正仿宋_GBK"/>
          <w:sz w:val="32"/>
          <w:szCs w:val="32"/>
        </w:rPr>
      </w:pPr>
      <w:r>
        <w:rPr>
          <w:rFonts w:ascii="Times New Roman" w:hAnsi="Times New Roman" w:eastAsia="方正仿宋_GBK"/>
          <w:b/>
          <w:bCs/>
          <w:sz w:val="32"/>
          <w:szCs w:val="32"/>
        </w:rPr>
        <w:t>（七）结余分配：</w:t>
      </w:r>
      <w:r>
        <w:rPr>
          <w:rFonts w:ascii="Times New Roman" w:hAnsi="Times New Roman" w:eastAsia="方正仿宋_GBK"/>
          <w:sz w:val="32"/>
          <w:szCs w:val="32"/>
        </w:rPr>
        <w:t>指单位按照国家有关规定，缴纳所得税、提取专用基金、转入非财政拨款结余等当年结余的分配情况。</w:t>
      </w:r>
    </w:p>
    <w:p>
      <w:pPr>
        <w:pStyle w:val="4"/>
        <w:keepNext w:val="0"/>
        <w:keepLines w:val="0"/>
        <w:pageBreakBefore w:val="0"/>
        <w:widowControl w:val="0"/>
        <w:kinsoku/>
        <w:wordWrap/>
        <w:overflowPunct/>
        <w:topLinePunct w:val="0"/>
        <w:autoSpaceDN/>
        <w:bidi w:val="0"/>
        <w:adjustRightInd/>
        <w:snapToGrid/>
        <w:spacing w:beforeAutospacing="0" w:afterAutospacing="0" w:line="540" w:lineRule="exact"/>
        <w:ind w:firstLine="643" w:firstLineChars="200"/>
        <w:textAlignment w:val="auto"/>
        <w:rPr>
          <w:rFonts w:hint="default" w:ascii="Times New Roman" w:hAnsi="Times New Roman" w:eastAsia="方正仿宋_GBK"/>
          <w:sz w:val="32"/>
          <w:szCs w:val="32"/>
        </w:rPr>
      </w:pPr>
      <w:r>
        <w:rPr>
          <w:rFonts w:ascii="Times New Roman" w:hAnsi="Times New Roman" w:eastAsia="方正仿宋_GBK"/>
          <w:b/>
          <w:bCs/>
          <w:sz w:val="32"/>
          <w:szCs w:val="32"/>
        </w:rPr>
        <w:t>（八）年末结转和结余：</w:t>
      </w:r>
      <w:r>
        <w:rPr>
          <w:rFonts w:ascii="Times New Roman" w:hAnsi="Times New Roman" w:eastAsia="方正仿宋_GBK"/>
          <w:sz w:val="32"/>
          <w:szCs w:val="32"/>
        </w:rPr>
        <w:t>指单位结转下年的基本支出结转、项目支出结转和结余、经营结余。</w:t>
      </w:r>
    </w:p>
    <w:p>
      <w:pPr>
        <w:pStyle w:val="4"/>
        <w:keepNext w:val="0"/>
        <w:keepLines w:val="0"/>
        <w:pageBreakBefore w:val="0"/>
        <w:widowControl w:val="0"/>
        <w:kinsoku/>
        <w:wordWrap/>
        <w:overflowPunct/>
        <w:topLinePunct w:val="0"/>
        <w:autoSpaceDN/>
        <w:bidi w:val="0"/>
        <w:adjustRightInd/>
        <w:snapToGrid/>
        <w:spacing w:beforeAutospacing="0" w:afterAutospacing="0" w:line="540" w:lineRule="exact"/>
        <w:ind w:firstLine="643" w:firstLineChars="200"/>
        <w:textAlignment w:val="auto"/>
        <w:rPr>
          <w:rFonts w:hint="default" w:ascii="Times New Roman" w:hAnsi="Times New Roman" w:eastAsia="方正仿宋_GBK"/>
          <w:sz w:val="32"/>
          <w:szCs w:val="32"/>
        </w:rPr>
      </w:pPr>
      <w:r>
        <w:rPr>
          <w:rFonts w:ascii="Times New Roman" w:hAnsi="Times New Roman" w:eastAsia="方正仿宋_GBK"/>
          <w:b/>
          <w:bCs/>
          <w:sz w:val="32"/>
          <w:szCs w:val="32"/>
        </w:rPr>
        <w:t>（九）基本支出：</w:t>
      </w:r>
      <w:r>
        <w:rPr>
          <w:rFonts w:ascii="Times New Roman" w:hAnsi="Times New Roman" w:eastAsia="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4"/>
        <w:keepNext w:val="0"/>
        <w:keepLines w:val="0"/>
        <w:pageBreakBefore w:val="0"/>
        <w:widowControl w:val="0"/>
        <w:kinsoku/>
        <w:wordWrap/>
        <w:overflowPunct/>
        <w:topLinePunct w:val="0"/>
        <w:autoSpaceDN/>
        <w:bidi w:val="0"/>
        <w:adjustRightInd/>
        <w:snapToGrid/>
        <w:spacing w:beforeAutospacing="0" w:afterAutospacing="0" w:line="540" w:lineRule="exact"/>
        <w:ind w:firstLine="643" w:firstLineChars="200"/>
        <w:textAlignment w:val="auto"/>
        <w:rPr>
          <w:rFonts w:hint="default" w:ascii="Times New Roman" w:hAnsi="Times New Roman" w:eastAsia="方正仿宋_GBK"/>
          <w:sz w:val="32"/>
          <w:szCs w:val="32"/>
        </w:rPr>
      </w:pPr>
      <w:r>
        <w:rPr>
          <w:rFonts w:ascii="Times New Roman" w:hAnsi="Times New Roman" w:eastAsia="方正仿宋_GBK"/>
          <w:b/>
          <w:bCs/>
          <w:sz w:val="32"/>
          <w:szCs w:val="32"/>
        </w:rPr>
        <w:t>（十）项目支出：</w:t>
      </w:r>
      <w:r>
        <w:rPr>
          <w:rFonts w:ascii="Times New Roman" w:hAnsi="Times New Roman" w:eastAsia="方正仿宋_GBK"/>
          <w:sz w:val="32"/>
          <w:szCs w:val="32"/>
        </w:rPr>
        <w:t>指在基本支出之外为完成特定行政任务和事业发展目标所发生的支出。</w:t>
      </w:r>
    </w:p>
    <w:p>
      <w:pPr>
        <w:pStyle w:val="4"/>
        <w:keepNext w:val="0"/>
        <w:keepLines w:val="0"/>
        <w:pageBreakBefore w:val="0"/>
        <w:widowControl w:val="0"/>
        <w:kinsoku/>
        <w:wordWrap/>
        <w:overflowPunct/>
        <w:topLinePunct w:val="0"/>
        <w:autoSpaceDN/>
        <w:bidi w:val="0"/>
        <w:adjustRightInd/>
        <w:snapToGrid/>
        <w:spacing w:beforeAutospacing="0" w:afterAutospacing="0" w:line="540" w:lineRule="exact"/>
        <w:ind w:firstLine="643" w:firstLineChars="200"/>
        <w:textAlignment w:val="auto"/>
        <w:rPr>
          <w:rFonts w:hint="default" w:ascii="Times New Roman" w:hAnsi="Times New Roman" w:eastAsia="方正仿宋_GBK"/>
          <w:sz w:val="32"/>
          <w:szCs w:val="32"/>
        </w:rPr>
      </w:pPr>
      <w:r>
        <w:rPr>
          <w:rFonts w:ascii="Times New Roman" w:hAnsi="Times New Roman" w:eastAsia="方正仿宋_GBK"/>
          <w:b/>
          <w:bCs/>
          <w:sz w:val="32"/>
          <w:szCs w:val="32"/>
        </w:rPr>
        <w:t>（十一）经营支出：</w:t>
      </w:r>
      <w:r>
        <w:rPr>
          <w:rFonts w:ascii="Times New Roman" w:hAnsi="Times New Roman" w:eastAsia="方正仿宋_GBK"/>
          <w:sz w:val="32"/>
          <w:szCs w:val="32"/>
        </w:rPr>
        <w:t>指事业单位在专业业务活动及其辅助活动之外开展非独立核算经营活动发生的支出。</w:t>
      </w:r>
    </w:p>
    <w:p>
      <w:pPr>
        <w:pStyle w:val="4"/>
        <w:keepNext w:val="0"/>
        <w:keepLines w:val="0"/>
        <w:pageBreakBefore w:val="0"/>
        <w:widowControl w:val="0"/>
        <w:kinsoku/>
        <w:wordWrap/>
        <w:overflowPunct/>
        <w:topLinePunct w:val="0"/>
        <w:autoSpaceDN/>
        <w:bidi w:val="0"/>
        <w:adjustRightInd/>
        <w:snapToGrid/>
        <w:spacing w:beforeAutospacing="0" w:afterAutospacing="0" w:line="540" w:lineRule="exact"/>
        <w:ind w:firstLine="643" w:firstLineChars="200"/>
        <w:textAlignment w:val="auto"/>
        <w:rPr>
          <w:rFonts w:hint="default" w:ascii="Times New Roman" w:hAnsi="Times New Roman" w:eastAsia="方正仿宋_GBK"/>
          <w:sz w:val="32"/>
          <w:szCs w:val="32"/>
        </w:rPr>
      </w:pPr>
      <w:r>
        <w:rPr>
          <w:rFonts w:ascii="Times New Roman" w:hAnsi="Times New Roman" w:eastAsia="方正仿宋_GBK"/>
          <w:b/>
          <w:bCs/>
          <w:sz w:val="32"/>
          <w:szCs w:val="32"/>
        </w:rPr>
        <w:t>（十二）“三公”经费：</w:t>
      </w:r>
      <w:r>
        <w:rPr>
          <w:rFonts w:ascii="Times New Roman" w:hAnsi="Times New Roman"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4"/>
        <w:keepNext w:val="0"/>
        <w:keepLines w:val="0"/>
        <w:pageBreakBefore w:val="0"/>
        <w:widowControl w:val="0"/>
        <w:kinsoku/>
        <w:wordWrap/>
        <w:overflowPunct/>
        <w:topLinePunct w:val="0"/>
        <w:autoSpaceDN/>
        <w:bidi w:val="0"/>
        <w:adjustRightInd/>
        <w:snapToGrid/>
        <w:spacing w:beforeAutospacing="0" w:afterAutospacing="0" w:line="540" w:lineRule="exact"/>
        <w:ind w:firstLine="643" w:firstLineChars="200"/>
        <w:textAlignment w:val="auto"/>
        <w:rPr>
          <w:rFonts w:hint="default" w:ascii="Times New Roman" w:hAnsi="Times New Roman" w:eastAsia="方正仿宋_GBK"/>
          <w:sz w:val="32"/>
          <w:szCs w:val="32"/>
        </w:rPr>
      </w:pPr>
      <w:r>
        <w:rPr>
          <w:rFonts w:ascii="Times New Roman" w:hAnsi="Times New Roman" w:eastAsia="方正仿宋_GBK"/>
          <w:b/>
          <w:bCs/>
          <w:sz w:val="32"/>
          <w:szCs w:val="32"/>
        </w:rPr>
        <w:t>（十三）机关运行经费：</w:t>
      </w:r>
      <w:r>
        <w:rPr>
          <w:rFonts w:ascii="Times New Roman" w:hAnsi="Times New Roman" w:eastAsia="方正仿宋_GBK"/>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4"/>
        <w:keepNext w:val="0"/>
        <w:keepLines w:val="0"/>
        <w:pageBreakBefore w:val="0"/>
        <w:widowControl w:val="0"/>
        <w:kinsoku/>
        <w:wordWrap/>
        <w:overflowPunct/>
        <w:topLinePunct w:val="0"/>
        <w:autoSpaceDN/>
        <w:bidi w:val="0"/>
        <w:adjustRightInd/>
        <w:snapToGrid/>
        <w:spacing w:beforeAutospacing="0" w:afterAutospacing="0" w:line="540" w:lineRule="exact"/>
        <w:ind w:firstLine="643" w:firstLineChars="200"/>
        <w:textAlignment w:val="auto"/>
        <w:rPr>
          <w:rFonts w:hint="default" w:ascii="Times New Roman" w:hAnsi="Times New Roman" w:eastAsia="方正仿宋_GBK"/>
          <w:sz w:val="32"/>
          <w:szCs w:val="32"/>
        </w:rPr>
      </w:pPr>
      <w:r>
        <w:rPr>
          <w:rFonts w:ascii="Times New Roman" w:hAnsi="Times New Roman" w:eastAsia="方正仿宋_GBK"/>
          <w:b/>
          <w:bCs/>
          <w:sz w:val="32"/>
          <w:szCs w:val="32"/>
        </w:rPr>
        <w:t>（十四）工资福利支出（支出经济分类科目类级）</w:t>
      </w:r>
      <w:r>
        <w:rPr>
          <w:rFonts w:ascii="Times New Roman" w:hAnsi="Times New Roman" w:eastAsia="方正仿宋_GBK"/>
          <w:sz w:val="32"/>
          <w:szCs w:val="32"/>
        </w:rPr>
        <w:t>：反映单位开支的在职职工和编制外长期聘用人员的各类劳动报酬，以及为上述人员缴纳的各项社会保险费等。</w:t>
      </w:r>
    </w:p>
    <w:p>
      <w:pPr>
        <w:pStyle w:val="4"/>
        <w:keepNext w:val="0"/>
        <w:keepLines w:val="0"/>
        <w:pageBreakBefore w:val="0"/>
        <w:widowControl w:val="0"/>
        <w:kinsoku/>
        <w:wordWrap/>
        <w:overflowPunct/>
        <w:topLinePunct w:val="0"/>
        <w:autoSpaceDN/>
        <w:bidi w:val="0"/>
        <w:adjustRightInd/>
        <w:snapToGrid/>
        <w:spacing w:beforeAutospacing="0" w:afterAutospacing="0" w:line="540" w:lineRule="exact"/>
        <w:ind w:firstLine="643" w:firstLineChars="200"/>
        <w:textAlignment w:val="auto"/>
        <w:rPr>
          <w:rFonts w:hint="default" w:ascii="Times New Roman" w:hAnsi="Times New Roman" w:eastAsia="方正仿宋_GBK"/>
          <w:sz w:val="32"/>
          <w:szCs w:val="32"/>
        </w:rPr>
      </w:pPr>
      <w:r>
        <w:rPr>
          <w:rFonts w:ascii="Times New Roman" w:hAnsi="Times New Roman" w:eastAsia="方正仿宋_GBK"/>
          <w:b/>
          <w:bCs/>
          <w:sz w:val="32"/>
          <w:szCs w:val="32"/>
        </w:rPr>
        <w:t>（十五）商品和服务支出（支出经济分类科目类级）：</w:t>
      </w:r>
      <w:r>
        <w:rPr>
          <w:rFonts w:ascii="Times New Roman" w:hAnsi="Times New Roman" w:eastAsia="方正仿宋_GBK"/>
          <w:sz w:val="32"/>
          <w:szCs w:val="32"/>
        </w:rPr>
        <w:t>反映单位购买商品和服务的支出（不包括用于购置固定资产的支出、战略性和应急储备支出）。</w:t>
      </w:r>
    </w:p>
    <w:p>
      <w:pPr>
        <w:pStyle w:val="4"/>
        <w:keepNext w:val="0"/>
        <w:keepLines w:val="0"/>
        <w:pageBreakBefore w:val="0"/>
        <w:widowControl w:val="0"/>
        <w:kinsoku/>
        <w:wordWrap/>
        <w:overflowPunct/>
        <w:topLinePunct w:val="0"/>
        <w:autoSpaceDN/>
        <w:bidi w:val="0"/>
        <w:adjustRightInd/>
        <w:snapToGrid/>
        <w:spacing w:beforeAutospacing="0" w:afterAutospacing="0" w:line="540" w:lineRule="exact"/>
        <w:ind w:firstLine="643" w:firstLineChars="200"/>
        <w:textAlignment w:val="auto"/>
        <w:rPr>
          <w:rFonts w:hint="default" w:ascii="Times New Roman" w:hAnsi="Times New Roman" w:eastAsia="方正仿宋_GBK"/>
          <w:sz w:val="32"/>
          <w:szCs w:val="32"/>
        </w:rPr>
      </w:pPr>
      <w:r>
        <w:rPr>
          <w:rFonts w:ascii="Times New Roman" w:hAnsi="Times New Roman" w:eastAsia="方正仿宋_GBK"/>
          <w:b/>
          <w:bCs/>
          <w:sz w:val="32"/>
          <w:szCs w:val="32"/>
        </w:rPr>
        <w:t>（十六）对个人和家庭的补助（支出经济分类科目类级）：</w:t>
      </w:r>
      <w:r>
        <w:rPr>
          <w:rFonts w:ascii="Times New Roman" w:hAnsi="Times New Roman" w:eastAsia="方正仿宋_GBK"/>
          <w:sz w:val="32"/>
          <w:szCs w:val="32"/>
        </w:rPr>
        <w:t>反映用于对个人和家庭的补助支出。</w:t>
      </w:r>
    </w:p>
    <w:p>
      <w:pPr>
        <w:pStyle w:val="4"/>
        <w:keepNext w:val="0"/>
        <w:keepLines w:val="0"/>
        <w:pageBreakBefore w:val="0"/>
        <w:widowControl w:val="0"/>
        <w:kinsoku/>
        <w:wordWrap/>
        <w:overflowPunct/>
        <w:topLinePunct w:val="0"/>
        <w:autoSpaceDN/>
        <w:bidi w:val="0"/>
        <w:adjustRightInd/>
        <w:snapToGrid/>
        <w:spacing w:beforeAutospacing="0" w:afterAutospacing="0" w:line="540" w:lineRule="exact"/>
        <w:ind w:firstLine="643" w:firstLineChars="200"/>
        <w:textAlignment w:val="auto"/>
        <w:rPr>
          <w:rFonts w:hint="default" w:ascii="Times New Roman" w:hAnsi="Times New Roman" w:eastAsia="方正仿宋_GBK"/>
          <w:sz w:val="32"/>
          <w:szCs w:val="32"/>
          <w:shd w:val="clear" w:color="auto" w:fill="FFFFFF"/>
        </w:rPr>
      </w:pPr>
      <w:r>
        <w:rPr>
          <w:rFonts w:ascii="Times New Roman" w:hAnsi="Times New Roman" w:eastAsia="方正仿宋_GBK"/>
          <w:b/>
          <w:bCs/>
          <w:sz w:val="32"/>
          <w:szCs w:val="32"/>
        </w:rPr>
        <w:t>（十七）其他资本性支出（支出经济分类科目类级）：</w:t>
      </w:r>
      <w:r>
        <w:rPr>
          <w:rFonts w:ascii="Times New Roman" w:hAnsi="Times New Roman" w:eastAsia="方正仿宋_GBK"/>
          <w:sz w:val="32"/>
          <w:szCs w:val="32"/>
        </w:rPr>
        <w:t>反映非各级发展与改革部门集中安排的用于购置固定资产、战略性和应急性储备、土</w:t>
      </w:r>
      <w:r>
        <w:rPr>
          <w:rFonts w:hint="default" w:ascii="Times New Roman" w:hAnsi="Times New Roman" w:eastAsia="方正仿宋_GBK"/>
          <w:sz w:val="32"/>
          <w:szCs w:val="32"/>
          <w:shd w:val="clear" w:color="auto" w:fill="FFFFFF"/>
        </w:rPr>
        <w:t>地和无形资产，以及构建基础设施、大型修缮和财政支持企业更新改造所发生的支出。</w:t>
      </w:r>
    </w:p>
    <w:p>
      <w:pPr>
        <w:pStyle w:val="4"/>
        <w:keepNext w:val="0"/>
        <w:keepLines w:val="0"/>
        <w:pageBreakBefore w:val="0"/>
        <w:widowControl w:val="0"/>
        <w:kinsoku/>
        <w:wordWrap/>
        <w:overflowPunct/>
        <w:topLinePunct w:val="0"/>
        <w:autoSpaceDN/>
        <w:bidi w:val="0"/>
        <w:adjustRightInd/>
        <w:snapToGrid/>
        <w:spacing w:beforeAutospacing="0" w:afterAutospacing="0" w:line="540" w:lineRule="exact"/>
        <w:ind w:firstLine="643" w:firstLineChars="200"/>
        <w:textAlignment w:val="auto"/>
        <w:rPr>
          <w:rFonts w:hint="default" w:ascii="Times New Roman" w:hAnsi="Times New Roman" w:eastAsia="方正仿宋_GBK"/>
          <w:sz w:val="32"/>
          <w:szCs w:val="32"/>
          <w:shd w:val="clear" w:color="auto" w:fill="FFFFFF"/>
        </w:rPr>
      </w:pPr>
      <w:r>
        <w:rPr>
          <w:rFonts w:hint="default" w:ascii="Times New Roman" w:hAnsi="Times New Roman" w:eastAsia="方正仿宋_GBK"/>
          <w:b/>
          <w:bCs/>
          <w:sz w:val="32"/>
          <w:szCs w:val="32"/>
        </w:rPr>
        <w:t>（十八）行政运行（支出功能分类科目项级）：</w:t>
      </w:r>
      <w:r>
        <w:rPr>
          <w:rFonts w:hint="default" w:ascii="Times New Roman" w:hAnsi="Times New Roman" w:eastAsia="方正仿宋_GBK"/>
          <w:sz w:val="32"/>
          <w:szCs w:val="32"/>
          <w:shd w:val="clear" w:color="auto" w:fill="FFFFFF"/>
        </w:rPr>
        <w:t>反映行政单位（包括实行公务员管理的事业单位）的基本支出。</w:t>
      </w:r>
    </w:p>
    <w:p>
      <w:pPr>
        <w:pStyle w:val="4"/>
        <w:keepNext w:val="0"/>
        <w:keepLines w:val="0"/>
        <w:pageBreakBefore w:val="0"/>
        <w:widowControl w:val="0"/>
        <w:kinsoku/>
        <w:wordWrap/>
        <w:overflowPunct/>
        <w:topLinePunct w:val="0"/>
        <w:autoSpaceDN/>
        <w:bidi w:val="0"/>
        <w:adjustRightInd/>
        <w:snapToGrid/>
        <w:spacing w:beforeAutospacing="0" w:afterAutospacing="0" w:line="540" w:lineRule="exact"/>
        <w:ind w:firstLine="643" w:firstLineChars="200"/>
        <w:textAlignment w:val="auto"/>
        <w:rPr>
          <w:rFonts w:hint="default" w:ascii="Times New Roman" w:hAnsi="Times New Roman" w:eastAsia="方正仿宋_GBK"/>
          <w:sz w:val="32"/>
          <w:szCs w:val="32"/>
          <w:shd w:val="clear" w:color="auto" w:fill="FFFFFF"/>
        </w:rPr>
      </w:pPr>
      <w:r>
        <w:rPr>
          <w:rFonts w:hint="eastAsia" w:ascii="Times New Roman" w:hAnsi="Times New Roman" w:eastAsia="方正仿宋_GBK"/>
          <w:b/>
          <w:bCs/>
          <w:sz w:val="32"/>
          <w:szCs w:val="32"/>
        </w:rPr>
        <w:t>（十九）一般行政管理事务（支出功能分类科目项级）：</w:t>
      </w:r>
      <w:r>
        <w:rPr>
          <w:rFonts w:hint="default" w:ascii="Times New Roman" w:hAnsi="Times New Roman" w:eastAsia="方正仿宋_GBK"/>
          <w:sz w:val="32"/>
          <w:szCs w:val="32"/>
          <w:shd w:val="clear" w:color="auto" w:fill="FFFFFF"/>
        </w:rPr>
        <w:t>反映行政单位（包括实行公务员管理的事业单位）未单独设置项级科目的其他项目支出。</w:t>
      </w:r>
    </w:p>
    <w:p>
      <w:pPr>
        <w:pStyle w:val="4"/>
        <w:keepNext w:val="0"/>
        <w:keepLines w:val="0"/>
        <w:pageBreakBefore w:val="0"/>
        <w:widowControl w:val="0"/>
        <w:kinsoku/>
        <w:wordWrap/>
        <w:overflowPunct/>
        <w:topLinePunct w:val="0"/>
        <w:autoSpaceDN/>
        <w:bidi w:val="0"/>
        <w:adjustRightInd/>
        <w:snapToGrid/>
        <w:spacing w:beforeAutospacing="0" w:afterAutospacing="0" w:line="540" w:lineRule="exact"/>
        <w:ind w:firstLine="643" w:firstLineChars="200"/>
        <w:textAlignment w:val="auto"/>
        <w:rPr>
          <w:rFonts w:hint="default" w:ascii="Times New Roman" w:hAnsi="Times New Roman" w:eastAsia="方正仿宋_GBK"/>
          <w:sz w:val="32"/>
          <w:szCs w:val="32"/>
          <w:shd w:val="clear" w:color="auto" w:fill="FFFFFF"/>
        </w:rPr>
      </w:pPr>
      <w:r>
        <w:rPr>
          <w:rFonts w:hint="eastAsia" w:ascii="Times New Roman" w:hAnsi="Times New Roman" w:eastAsia="方正仿宋_GBK"/>
          <w:b/>
          <w:bCs/>
          <w:sz w:val="32"/>
          <w:szCs w:val="32"/>
        </w:rPr>
        <w:t>（二十</w:t>
      </w:r>
      <w:r>
        <w:rPr>
          <w:rFonts w:hint="default" w:ascii="Times New Roman" w:hAnsi="Times New Roman" w:eastAsia="方正仿宋_GBK"/>
          <w:b/>
          <w:bCs/>
          <w:sz w:val="32"/>
          <w:szCs w:val="32"/>
        </w:rPr>
        <w:t>）</w:t>
      </w:r>
      <w:r>
        <w:rPr>
          <w:rFonts w:hint="eastAsia" w:ascii="Times New Roman" w:hAnsi="Times New Roman" w:eastAsia="方正仿宋_GBK"/>
          <w:b/>
          <w:bCs/>
          <w:sz w:val="32"/>
          <w:szCs w:val="32"/>
        </w:rPr>
        <w:t>事业运行（支出功能分类科目项级）：</w:t>
      </w:r>
      <w:r>
        <w:rPr>
          <w:rFonts w:hint="default" w:ascii="Times New Roman" w:hAnsi="Times New Roman" w:eastAsia="方正仿宋_GBK"/>
          <w:sz w:val="32"/>
          <w:szCs w:val="32"/>
          <w:shd w:val="clear" w:color="auto" w:fill="FFFFFF"/>
        </w:rPr>
        <w:t>反映事业单位的基本支出，不包括行政单位（包括实行公务员管理的事业单位）后勤服务中心、医务室等附属事业单位。</w:t>
      </w:r>
    </w:p>
    <w:p>
      <w:pPr>
        <w:pStyle w:val="4"/>
        <w:keepNext w:val="0"/>
        <w:keepLines w:val="0"/>
        <w:pageBreakBefore w:val="0"/>
        <w:widowControl w:val="0"/>
        <w:kinsoku/>
        <w:wordWrap/>
        <w:overflowPunct/>
        <w:topLinePunct w:val="0"/>
        <w:autoSpaceDN/>
        <w:bidi w:val="0"/>
        <w:adjustRightInd/>
        <w:snapToGrid/>
        <w:spacing w:beforeAutospacing="0" w:afterAutospacing="0" w:line="540" w:lineRule="exact"/>
        <w:ind w:firstLine="643" w:firstLineChars="200"/>
        <w:textAlignment w:val="auto"/>
        <w:rPr>
          <w:rFonts w:hint="default" w:ascii="Times New Roman" w:hAnsi="Times New Roman" w:eastAsia="方正仿宋_GBK"/>
          <w:sz w:val="32"/>
          <w:szCs w:val="32"/>
          <w:shd w:val="clear" w:color="auto" w:fill="FFFFFF"/>
        </w:rPr>
      </w:pPr>
      <w:r>
        <w:rPr>
          <w:rFonts w:hint="eastAsia" w:ascii="Times New Roman" w:hAnsi="Times New Roman" w:eastAsia="方正仿宋_GBK"/>
          <w:b/>
          <w:bCs/>
          <w:sz w:val="32"/>
          <w:szCs w:val="32"/>
        </w:rPr>
        <w:t>（二十一）行政单位离退休（支出功能分类科目项级）：</w:t>
      </w:r>
      <w:r>
        <w:rPr>
          <w:rFonts w:hint="default" w:ascii="Times New Roman" w:hAnsi="Times New Roman" w:eastAsia="方正仿宋_GBK"/>
          <w:sz w:val="32"/>
          <w:szCs w:val="32"/>
          <w:shd w:val="clear" w:color="auto" w:fill="FFFFFF"/>
        </w:rPr>
        <w:t>反映行政单位（包括实行公务员管理的事业单位）开支的离退休经费。</w:t>
      </w:r>
    </w:p>
    <w:p>
      <w:pPr>
        <w:pStyle w:val="4"/>
        <w:keepNext w:val="0"/>
        <w:keepLines w:val="0"/>
        <w:pageBreakBefore w:val="0"/>
        <w:widowControl w:val="0"/>
        <w:kinsoku/>
        <w:wordWrap/>
        <w:overflowPunct/>
        <w:topLinePunct w:val="0"/>
        <w:autoSpaceDN/>
        <w:bidi w:val="0"/>
        <w:adjustRightInd/>
        <w:snapToGrid/>
        <w:spacing w:beforeAutospacing="0" w:afterAutospacing="0" w:line="540" w:lineRule="exact"/>
        <w:ind w:firstLine="643" w:firstLineChars="200"/>
        <w:textAlignment w:val="auto"/>
        <w:rPr>
          <w:rFonts w:hint="default" w:ascii="Times New Roman" w:hAnsi="Times New Roman" w:eastAsia="方正仿宋_GBK"/>
          <w:sz w:val="32"/>
          <w:szCs w:val="32"/>
          <w:shd w:val="clear" w:color="auto" w:fill="FFFFFF"/>
        </w:rPr>
      </w:pPr>
      <w:r>
        <w:rPr>
          <w:rFonts w:hint="eastAsia" w:ascii="Times New Roman" w:hAnsi="Times New Roman" w:eastAsia="方正仿宋_GBK"/>
          <w:b/>
          <w:bCs/>
          <w:sz w:val="32"/>
          <w:szCs w:val="32"/>
        </w:rPr>
        <w:t>（二十二）机关事业单位基本养老保险缴费支出（支出功能分类科目项级）：</w:t>
      </w:r>
      <w:r>
        <w:rPr>
          <w:rFonts w:hint="default" w:ascii="Times New Roman" w:hAnsi="Times New Roman" w:eastAsia="方正仿宋_GBK"/>
          <w:sz w:val="32"/>
          <w:szCs w:val="32"/>
          <w:shd w:val="clear" w:color="auto" w:fill="FFFFFF"/>
        </w:rPr>
        <w:t>反映机关事业单位实施养老保险制度由单位缴纳的基本养老保险费支出。</w:t>
      </w:r>
    </w:p>
    <w:p>
      <w:pPr>
        <w:pStyle w:val="4"/>
        <w:keepNext w:val="0"/>
        <w:keepLines w:val="0"/>
        <w:pageBreakBefore w:val="0"/>
        <w:widowControl w:val="0"/>
        <w:kinsoku/>
        <w:wordWrap/>
        <w:overflowPunct/>
        <w:topLinePunct w:val="0"/>
        <w:autoSpaceDN/>
        <w:bidi w:val="0"/>
        <w:adjustRightInd/>
        <w:snapToGrid/>
        <w:spacing w:beforeAutospacing="0" w:afterAutospacing="0" w:line="540" w:lineRule="exact"/>
        <w:ind w:firstLine="643" w:firstLineChars="200"/>
        <w:textAlignment w:val="auto"/>
        <w:rPr>
          <w:rFonts w:hint="default" w:ascii="Times New Roman" w:hAnsi="Times New Roman" w:eastAsia="方正仿宋_GBK"/>
          <w:sz w:val="32"/>
          <w:szCs w:val="32"/>
          <w:shd w:val="clear" w:color="auto" w:fill="FFFFFF"/>
        </w:rPr>
      </w:pPr>
      <w:r>
        <w:rPr>
          <w:rFonts w:hint="eastAsia" w:ascii="Times New Roman" w:hAnsi="Times New Roman" w:eastAsia="方正仿宋_GBK"/>
          <w:b/>
          <w:bCs/>
          <w:sz w:val="32"/>
          <w:szCs w:val="32"/>
        </w:rPr>
        <w:t>（二十三）机关事业单位职业年金缴费支出（支出功能分类科目项级）：</w:t>
      </w:r>
      <w:r>
        <w:rPr>
          <w:rFonts w:hint="default" w:ascii="Times New Roman" w:hAnsi="Times New Roman" w:eastAsia="方正仿宋_GBK"/>
          <w:sz w:val="32"/>
          <w:szCs w:val="32"/>
          <w:shd w:val="clear" w:color="auto" w:fill="FFFFFF"/>
        </w:rPr>
        <w:t>反映机关事业单位实施养老保险制度由单位缴纳的职业年金支出。</w:t>
      </w:r>
    </w:p>
    <w:p>
      <w:pPr>
        <w:pStyle w:val="4"/>
        <w:keepNext w:val="0"/>
        <w:keepLines w:val="0"/>
        <w:pageBreakBefore w:val="0"/>
        <w:widowControl w:val="0"/>
        <w:kinsoku/>
        <w:wordWrap/>
        <w:overflowPunct/>
        <w:topLinePunct w:val="0"/>
        <w:autoSpaceDN/>
        <w:bidi w:val="0"/>
        <w:adjustRightInd/>
        <w:snapToGrid/>
        <w:spacing w:beforeAutospacing="0" w:afterAutospacing="0" w:line="540" w:lineRule="exact"/>
        <w:ind w:firstLine="643" w:firstLineChars="200"/>
        <w:textAlignment w:val="auto"/>
        <w:rPr>
          <w:rFonts w:hint="default" w:ascii="Times New Roman" w:hAnsi="Times New Roman" w:eastAsia="方正仿宋_GBK"/>
          <w:sz w:val="32"/>
          <w:szCs w:val="32"/>
          <w:shd w:val="clear" w:color="auto" w:fill="FFFFFF"/>
        </w:rPr>
      </w:pPr>
      <w:r>
        <w:rPr>
          <w:rFonts w:hint="eastAsia" w:ascii="Times New Roman" w:hAnsi="Times New Roman" w:eastAsia="方正仿宋_GBK"/>
          <w:b/>
          <w:bCs/>
          <w:sz w:val="32"/>
          <w:szCs w:val="32"/>
        </w:rPr>
        <w:t>（二十四）死亡抚恤（支出功能分类科目项级）：</w:t>
      </w:r>
      <w:r>
        <w:rPr>
          <w:rFonts w:hint="default" w:ascii="Times New Roman" w:hAnsi="Times New Roman" w:eastAsia="方正仿宋_GBK"/>
          <w:sz w:val="32"/>
          <w:szCs w:val="32"/>
          <w:shd w:val="clear" w:color="auto" w:fill="FFFFFF"/>
        </w:rPr>
        <w:t>反映按规定用于烈士和牺牲、病故人员家属的一次性和定期抚恤金以及丧葬补助费。</w:t>
      </w:r>
    </w:p>
    <w:p>
      <w:pPr>
        <w:pStyle w:val="4"/>
        <w:keepNext w:val="0"/>
        <w:keepLines w:val="0"/>
        <w:pageBreakBefore w:val="0"/>
        <w:widowControl w:val="0"/>
        <w:kinsoku/>
        <w:wordWrap/>
        <w:overflowPunct/>
        <w:topLinePunct w:val="0"/>
        <w:autoSpaceDN/>
        <w:bidi w:val="0"/>
        <w:adjustRightInd/>
        <w:snapToGrid/>
        <w:spacing w:beforeAutospacing="0" w:afterAutospacing="0" w:line="540" w:lineRule="exact"/>
        <w:ind w:firstLine="643" w:firstLineChars="200"/>
        <w:textAlignment w:val="auto"/>
        <w:rPr>
          <w:rFonts w:hint="default" w:ascii="Times New Roman" w:hAnsi="Times New Roman" w:eastAsia="方正仿宋_GBK"/>
          <w:sz w:val="32"/>
          <w:szCs w:val="32"/>
          <w:shd w:val="clear" w:color="auto" w:fill="FFFFFF"/>
        </w:rPr>
      </w:pPr>
      <w:r>
        <w:rPr>
          <w:rFonts w:hint="eastAsia" w:ascii="Times New Roman" w:hAnsi="Times New Roman" w:eastAsia="方正仿宋_GBK"/>
          <w:b/>
          <w:bCs/>
          <w:sz w:val="32"/>
          <w:szCs w:val="32"/>
        </w:rPr>
        <w:t>（二十五）行政单位医疗（支出功能分类科目项级）：</w:t>
      </w:r>
      <w:r>
        <w:rPr>
          <w:rFonts w:hint="default" w:ascii="Times New Roman" w:hAnsi="Times New Roman" w:eastAsia="方正仿宋_GBK"/>
          <w:sz w:val="32"/>
          <w:szCs w:val="32"/>
          <w:shd w:val="clear" w:color="auto" w:fill="FFFFFF"/>
        </w:rPr>
        <w:t>反映财政部门安排的行政单位（包括实行公务员管理的事业单位，下同）基本医疗保险缴费经费，未参加医疗保险的行政单位的公费医疗经费，按国家规定享受离休人员、红军老战士待遇人员的医疗经费。</w:t>
      </w:r>
    </w:p>
    <w:p>
      <w:pPr>
        <w:pStyle w:val="4"/>
        <w:keepNext w:val="0"/>
        <w:keepLines w:val="0"/>
        <w:pageBreakBefore w:val="0"/>
        <w:widowControl w:val="0"/>
        <w:kinsoku/>
        <w:wordWrap/>
        <w:overflowPunct/>
        <w:topLinePunct w:val="0"/>
        <w:autoSpaceDN/>
        <w:bidi w:val="0"/>
        <w:adjustRightInd/>
        <w:snapToGrid/>
        <w:spacing w:beforeAutospacing="0" w:afterAutospacing="0" w:line="540" w:lineRule="exact"/>
        <w:ind w:firstLine="643" w:firstLineChars="200"/>
        <w:textAlignment w:val="auto"/>
        <w:rPr>
          <w:rFonts w:hint="default" w:ascii="Times New Roman" w:hAnsi="Times New Roman" w:eastAsia="方正仿宋_GBK"/>
          <w:sz w:val="32"/>
          <w:szCs w:val="32"/>
          <w:shd w:val="clear" w:color="auto" w:fill="FFFFFF"/>
        </w:rPr>
      </w:pPr>
      <w:r>
        <w:rPr>
          <w:rFonts w:hint="default" w:ascii="Times New Roman" w:hAnsi="Times New Roman" w:eastAsia="方正仿宋_GBK"/>
          <w:b/>
          <w:bCs/>
          <w:sz w:val="32"/>
          <w:szCs w:val="32"/>
        </w:rPr>
        <w:t>（二十六）事业单位医疗</w:t>
      </w:r>
      <w:r>
        <w:rPr>
          <w:rFonts w:hint="eastAsia" w:ascii="Times New Roman" w:hAnsi="Times New Roman" w:eastAsia="方正仿宋_GBK"/>
          <w:b/>
          <w:bCs/>
          <w:sz w:val="32"/>
          <w:szCs w:val="32"/>
        </w:rPr>
        <w:t>（支出功能分类科目项级）</w:t>
      </w:r>
      <w:r>
        <w:rPr>
          <w:rFonts w:hint="default" w:ascii="Times New Roman" w:hAnsi="Times New Roman" w:eastAsia="方正仿宋_GBK"/>
          <w:b/>
          <w:bCs/>
          <w:sz w:val="32"/>
          <w:szCs w:val="32"/>
        </w:rPr>
        <w:t>：</w:t>
      </w:r>
      <w:r>
        <w:rPr>
          <w:rFonts w:hint="default" w:ascii="Times New Roman" w:hAnsi="Times New Roman" w:eastAsia="方正仿宋_GBK"/>
          <w:sz w:val="32"/>
          <w:szCs w:val="32"/>
          <w:shd w:val="clear" w:color="auto" w:fill="FFFFFF"/>
        </w:rPr>
        <w:t>反映财政部门安排的事业单位基本医疗保险缴费经费，未参加医疗保险的事业单位的公费医疗经费，按国家规定享受离休人员待遇的医疗经费。</w:t>
      </w:r>
    </w:p>
    <w:p>
      <w:pPr>
        <w:pStyle w:val="4"/>
        <w:keepNext w:val="0"/>
        <w:keepLines w:val="0"/>
        <w:pageBreakBefore w:val="0"/>
        <w:widowControl w:val="0"/>
        <w:kinsoku/>
        <w:wordWrap/>
        <w:overflowPunct/>
        <w:topLinePunct w:val="0"/>
        <w:autoSpaceDN/>
        <w:bidi w:val="0"/>
        <w:adjustRightInd/>
        <w:snapToGrid/>
        <w:spacing w:beforeAutospacing="0" w:afterAutospacing="0" w:line="540" w:lineRule="exact"/>
        <w:ind w:firstLine="643" w:firstLineChars="200"/>
        <w:textAlignment w:val="auto"/>
        <w:rPr>
          <w:rFonts w:hint="default" w:ascii="Times New Roman" w:hAnsi="Times New Roman" w:eastAsia="方正仿宋_GBK"/>
          <w:sz w:val="32"/>
          <w:szCs w:val="32"/>
          <w:shd w:val="clear" w:color="auto" w:fill="FFFFFF"/>
        </w:rPr>
      </w:pPr>
      <w:r>
        <w:rPr>
          <w:rFonts w:hint="eastAsia" w:ascii="Times New Roman" w:hAnsi="Times New Roman" w:eastAsia="方正仿宋_GBK"/>
          <w:b/>
          <w:bCs/>
          <w:sz w:val="32"/>
          <w:szCs w:val="32"/>
        </w:rPr>
        <w:t>（二十七）其他城乡社区支出（支出功能分类科目项级）：</w:t>
      </w:r>
      <w:r>
        <w:rPr>
          <w:rFonts w:hint="eastAsia" w:ascii="Times New Roman" w:hAnsi="Times New Roman" w:eastAsia="方正仿宋_GBK"/>
          <w:sz w:val="32"/>
          <w:szCs w:val="32"/>
          <w:shd w:val="clear" w:color="auto" w:fill="FFFFFF"/>
        </w:rPr>
        <w:t>反映除上述项目以外其他用于城乡社区方面的支出。</w:t>
      </w:r>
    </w:p>
    <w:p>
      <w:pPr>
        <w:pStyle w:val="4"/>
        <w:keepNext w:val="0"/>
        <w:keepLines w:val="0"/>
        <w:pageBreakBefore w:val="0"/>
        <w:widowControl w:val="0"/>
        <w:kinsoku/>
        <w:wordWrap/>
        <w:overflowPunct/>
        <w:topLinePunct w:val="0"/>
        <w:autoSpaceDN/>
        <w:bidi w:val="0"/>
        <w:adjustRightInd/>
        <w:snapToGrid/>
        <w:spacing w:beforeAutospacing="0" w:afterAutospacing="0" w:line="540" w:lineRule="exact"/>
        <w:ind w:firstLine="643" w:firstLineChars="200"/>
        <w:textAlignment w:val="auto"/>
        <w:rPr>
          <w:rFonts w:hint="default" w:ascii="Times New Roman" w:hAnsi="Times New Roman" w:eastAsia="方正仿宋_GBK"/>
          <w:sz w:val="32"/>
          <w:szCs w:val="32"/>
          <w:shd w:val="clear" w:color="auto" w:fill="FFFFFF"/>
        </w:rPr>
      </w:pPr>
      <w:r>
        <w:rPr>
          <w:rFonts w:hint="eastAsia" w:ascii="Times New Roman" w:hAnsi="Times New Roman" w:eastAsia="方正仿宋_GBK"/>
          <w:b/>
          <w:bCs/>
          <w:sz w:val="32"/>
          <w:szCs w:val="32"/>
        </w:rPr>
        <w:t>（二十八）住房公积金（支出功能分类科目项级）：</w:t>
      </w:r>
      <w:r>
        <w:rPr>
          <w:rFonts w:hint="default" w:ascii="Times New Roman" w:hAnsi="Times New Roman" w:eastAsia="方正仿宋_GBK"/>
          <w:sz w:val="32"/>
          <w:szCs w:val="32"/>
          <w:shd w:val="clear" w:color="auto" w:fill="FFFFFF"/>
        </w:rPr>
        <w:t>反映行政事业单位按人力资源和社会保障部、财政部规定的基本工资和津贴补贴以及规定比例为职工缴纳的住房公积金。</w:t>
      </w:r>
    </w:p>
    <w:p>
      <w:pPr>
        <w:pStyle w:val="4"/>
        <w:keepNext w:val="0"/>
        <w:keepLines w:val="0"/>
        <w:pageBreakBefore w:val="0"/>
        <w:widowControl w:val="0"/>
        <w:kinsoku/>
        <w:wordWrap/>
        <w:overflowPunct/>
        <w:topLinePunct w:val="0"/>
        <w:autoSpaceDN/>
        <w:bidi w:val="0"/>
        <w:adjustRightInd/>
        <w:snapToGrid/>
        <w:spacing w:beforeAutospacing="0" w:afterAutospacing="0" w:line="540" w:lineRule="exact"/>
        <w:ind w:firstLine="643" w:firstLineChars="200"/>
        <w:textAlignment w:val="auto"/>
        <w:rPr>
          <w:rFonts w:hint="default" w:ascii="Times New Roman" w:hAnsi="Times New Roman" w:eastAsia="方正仿宋_GBK"/>
          <w:sz w:val="32"/>
          <w:szCs w:val="32"/>
          <w:shd w:val="clear" w:color="auto" w:fill="FFFFFF"/>
        </w:rPr>
      </w:pPr>
      <w:r>
        <w:rPr>
          <w:rFonts w:hint="eastAsia" w:ascii="Times New Roman" w:hAnsi="Times New Roman" w:eastAsia="方正仿宋_GBK"/>
          <w:b/>
          <w:bCs/>
          <w:sz w:val="32"/>
          <w:szCs w:val="32"/>
        </w:rPr>
        <w:t>（二十九）购房补贴（支出功能分类科目项级）：</w:t>
      </w:r>
      <w:r>
        <w:rPr>
          <w:rFonts w:hint="default" w:ascii="Times New Roman" w:hAnsi="Times New Roman" w:eastAsia="方正仿宋_GBK"/>
          <w:sz w:val="32"/>
          <w:szCs w:val="32"/>
          <w:shd w:val="clear" w:color="auto" w:fill="FFFFFF"/>
        </w:rPr>
        <w:t>反映按房改政策规定，行政事业单位向符合条件职工（含离退休人员）、军队（含武警）向转役复员离退休人员发放的用于购买住房的补贴。</w:t>
      </w:r>
    </w:p>
    <w:p>
      <w:pPr>
        <w:pStyle w:val="8"/>
        <w:keepNext w:val="0"/>
        <w:keepLines w:val="0"/>
        <w:pageBreakBefore w:val="0"/>
        <w:widowControl w:val="0"/>
        <w:kinsoku/>
        <w:wordWrap/>
        <w:overflowPunct/>
        <w:topLinePunct w:val="0"/>
        <w:autoSpaceDE w:val="0"/>
        <w:autoSpaceDN/>
        <w:bidi w:val="0"/>
        <w:adjustRightInd/>
        <w:snapToGrid/>
        <w:spacing w:beforeAutospacing="0" w:afterAutospacing="0" w:line="540" w:lineRule="exact"/>
        <w:ind w:firstLine="640" w:firstLineChars="200"/>
        <w:jc w:val="both"/>
        <w:textAlignment w:val="auto"/>
        <w:rPr>
          <w:rStyle w:val="9"/>
          <w:rFonts w:hint="eastAsia" w:ascii="方正黑体_GBK" w:hAnsi="方正黑体_GBK" w:eastAsia="方正黑体_GBK" w:cs="方正黑体_GBK"/>
          <w:b w:val="0"/>
          <w:bCs/>
          <w:sz w:val="32"/>
          <w:szCs w:val="32"/>
          <w:shd w:val="clear" w:color="auto" w:fill="FFFFFF"/>
        </w:rPr>
      </w:pPr>
      <w:r>
        <w:rPr>
          <w:rStyle w:val="9"/>
          <w:rFonts w:hint="eastAsia" w:ascii="方正黑体_GBK" w:hAnsi="方正黑体_GBK" w:eastAsia="方正黑体_GBK" w:cs="方正黑体_GBK"/>
          <w:b w:val="0"/>
          <w:bCs/>
          <w:sz w:val="32"/>
          <w:szCs w:val="32"/>
          <w:shd w:val="clear" w:color="auto" w:fill="FFFFFF"/>
        </w:rPr>
        <w:t>七、决算公开联系方式及信息反馈渠道</w:t>
      </w:r>
    </w:p>
    <w:p>
      <w:pPr>
        <w:pStyle w:val="4"/>
        <w:keepNext w:val="0"/>
        <w:keepLines w:val="0"/>
        <w:pageBreakBefore w:val="0"/>
        <w:widowControl w:val="0"/>
        <w:kinsoku/>
        <w:wordWrap/>
        <w:overflowPunct/>
        <w:topLinePunct w:val="0"/>
        <w:autoSpaceDN/>
        <w:bidi w:val="0"/>
        <w:adjustRightInd/>
        <w:snapToGrid/>
        <w:spacing w:beforeAutospacing="0" w:afterAutospacing="0" w:line="540" w:lineRule="exact"/>
        <w:ind w:firstLine="640" w:firstLineChars="200"/>
        <w:textAlignment w:val="auto"/>
        <w:rPr>
          <w:rFonts w:hint="default" w:cs="宋体"/>
          <w:color w:val="FF0000"/>
          <w:sz w:val="21"/>
          <w:szCs w:val="21"/>
          <w:shd w:val="clear" w:color="auto" w:fill="FFFFFF"/>
        </w:rPr>
      </w:pPr>
      <w:r>
        <w:rPr>
          <w:rFonts w:ascii="Times New Roman" w:hAnsi="Times New Roman" w:eastAsia="方正仿宋_GBK"/>
          <w:sz w:val="32"/>
          <w:szCs w:val="32"/>
          <w:lang w:bidi="ar"/>
        </w:rPr>
        <w:t>本单位决算公开信息反馈和联系方式：023-63765207</w:t>
      </w:r>
    </w:p>
    <w:sectPr>
      <w:footerReference r:id="rId3" w:type="default"/>
      <w:pgSz w:w="11915" w:h="16851"/>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rPr>
    </w:pPr>
    <w:r>
      <mc:AlternateContent>
        <mc:Choice Requires="wps">
          <w:drawing>
            <wp:anchor distT="0" distB="0" distL="114300" distR="114300" simplePos="0" relativeHeight="251659264" behindDoc="0" locked="0" layoutInCell="1" allowOverlap="1">
              <wp:simplePos x="0" y="0"/>
              <wp:positionH relativeFrom="margin">
                <wp:posOffset>4175125</wp:posOffset>
              </wp:positionH>
              <wp:positionV relativeFrom="paragraph">
                <wp:posOffset>-35560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rPr>
                          </w:pPr>
                          <w:r>
                            <w:t xml:space="preserve">— </w:t>
                          </w:r>
                          <w:r>
                            <w:rPr>
                              <w:sz w:val="24"/>
                              <w:szCs w:val="40"/>
                            </w:rPr>
                            <w:fldChar w:fldCharType="begin"/>
                          </w:r>
                          <w:r>
                            <w:rPr>
                              <w:sz w:val="24"/>
                              <w:szCs w:val="40"/>
                            </w:rPr>
                            <w:instrText xml:space="preserve"> PAGE  \* MERGEFORMAT </w:instrText>
                          </w:r>
                          <w:r>
                            <w:rPr>
                              <w:sz w:val="24"/>
                              <w:szCs w:val="40"/>
                            </w:rPr>
                            <w:fldChar w:fldCharType="separate"/>
                          </w:r>
                          <w:r>
                            <w:rPr>
                              <w:rFonts w:hint="default"/>
                              <w:sz w:val="24"/>
                              <w:szCs w:val="40"/>
                            </w:rPr>
                            <w:t>13</w:t>
                          </w:r>
                          <w:r>
                            <w:rPr>
                              <w:sz w:val="24"/>
                              <w:szCs w:val="40"/>
                            </w:rPr>
                            <w:fldChar w:fldCharType="end"/>
                          </w:r>
                          <w:r>
                            <w:rPr>
                              <w:sz w:val="24"/>
                              <w:szCs w:val="40"/>
                            </w:rPr>
                            <w:t xml:space="preserve"> </w:t>
                          </w:r>
                          <w: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28.75pt;margin-top:-2.8pt;height:144pt;width:144pt;mso-position-horizontal-relative:margin;mso-wrap-style:none;z-index:251659264;mso-width-relative:page;mso-height-relative:page;" filled="f" stroked="f" coordsize="21600,21600" o:gfxdata="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4Is2ZZ&#10;2Oqd5RE6Kubt6hggYKdrFKVXYtAK09Z1ZngZcZz/3HdRj3+D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Lp8x62AAAAAoBAAAPAAAAAAAAAAEAIAAAACIAAABkcnMvZG93bnJldi54bWxQSwECFAAU&#10;AAAACACHTuJAjNcOfCoCAABVBAAADgAAAAAAAAABACAAAAAnAQAAZHJzL2Uyb0RvYy54bWxQSwUG&#10;AAAAAAYABgBZAQAAwwUAAAAA&#10;">
              <v:fill on="f" focussize="0,0"/>
              <v:stroke on="f" weight="0.5pt"/>
              <v:imagedata o:title=""/>
              <o:lock v:ext="edit" aspectratio="f"/>
              <v:textbox inset="0mm,0mm,0mm,0mm" style="mso-fit-shape-to-text:t;">
                <w:txbxContent>
                  <w:p>
                    <w:pPr>
                      <w:pStyle w:val="2"/>
                      <w:rPr>
                        <w:rFonts w:hint="default"/>
                      </w:rPr>
                    </w:pPr>
                    <w:r>
                      <w:t xml:space="preserve">— </w:t>
                    </w:r>
                    <w:r>
                      <w:rPr>
                        <w:sz w:val="24"/>
                        <w:szCs w:val="40"/>
                      </w:rPr>
                      <w:fldChar w:fldCharType="begin"/>
                    </w:r>
                    <w:r>
                      <w:rPr>
                        <w:sz w:val="24"/>
                        <w:szCs w:val="40"/>
                      </w:rPr>
                      <w:instrText xml:space="preserve"> PAGE  \* MERGEFORMAT </w:instrText>
                    </w:r>
                    <w:r>
                      <w:rPr>
                        <w:sz w:val="24"/>
                        <w:szCs w:val="40"/>
                      </w:rPr>
                      <w:fldChar w:fldCharType="separate"/>
                    </w:r>
                    <w:r>
                      <w:rPr>
                        <w:rFonts w:hint="default"/>
                        <w:sz w:val="24"/>
                        <w:szCs w:val="40"/>
                      </w:rPr>
                      <w:t>13</w:t>
                    </w:r>
                    <w:r>
                      <w:rPr>
                        <w:sz w:val="24"/>
                        <w:szCs w:val="40"/>
                      </w:rPr>
                      <w:fldChar w:fldCharType="end"/>
                    </w:r>
                    <w:r>
                      <w:rPr>
                        <w:sz w:val="24"/>
                        <w:szCs w:val="40"/>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3NzIyZTdkZTU1NjZlNzAxNTc1YThjYzQwOGQ4MGUifQ=="/>
  </w:docVars>
  <w:rsids>
    <w:rsidRoot w:val="6B2678CE"/>
    <w:rsid w:val="0019528D"/>
    <w:rsid w:val="00204C25"/>
    <w:rsid w:val="003F00C8"/>
    <w:rsid w:val="005700F6"/>
    <w:rsid w:val="0069056D"/>
    <w:rsid w:val="006E5BD5"/>
    <w:rsid w:val="006F7157"/>
    <w:rsid w:val="00790F81"/>
    <w:rsid w:val="007A428B"/>
    <w:rsid w:val="007F3F06"/>
    <w:rsid w:val="0084453F"/>
    <w:rsid w:val="00890446"/>
    <w:rsid w:val="009A5E61"/>
    <w:rsid w:val="00A339A8"/>
    <w:rsid w:val="00B00CFC"/>
    <w:rsid w:val="00B800FF"/>
    <w:rsid w:val="00C018E2"/>
    <w:rsid w:val="00DC7942"/>
    <w:rsid w:val="00EA4E5B"/>
    <w:rsid w:val="00EF3F7E"/>
    <w:rsid w:val="00F978A1"/>
    <w:rsid w:val="00FA4314"/>
    <w:rsid w:val="0227022D"/>
    <w:rsid w:val="02C831F7"/>
    <w:rsid w:val="02CB205D"/>
    <w:rsid w:val="03B30DFB"/>
    <w:rsid w:val="04C65474"/>
    <w:rsid w:val="05201767"/>
    <w:rsid w:val="05F712B8"/>
    <w:rsid w:val="05FF3735"/>
    <w:rsid w:val="06A9661F"/>
    <w:rsid w:val="0CA33492"/>
    <w:rsid w:val="0CF71BB9"/>
    <w:rsid w:val="0D1B7FB2"/>
    <w:rsid w:val="0D8B06AC"/>
    <w:rsid w:val="0E1478F8"/>
    <w:rsid w:val="0E5147A3"/>
    <w:rsid w:val="115D4DEB"/>
    <w:rsid w:val="116857FE"/>
    <w:rsid w:val="122F40A3"/>
    <w:rsid w:val="14367993"/>
    <w:rsid w:val="154A6915"/>
    <w:rsid w:val="188A7DC5"/>
    <w:rsid w:val="19646D4B"/>
    <w:rsid w:val="197B5102"/>
    <w:rsid w:val="1999129D"/>
    <w:rsid w:val="19FA174E"/>
    <w:rsid w:val="1A4A0F55"/>
    <w:rsid w:val="1B6C4B40"/>
    <w:rsid w:val="1CD86154"/>
    <w:rsid w:val="1DB14670"/>
    <w:rsid w:val="1F817C62"/>
    <w:rsid w:val="207F1591"/>
    <w:rsid w:val="216B13D8"/>
    <w:rsid w:val="21C238DC"/>
    <w:rsid w:val="222B07FE"/>
    <w:rsid w:val="22903AD4"/>
    <w:rsid w:val="233710AE"/>
    <w:rsid w:val="23997554"/>
    <w:rsid w:val="23D93FAA"/>
    <w:rsid w:val="279E2751"/>
    <w:rsid w:val="27B10267"/>
    <w:rsid w:val="28F97A36"/>
    <w:rsid w:val="29C528A1"/>
    <w:rsid w:val="2B4C0CE6"/>
    <w:rsid w:val="316C000B"/>
    <w:rsid w:val="31C52116"/>
    <w:rsid w:val="328562A1"/>
    <w:rsid w:val="34773065"/>
    <w:rsid w:val="34971F09"/>
    <w:rsid w:val="35894554"/>
    <w:rsid w:val="364D6435"/>
    <w:rsid w:val="36734F52"/>
    <w:rsid w:val="39234691"/>
    <w:rsid w:val="39892DE6"/>
    <w:rsid w:val="3A437F81"/>
    <w:rsid w:val="3D0B3B57"/>
    <w:rsid w:val="3D834544"/>
    <w:rsid w:val="3DAE2B27"/>
    <w:rsid w:val="421764A2"/>
    <w:rsid w:val="42B72D3B"/>
    <w:rsid w:val="42C03DED"/>
    <w:rsid w:val="44D307EC"/>
    <w:rsid w:val="454D5693"/>
    <w:rsid w:val="46906E3B"/>
    <w:rsid w:val="470A76D0"/>
    <w:rsid w:val="48E04000"/>
    <w:rsid w:val="4927578F"/>
    <w:rsid w:val="4934638F"/>
    <w:rsid w:val="4D165314"/>
    <w:rsid w:val="4DED2D65"/>
    <w:rsid w:val="4DF16D45"/>
    <w:rsid w:val="4E386440"/>
    <w:rsid w:val="4F7F6B6E"/>
    <w:rsid w:val="51880A18"/>
    <w:rsid w:val="531F7C8A"/>
    <w:rsid w:val="534318F8"/>
    <w:rsid w:val="534408B4"/>
    <w:rsid w:val="53793388"/>
    <w:rsid w:val="53917A1C"/>
    <w:rsid w:val="55286AB6"/>
    <w:rsid w:val="57317CDD"/>
    <w:rsid w:val="57D72398"/>
    <w:rsid w:val="582C1CD1"/>
    <w:rsid w:val="59631F8D"/>
    <w:rsid w:val="597E40BA"/>
    <w:rsid w:val="5AA5660B"/>
    <w:rsid w:val="5B7F1A82"/>
    <w:rsid w:val="5C934D9C"/>
    <w:rsid w:val="5DD21508"/>
    <w:rsid w:val="621007E7"/>
    <w:rsid w:val="62AE7650"/>
    <w:rsid w:val="63EF08EB"/>
    <w:rsid w:val="650D750D"/>
    <w:rsid w:val="653D7DDD"/>
    <w:rsid w:val="655E7C21"/>
    <w:rsid w:val="656776BC"/>
    <w:rsid w:val="667D66F4"/>
    <w:rsid w:val="694D02E2"/>
    <w:rsid w:val="69513BA5"/>
    <w:rsid w:val="6ABD5542"/>
    <w:rsid w:val="6B1C72BB"/>
    <w:rsid w:val="6B2678CE"/>
    <w:rsid w:val="6C26153E"/>
    <w:rsid w:val="6CBB09CA"/>
    <w:rsid w:val="6E975AC0"/>
    <w:rsid w:val="70B2062C"/>
    <w:rsid w:val="72A7635F"/>
    <w:rsid w:val="73CD2582"/>
    <w:rsid w:val="75445E8D"/>
    <w:rsid w:val="762216B1"/>
    <w:rsid w:val="76EF3709"/>
    <w:rsid w:val="778603D5"/>
    <w:rsid w:val="77EE26C6"/>
    <w:rsid w:val="78497FAE"/>
    <w:rsid w:val="7A8C1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qFormat/>
    <w:uiPriority w:val="99"/>
    <w:rPr>
      <w:rFonts w:hint="eastAsia" w:ascii="宋体" w:hAnsi="宋体" w:eastAsia="宋体" w:cs="Times New Roman"/>
      <w:sz w:val="24"/>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4">
    <w:name w:val="Normal (Web)"/>
    <w:basedOn w:val="1"/>
    <w:qFormat/>
    <w:uiPriority w:val="99"/>
    <w:pPr>
      <w:spacing w:beforeAutospacing="1" w:afterAutospacing="1"/>
    </w:pPr>
  </w:style>
  <w:style w:type="character" w:styleId="7">
    <w:name w:val="Strong"/>
    <w:basedOn w:val="6"/>
    <w:qFormat/>
    <w:uiPriority w:val="22"/>
    <w:rPr>
      <w:b/>
      <w:bCs/>
    </w:rPr>
  </w:style>
  <w:style w:type="paragraph" w:customStyle="1" w:styleId="8">
    <w:name w:val="普通(网站) Char Char"/>
    <w:basedOn w:val="1"/>
    <w:qFormat/>
    <w:uiPriority w:val="99"/>
    <w:pPr>
      <w:spacing w:beforeAutospacing="1" w:afterAutospacing="1"/>
    </w:pPr>
  </w:style>
  <w:style w:type="character" w:customStyle="1" w:styleId="9">
    <w:name w:val="16"/>
    <w:basedOn w:val="6"/>
    <w:qFormat/>
    <w:uiPriority w:val="0"/>
    <w:rPr>
      <w:rFonts w:hint="default" w:ascii="Times New Roman" w:hAnsi="Times New Roman" w:cs="Times New Roman"/>
      <w:b/>
    </w:rPr>
  </w:style>
  <w:style w:type="character" w:customStyle="1" w:styleId="10">
    <w:name w:val="15"/>
    <w:basedOn w:val="6"/>
    <w:qFormat/>
    <w:uiPriority w:val="0"/>
    <w:rPr>
      <w:rFonts w:hint="default" w:ascii="Wingdings" w:hAnsi="Wingdings" w:cs="Wingdings"/>
      <w:b/>
    </w:rPr>
  </w:style>
  <w:style w:type="character" w:customStyle="1" w:styleId="11">
    <w:name w:val="font01"/>
    <w:basedOn w:val="6"/>
    <w:qFormat/>
    <w:uiPriority w:val="0"/>
    <w:rPr>
      <w:rFonts w:hint="default" w:ascii="华文仿宋" w:hAnsi="华文仿宋" w:eastAsia="华文仿宋" w:cs="华文仿宋"/>
      <w:color w:val="FF0000"/>
      <w:sz w:val="16"/>
      <w:szCs w:val="16"/>
      <w:u w:val="none"/>
    </w:rPr>
  </w:style>
  <w:style w:type="paragraph" w:customStyle="1" w:styleId="12">
    <w:name w:val="p30"/>
    <w:basedOn w:val="1"/>
    <w:uiPriority w:val="0"/>
    <w:pPr>
      <w:spacing w:before="100" w:after="100"/>
    </w:pPr>
    <w:rPr>
      <w:rFonts w:hint="default"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6943</Words>
  <Characters>7653</Characters>
  <Lines>6</Lines>
  <Paragraphs>15</Paragraphs>
  <TotalTime>125</TotalTime>
  <ScaleCrop>false</ScaleCrop>
  <LinksUpToDate>false</LinksUpToDate>
  <CharactersWithSpaces>7678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2022-08-25T02:25:00Z</dcterms:created>
  <dc:creator>小棉袄จุ๊บ</dc:creator>
  <cp:lastModifiedBy>那个她</cp:lastModifiedBy>
  <dcterms:modified xsi:type="dcterms:W3CDTF">2023-05-06T03:57:24Z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FD8D663D2D6E4F47B88B548071B18D67_12</vt:lpwstr>
  </property>
</Properties>
</file>