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C4E89">
      <w:pPr>
        <w:pStyle w:val="4"/>
        <w:spacing w:before="0" w:beforeAutospacing="0" w:after="0" w:afterAutospacing="0" w:line="596" w:lineRule="exact"/>
        <w:ind w:firstLine="720" w:firstLineChars="200"/>
        <w:jc w:val="center"/>
        <w:rPr>
          <w:rFonts w:hint="default" w:ascii="方正小标宋_GBK" w:hAnsi="方正小标宋_GBK" w:eastAsia="方正小标宋_GBK" w:cs="方正小标宋_GBK"/>
          <w:sz w:val="36"/>
          <w:szCs w:val="36"/>
        </w:rPr>
      </w:pPr>
      <w:bookmarkStart w:id="0" w:name="_GoBack"/>
      <w:bookmarkEnd w:id="0"/>
    </w:p>
    <w:p w14:paraId="26D721DF">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重庆市渝中区政协社情民意信息中心</w:t>
      </w:r>
    </w:p>
    <w:p w14:paraId="7BE21BA3">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B82658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firstLine="0" w:firstLineChars="0"/>
        <w:jc w:val="center"/>
        <w:textAlignment w:val="auto"/>
        <w:rPr>
          <w:rFonts w:ascii="Times New Roman" w:hAnsi="Times New Roman" w:eastAsia="方正小标宋_GBK" w:cs="方正小标宋_GBK"/>
          <w:sz w:val="44"/>
          <w:szCs w:val="44"/>
          <w:shd w:val="clear" w:color="auto" w:fill="FFFFFF"/>
        </w:rPr>
      </w:pPr>
    </w:p>
    <w:p w14:paraId="50647E88">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部门基本情况</w:t>
      </w:r>
    </w:p>
    <w:p w14:paraId="1D2CEE69">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（一）职能职责</w:t>
      </w:r>
    </w:p>
    <w:p w14:paraId="39329F02">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lang w:eastAsia="zh-CN"/>
        </w:rPr>
        <w:t>重庆市</w:t>
      </w:r>
      <w:r>
        <w:rPr>
          <w:rFonts w:hint="eastAsia" w:ascii="Times New Roman" w:hAnsi="Times New Roman" w:eastAsia="方正仿宋_GBK" w:cs="方正仿宋_GBK"/>
          <w:b w:val="0"/>
          <w:bCs w:val="0"/>
          <w:color w:val="auto"/>
          <w:kern w:val="0"/>
          <w:sz w:val="32"/>
          <w:szCs w:val="32"/>
        </w:rPr>
        <w:t>渝中区政协</w:t>
      </w:r>
      <w:r>
        <w:rPr>
          <w:rFonts w:hint="eastAsia" w:ascii="Times New Roman" w:hAnsi="Times New Roman" w:eastAsia="方正仿宋_GBK" w:cs="方正仿宋_GBK"/>
          <w:b w:val="0"/>
          <w:bCs w:val="0"/>
          <w:color w:val="auto"/>
          <w:kern w:val="0"/>
          <w:sz w:val="32"/>
          <w:szCs w:val="32"/>
          <w:lang w:eastAsia="zh-CN"/>
        </w:rPr>
        <w:t>社情民意信息中心是渝中区政协下属</w:t>
      </w:r>
      <w:r>
        <w:rPr>
          <w:rFonts w:hint="default" w:ascii="Times New Roman" w:hAnsi="Times New Roman" w:eastAsia="方正仿宋_GBK" w:cs="方正仿宋_GBK"/>
          <w:b w:val="0"/>
          <w:bCs w:val="0"/>
          <w:color w:val="auto"/>
          <w:kern w:val="0"/>
          <w:sz w:val="32"/>
          <w:szCs w:val="32"/>
        </w:rPr>
        <w:t>全额拨款正科级事业单位</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方正仿宋_GBK" w:cs="方正仿宋_GBK"/>
          <w:b w:val="0"/>
          <w:bCs w:val="0"/>
          <w:color w:val="auto"/>
          <w:kern w:val="0"/>
          <w:sz w:val="32"/>
          <w:szCs w:val="32"/>
        </w:rPr>
        <w:t>其主要职能是</w:t>
      </w:r>
      <w:r>
        <w:rPr>
          <w:rFonts w:hint="default" w:ascii="Times New Roman" w:hAnsi="Times New Roman" w:eastAsia="方正仿宋_GBK" w:cs="方正仿宋_GBK"/>
          <w:b w:val="0"/>
          <w:bCs w:val="0"/>
          <w:color w:val="auto"/>
          <w:kern w:val="0"/>
          <w:sz w:val="32"/>
          <w:szCs w:val="32"/>
        </w:rPr>
        <w:t>负责社情民意信息的采集、筛选、报送、反馈和落实工作</w:t>
      </w:r>
      <w:r>
        <w:rPr>
          <w:rFonts w:hint="eastAsia" w:ascii="Times New Roman" w:hAnsi="Times New Roman" w:eastAsia="方正仿宋_GBK" w:cs="方正仿宋_GBK"/>
          <w:b w:val="0"/>
          <w:bCs w:val="0"/>
          <w:color w:val="auto"/>
          <w:kern w:val="0"/>
          <w:sz w:val="32"/>
          <w:szCs w:val="32"/>
        </w:rPr>
        <w:t>、负责编印社情民意信息</w:t>
      </w:r>
      <w:r>
        <w:rPr>
          <w:rFonts w:hint="eastAsia" w:ascii="Times New Roman" w:hAnsi="Times New Roman" w:eastAsia="方正仿宋_GBK" w:cs="方正仿宋_GBK"/>
          <w:b w:val="0"/>
          <w:bCs w:val="0"/>
          <w:color w:val="auto"/>
          <w:kern w:val="0"/>
          <w:sz w:val="32"/>
          <w:szCs w:val="32"/>
          <w:lang w:eastAsia="zh-CN"/>
        </w:rPr>
        <w:t>工作、</w:t>
      </w:r>
      <w:r>
        <w:rPr>
          <w:rFonts w:hint="eastAsia" w:ascii="Times New Roman" w:hAnsi="Times New Roman" w:eastAsia="方正仿宋_GBK" w:cs="方正仿宋_GBK"/>
          <w:b w:val="0"/>
          <w:bCs w:val="0"/>
          <w:color w:val="auto"/>
          <w:kern w:val="0"/>
          <w:sz w:val="32"/>
          <w:szCs w:val="32"/>
        </w:rPr>
        <w:t>与相关单位及信息员的联系、服务和培训等工作</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方正仿宋_GBK" w:cs="方正仿宋_GBK"/>
          <w:b w:val="0"/>
          <w:bCs w:val="0"/>
          <w:color w:val="auto"/>
          <w:kern w:val="0"/>
          <w:sz w:val="32"/>
          <w:szCs w:val="32"/>
        </w:rPr>
        <w:t>完成上级主管部门交办的其他工作任务。</w:t>
      </w:r>
    </w:p>
    <w:p w14:paraId="0CD45DCE">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（二）机构设置</w:t>
      </w:r>
    </w:p>
    <w:p w14:paraId="43473AC7">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rPr>
        <w:t>渝中区政协</w:t>
      </w:r>
      <w:r>
        <w:rPr>
          <w:rFonts w:hint="eastAsia" w:ascii="Times New Roman" w:hAnsi="Times New Roman" w:eastAsia="方正仿宋_GBK" w:cs="方正仿宋_GBK"/>
          <w:b w:val="0"/>
          <w:bCs w:val="0"/>
          <w:color w:val="auto"/>
          <w:kern w:val="0"/>
          <w:sz w:val="32"/>
          <w:szCs w:val="32"/>
          <w:lang w:eastAsia="zh-CN"/>
        </w:rPr>
        <w:t>社情民意信息中心</w:t>
      </w:r>
      <w:r>
        <w:rPr>
          <w:rFonts w:hint="default" w:ascii="Times New Roman" w:hAnsi="Times New Roman" w:eastAsia="方正仿宋_GBK" w:cs="方正仿宋_GBK"/>
          <w:b w:val="0"/>
          <w:bCs w:val="0"/>
          <w:color w:val="auto"/>
          <w:kern w:val="0"/>
          <w:sz w:val="32"/>
          <w:szCs w:val="32"/>
        </w:rPr>
        <w:t>是为政协</w:t>
      </w:r>
      <w:r>
        <w:rPr>
          <w:rFonts w:hint="eastAsia" w:ascii="Times New Roman" w:hAnsi="Times New Roman" w:eastAsia="方正仿宋_GBK" w:cs="方正仿宋_GBK"/>
          <w:b w:val="0"/>
          <w:bCs w:val="0"/>
          <w:color w:val="auto"/>
          <w:kern w:val="0"/>
          <w:sz w:val="32"/>
          <w:szCs w:val="32"/>
          <w:lang w:eastAsia="zh-CN"/>
        </w:rPr>
        <w:t>机关工作</w:t>
      </w:r>
      <w:r>
        <w:rPr>
          <w:rFonts w:hint="default" w:ascii="Times New Roman" w:hAnsi="Times New Roman" w:eastAsia="方正仿宋_GBK" w:cs="方正仿宋_GBK"/>
          <w:b w:val="0"/>
          <w:bCs w:val="0"/>
          <w:color w:val="auto"/>
          <w:kern w:val="0"/>
          <w:sz w:val="32"/>
          <w:szCs w:val="32"/>
        </w:rPr>
        <w:t>履职提供保障的</w:t>
      </w:r>
      <w:r>
        <w:rPr>
          <w:rFonts w:hint="eastAsia" w:ascii="Times New Roman" w:hAnsi="Times New Roman" w:eastAsia="方正仿宋_GBK" w:cs="方正仿宋_GBK"/>
          <w:b w:val="0"/>
          <w:bCs w:val="0"/>
          <w:color w:val="auto"/>
          <w:kern w:val="0"/>
          <w:sz w:val="32"/>
          <w:szCs w:val="32"/>
          <w:lang w:eastAsia="zh-CN"/>
        </w:rPr>
        <w:t>事业单位</w:t>
      </w:r>
      <w:r>
        <w:rPr>
          <w:rFonts w:hint="eastAsia" w:ascii="Times New Roman" w:hAnsi="Times New Roman" w:eastAsia="方正仿宋_GBK" w:cs="方正仿宋_GBK"/>
          <w:b w:val="0"/>
          <w:bCs w:val="0"/>
          <w:color w:val="auto"/>
          <w:kern w:val="0"/>
          <w:sz w:val="32"/>
          <w:szCs w:val="32"/>
          <w:highlight w:val="none"/>
        </w:rPr>
        <w:t>。</w:t>
      </w:r>
    </w:p>
    <w:p w14:paraId="04700AE6">
      <w:pPr>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方正楷体_GBK" w:cs="方正楷体_GBK"/>
          <w:b w:val="0"/>
          <w:bCs w:val="0"/>
          <w:color w:val="auto"/>
          <w:kern w:val="0"/>
          <w:sz w:val="32"/>
          <w:szCs w:val="32"/>
          <w:lang w:eastAsia="zh-CN"/>
        </w:rPr>
      </w:pPr>
      <w:r>
        <w:rPr>
          <w:rFonts w:hint="eastAsia" w:ascii="Times New Roman" w:hAnsi="Times New Roman" w:eastAsia="方正楷体_GBK" w:cs="方正楷体_GBK"/>
          <w:b w:val="0"/>
          <w:bCs w:val="0"/>
          <w:color w:val="auto"/>
          <w:kern w:val="0"/>
          <w:sz w:val="32"/>
          <w:szCs w:val="32"/>
          <w:lang w:eastAsia="zh-CN"/>
        </w:rPr>
        <w:t>单位构成</w:t>
      </w:r>
    </w:p>
    <w:p w14:paraId="37026658">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rPr>
      </w:pPr>
      <w:r>
        <w:rPr>
          <w:rFonts w:hint="eastAsia" w:ascii="Times New Roman" w:hAnsi="Times New Roman" w:eastAsia="方正仿宋_GBK" w:cs="方正仿宋_GBK"/>
          <w:b w:val="0"/>
          <w:bCs w:val="0"/>
          <w:color w:val="auto"/>
          <w:kern w:val="0"/>
          <w:sz w:val="32"/>
          <w:szCs w:val="32"/>
          <w:lang w:eastAsia="zh-CN"/>
        </w:rPr>
        <w:t>渝中</w:t>
      </w:r>
      <w:r>
        <w:rPr>
          <w:rFonts w:hint="default" w:ascii="Times New Roman" w:hAnsi="Times New Roman" w:eastAsia="方正仿宋_GBK" w:cs="方正仿宋_GBK"/>
          <w:b w:val="0"/>
          <w:bCs w:val="0"/>
          <w:color w:val="auto"/>
          <w:kern w:val="0"/>
          <w:sz w:val="32"/>
          <w:szCs w:val="32"/>
        </w:rPr>
        <w:t>区政协</w:t>
      </w:r>
      <w:r>
        <w:rPr>
          <w:rFonts w:hint="eastAsia" w:ascii="Times New Roman" w:hAnsi="Times New Roman" w:eastAsia="方正仿宋_GBK" w:cs="方正仿宋_GBK"/>
          <w:b w:val="0"/>
          <w:bCs w:val="0"/>
          <w:color w:val="auto"/>
          <w:kern w:val="0"/>
          <w:sz w:val="32"/>
          <w:szCs w:val="32"/>
          <w:lang w:eastAsia="zh-CN"/>
        </w:rPr>
        <w:t>社情民意信息</w:t>
      </w:r>
      <w:r>
        <w:rPr>
          <w:rFonts w:hint="default" w:ascii="Times New Roman" w:hAnsi="Times New Roman" w:eastAsia="方正仿宋_GBK" w:cs="方正仿宋_GBK"/>
          <w:b w:val="0"/>
          <w:bCs w:val="0"/>
          <w:color w:val="auto"/>
          <w:kern w:val="0"/>
          <w:sz w:val="32"/>
          <w:szCs w:val="32"/>
        </w:rPr>
        <w:t>中心</w:t>
      </w:r>
      <w:r>
        <w:rPr>
          <w:rFonts w:hint="eastAsia" w:ascii="Times New Roman" w:hAnsi="Times New Roman" w:eastAsia="方正仿宋_GBK" w:cs="方正仿宋_GBK"/>
          <w:b w:val="0"/>
          <w:bCs w:val="0"/>
          <w:color w:val="auto"/>
          <w:kern w:val="0"/>
          <w:sz w:val="32"/>
          <w:szCs w:val="32"/>
          <w:lang w:val="en-US" w:eastAsia="zh-CN"/>
        </w:rPr>
        <w:t>2024年</w:t>
      </w:r>
      <w:r>
        <w:rPr>
          <w:rFonts w:hint="eastAsia" w:ascii="Times New Roman" w:hAnsi="Times New Roman" w:eastAsia="方正仿宋_GBK" w:cs="方正仿宋_GBK"/>
          <w:b w:val="0"/>
          <w:bCs w:val="0"/>
          <w:color w:val="auto"/>
          <w:kern w:val="0"/>
          <w:sz w:val="32"/>
          <w:szCs w:val="32"/>
          <w:lang w:eastAsia="zh-CN"/>
        </w:rPr>
        <w:t>在编人员共</w:t>
      </w:r>
      <w:r>
        <w:rPr>
          <w:rFonts w:hint="eastAsia" w:ascii="Times New Roman" w:hAnsi="Times New Roman" w:eastAsia="方正仿宋_GBK" w:cs="方正仿宋_GBK"/>
          <w:b w:val="0"/>
          <w:bCs w:val="0"/>
          <w:color w:val="auto"/>
          <w:kern w:val="0"/>
          <w:sz w:val="32"/>
          <w:szCs w:val="32"/>
          <w:lang w:val="en-US" w:eastAsia="zh-CN"/>
        </w:rPr>
        <w:t>1人</w:t>
      </w:r>
      <w:r>
        <w:rPr>
          <w:rFonts w:hint="default" w:ascii="Times New Roman" w:hAnsi="Times New Roman" w:eastAsia="方正仿宋_GBK" w:cs="方正仿宋_GBK"/>
          <w:b w:val="0"/>
          <w:bCs w:val="0"/>
          <w:color w:val="auto"/>
          <w:kern w:val="0"/>
          <w:sz w:val="32"/>
          <w:szCs w:val="32"/>
        </w:rPr>
        <w:t>。</w:t>
      </w:r>
    </w:p>
    <w:p w14:paraId="75940777">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部门决算情况说明</w:t>
      </w:r>
    </w:p>
    <w:p w14:paraId="2C4B4F3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（一）收入支出决算总体情况说明</w:t>
      </w:r>
    </w:p>
    <w:p w14:paraId="72C3E4D1">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方正仿宋_GBK"/>
          <w:b/>
          <w:bCs/>
          <w:color w:val="auto"/>
          <w:kern w:val="0"/>
          <w:sz w:val="32"/>
          <w:szCs w:val="32"/>
        </w:rPr>
        <w:t>1.总体情况。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年度收入总计14.51万元，支出总计</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方正仿宋_GBK"/>
          <w:b w:val="0"/>
          <w:bCs w:val="0"/>
          <w:color w:val="auto"/>
          <w:kern w:val="0"/>
          <w:sz w:val="32"/>
          <w:szCs w:val="32"/>
        </w:rPr>
        <w:t>万元。收、支与2023年度相比，</w:t>
      </w:r>
      <w:r>
        <w:rPr>
          <w:rFonts w:hint="eastAsia" w:ascii="Times New Roman" w:hAnsi="Times New Roman" w:eastAsia="方正仿宋_GBK" w:cs="方正仿宋_GBK"/>
          <w:b w:val="0"/>
          <w:bCs w:val="0"/>
          <w:color w:val="auto"/>
          <w:kern w:val="0"/>
          <w:sz w:val="32"/>
          <w:szCs w:val="32"/>
          <w:lang w:eastAsia="zh-CN"/>
        </w:rPr>
        <w:t>增加</w:t>
      </w:r>
      <w:r>
        <w:rPr>
          <w:rFonts w:hint="eastAsia" w:ascii="Times New Roman" w:hAnsi="Times New Roman" w:eastAsia="方正仿宋_GBK" w:cs="方正仿宋_GBK"/>
          <w:b w:val="0"/>
          <w:bCs w:val="0"/>
          <w:color w:val="auto"/>
          <w:kern w:val="0"/>
          <w:sz w:val="32"/>
          <w:szCs w:val="32"/>
          <w:lang w:val="en-US" w:eastAsia="zh-CN"/>
        </w:rPr>
        <w:t>14.51</w:t>
      </w:r>
      <w:r>
        <w:rPr>
          <w:rFonts w:hint="default" w:ascii="Times New Roman" w:hAnsi="Times New Roman" w:eastAsia="方正仿宋_GBK" w:cs="方正仿宋_GBK"/>
          <w:b w:val="0"/>
          <w:bCs w:val="0"/>
          <w:color w:val="auto"/>
          <w:kern w:val="0"/>
          <w:sz w:val="32"/>
          <w:szCs w:val="32"/>
        </w:rPr>
        <w:t>万元，增长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支出</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方正仿宋_GBK" w:cs="方正仿宋_GBK"/>
          <w:b w:val="0"/>
          <w:bCs w:val="0"/>
          <w:color w:val="auto"/>
          <w:kern w:val="0"/>
          <w:sz w:val="32"/>
          <w:szCs w:val="32"/>
          <w:lang w:eastAsia="zh-CN"/>
        </w:rPr>
        <w:t>增加</w:t>
      </w:r>
      <w:r>
        <w:rPr>
          <w:rFonts w:hint="eastAsia" w:ascii="Times New Roman" w:hAnsi="Times New Roman" w:eastAsia="方正仿宋_GBK" w:cs="方正仿宋_GBK"/>
          <w:b w:val="0"/>
          <w:bCs w:val="0"/>
          <w:color w:val="auto"/>
          <w:kern w:val="0"/>
          <w:sz w:val="32"/>
          <w:szCs w:val="32"/>
          <w:lang w:val="en-US" w:eastAsia="zh-CN"/>
        </w:rPr>
        <w:t>14.51</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上升</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rPr>
        <w:t>主</w:t>
      </w:r>
      <w:r>
        <w:rPr>
          <w:rFonts w:hint="eastAsia" w:ascii="Times New Roman" w:hAnsi="Times New Roman" w:eastAsia="仿宋_GB2312"/>
          <w:color w:val="auto"/>
          <w:sz w:val="32"/>
          <w:szCs w:val="32"/>
          <w:highlight w:val="none"/>
          <w:u w:val="none"/>
        </w:rPr>
        <w:t>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独立财务核算，所以本部门为新设账套，无年初预算数；二是因为本部门费用为人员基础保障费用。</w:t>
      </w:r>
    </w:p>
    <w:p w14:paraId="17127CA2">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2.收入情况。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年度收入合计</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方正仿宋_GBK"/>
          <w:b w:val="0"/>
          <w:bCs w:val="0"/>
          <w:color w:val="auto"/>
          <w:kern w:val="0"/>
          <w:sz w:val="32"/>
          <w:szCs w:val="32"/>
        </w:rPr>
        <w:t>万元，较上年决算数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w:t>
      </w:r>
      <w:r>
        <w:rPr>
          <w:rFonts w:hint="eastAsia" w:ascii="Times New Roman" w:hAnsi="Times New Roman" w:eastAsia="方正仿宋_GBK" w:cs="方正仿宋_GBK"/>
          <w:b w:val="0"/>
          <w:bCs w:val="0"/>
          <w:color w:val="auto"/>
          <w:kern w:val="0"/>
          <w:sz w:val="32"/>
          <w:szCs w:val="32"/>
          <w:lang w:val="en-US" w:eastAsia="zh-CN"/>
        </w:rPr>
        <w:t>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独立财务核算，所以本部门为新设账套，无年初预算数；二是因为本部门为人员基础保障支出。</w:t>
      </w:r>
      <w:r>
        <w:rPr>
          <w:rFonts w:hint="default" w:ascii="Times New Roman" w:hAnsi="Times New Roman" w:eastAsia="方正仿宋_GBK" w:cs="方正仿宋_GBK"/>
          <w:b w:val="0"/>
          <w:bCs w:val="0"/>
          <w:color w:val="auto"/>
          <w:kern w:val="0"/>
          <w:sz w:val="32"/>
          <w:szCs w:val="32"/>
        </w:rPr>
        <w:t>其中：财政拨款收入14.28万元，占100.00%；事业收入0.00万元，占0.00%；经营收入0.00万元，占0.00%；其他收入0.00万元，占0.00%。此外，使用非财政拨款结余和专用结余0.00万元，年初结转和结余0.23万元。</w:t>
      </w:r>
    </w:p>
    <w:p w14:paraId="3DBBAC1B">
      <w:pPr>
        <w:pStyle w:val="4"/>
        <w:snapToGrid w:val="0"/>
        <w:spacing w:before="0" w:beforeAutospacing="0" w:after="0" w:afterAutospacing="0" w:line="600" w:lineRule="exact"/>
        <w:ind w:firstLine="643" w:firstLineChars="200"/>
        <w:jc w:val="both"/>
        <w:rPr>
          <w:rFonts w:hint="default" w:ascii="Times New Roman" w:hAnsi="Times New Roman" w:eastAsia="方正仿宋_GBK" w:cs="方正仿宋_GBK"/>
          <w:b w:val="0"/>
          <w:bCs w:val="0"/>
          <w:color w:val="auto"/>
          <w:kern w:val="0"/>
          <w:sz w:val="32"/>
          <w:szCs w:val="32"/>
        </w:rPr>
      </w:pPr>
      <w:r>
        <w:rPr>
          <w:rFonts w:hint="default" w:ascii="Times New Roman" w:hAnsi="Times New Roman" w:eastAsia="方正仿宋_GBK" w:cs="方正仿宋_GBK"/>
          <w:b/>
          <w:bCs/>
          <w:color w:val="auto"/>
          <w:kern w:val="0"/>
          <w:sz w:val="32"/>
          <w:szCs w:val="32"/>
        </w:rPr>
        <w:t>3.支出情况。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年度支出合计</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仿宋_GB2312"/>
          <w:color w:val="auto"/>
          <w:sz w:val="32"/>
          <w:szCs w:val="32"/>
          <w:highlight w:val="none"/>
          <w:u w:val="none"/>
          <w:lang w:val="en-US" w:eastAsia="zh-CN"/>
        </w:rPr>
        <w:t>与2023年度相比，</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方正仿宋_GBK"/>
          <w:b w:val="0"/>
          <w:bCs w:val="0"/>
          <w:color w:val="auto"/>
          <w:kern w:val="0"/>
          <w:sz w:val="32"/>
          <w:szCs w:val="32"/>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独立财务核算，所以本部门为新设账套，无年初预算数；二是因为本部门为人员基础保障支出。</w:t>
      </w:r>
      <w:r>
        <w:rPr>
          <w:rFonts w:hint="default" w:ascii="Times New Roman" w:hAnsi="Times New Roman" w:eastAsia="方正仿宋_GBK" w:cs="方正仿宋_GBK"/>
          <w:b w:val="0"/>
          <w:bCs w:val="0"/>
          <w:color w:val="auto"/>
          <w:kern w:val="0"/>
          <w:sz w:val="32"/>
          <w:szCs w:val="32"/>
        </w:rPr>
        <w:t>其中：基本支出14.51万元，占100.00%；项目支出0.00万元，占0.00%；经营支出0.00万元，占0.00%。此外，结余分配0.00万元。</w:t>
      </w:r>
    </w:p>
    <w:p w14:paraId="5DBAC3F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方正仿宋_GBK"/>
          <w:b/>
          <w:bCs/>
          <w:color w:val="auto"/>
          <w:kern w:val="0"/>
          <w:sz w:val="32"/>
          <w:szCs w:val="32"/>
        </w:rPr>
        <w:t>4.结转结余情况。</w:t>
      </w:r>
      <w:r>
        <w:rPr>
          <w:rFonts w:hint="default" w:ascii="Times New Roman" w:hAnsi="Times New Roman" w:eastAsia="方正仿宋_GBK" w:cs="方正仿宋_GBK"/>
          <w:b w:val="0"/>
          <w:bCs w:val="0"/>
          <w:color w:val="auto"/>
          <w:kern w:val="0"/>
          <w:sz w:val="32"/>
          <w:szCs w:val="32"/>
        </w:rPr>
        <w:t>202</w:t>
      </w:r>
      <w:r>
        <w:rPr>
          <w:rFonts w:hint="eastAsia" w:ascii="Times New Roman" w:hAnsi="Times New Roman" w:eastAsia="方正仿宋_GBK" w:cs="方正仿宋_GBK"/>
          <w:b w:val="0"/>
          <w:bCs w:val="0"/>
          <w:color w:val="auto"/>
          <w:kern w:val="0"/>
          <w:sz w:val="32"/>
          <w:szCs w:val="32"/>
          <w:lang w:val="en-US" w:eastAsia="zh-CN"/>
        </w:rPr>
        <w:t>4</w:t>
      </w:r>
      <w:r>
        <w:rPr>
          <w:rFonts w:hint="default" w:ascii="Times New Roman" w:hAnsi="Times New Roman" w:eastAsia="方正仿宋_GBK" w:cs="方正仿宋_GBK"/>
          <w:b w:val="0"/>
          <w:bCs w:val="0"/>
          <w:color w:val="auto"/>
          <w:kern w:val="0"/>
          <w:sz w:val="32"/>
          <w:szCs w:val="32"/>
        </w:rPr>
        <w:t>年度年末结转和结余</w:t>
      </w:r>
      <w:r>
        <w:rPr>
          <w:rFonts w:hint="eastAsia" w:ascii="Times New Roman" w:hAnsi="Times New Roman" w:eastAsia="方正仿宋_GBK" w:cs="方正仿宋_GBK"/>
          <w:b w:val="0"/>
          <w:bCs w:val="0"/>
          <w:color w:val="auto"/>
          <w:kern w:val="0"/>
          <w:sz w:val="32"/>
          <w:szCs w:val="32"/>
          <w:lang w:val="en-US" w:eastAsia="zh-CN"/>
        </w:rPr>
        <w:t>0</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w:t>
      </w:r>
      <w:r>
        <w:rPr>
          <w:rFonts w:hint="default" w:ascii="Times New Roman" w:hAnsi="Times New Roman" w:eastAsia="方正仿宋_GBK" w:cs="方正仿宋_GBK"/>
          <w:b w:val="0"/>
          <w:bCs w:val="0"/>
          <w:color w:val="auto"/>
          <w:kern w:val="0"/>
          <w:sz w:val="32"/>
          <w:szCs w:val="32"/>
        </w:rPr>
        <w:t>与2023年度相比，无增减</w:t>
      </w:r>
      <w:r>
        <w:rPr>
          <w:rFonts w:hint="eastAsia" w:ascii="Times New Roman" w:hAnsi="Times New Roman" w:eastAsia="方正仿宋_GBK" w:cs="方正仿宋_GBK"/>
          <w:b w:val="0"/>
          <w:bCs w:val="0"/>
          <w:color w:val="auto"/>
          <w:kern w:val="0"/>
          <w:sz w:val="32"/>
          <w:szCs w:val="32"/>
          <w:lang w:eastAsia="zh-CN"/>
        </w:rPr>
        <w:t>。</w:t>
      </w:r>
    </w:p>
    <w:p w14:paraId="554F6EA0">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（二）财政拨款收入支出决算总体情况说明</w:t>
      </w:r>
    </w:p>
    <w:p w14:paraId="2CA2D0C4">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Times New Roman" w:hAnsi="Times New Roman" w:eastAsia="方正仿宋_GBK" w:cs="方正仿宋_GBK"/>
          <w:b w:val="0"/>
          <w:bCs w:val="0"/>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年度财政拨款收、支总计14.51万元。与202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w:t>
      </w:r>
      <w:r>
        <w:rPr>
          <w:rFonts w:hint="default" w:ascii="Times New Roman" w:hAnsi="Times New Roman" w:eastAsia="方正仿宋_GBK" w:cs="方正仿宋_GBK"/>
          <w:b w:val="0"/>
          <w:bCs w:val="0"/>
          <w:color w:val="auto"/>
          <w:kern w:val="0"/>
          <w:sz w:val="32"/>
          <w:szCs w:val="32"/>
        </w:rPr>
        <w:t>收</w:t>
      </w:r>
      <w:r>
        <w:rPr>
          <w:rFonts w:hint="eastAsia" w:ascii="Times New Roman" w:hAnsi="Times New Roman" w:eastAsia="方正仿宋_GBK" w:cs="方正仿宋_GBK"/>
          <w:b w:val="0"/>
          <w:bCs w:val="0"/>
          <w:color w:val="auto"/>
          <w:kern w:val="0"/>
          <w:sz w:val="32"/>
          <w:szCs w:val="32"/>
          <w:lang w:eastAsia="zh-CN"/>
        </w:rPr>
        <w:t>入</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支出</w:t>
      </w:r>
      <w:r>
        <w:rPr>
          <w:rFonts w:hint="default" w:ascii="Times New Roman" w:hAnsi="Times New Roman" w:eastAsia="方正仿宋_GBK" w:cs="方正仿宋_GBK"/>
          <w:b w:val="0"/>
          <w:bCs w:val="0"/>
          <w:color w:val="auto"/>
          <w:kern w:val="0"/>
          <w:sz w:val="32"/>
          <w:szCs w:val="32"/>
        </w:rPr>
        <w:t>较上年决算数</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方正仿宋_GBK"/>
          <w:b w:val="0"/>
          <w:bCs w:val="0"/>
          <w:color w:val="auto"/>
          <w:kern w:val="0"/>
          <w:sz w:val="32"/>
          <w:szCs w:val="32"/>
        </w:rPr>
        <w:t>万元，</w:t>
      </w:r>
      <w:r>
        <w:rPr>
          <w:rFonts w:hint="eastAsia" w:ascii="Times New Roman" w:hAnsi="Times New Roman" w:eastAsia="方正仿宋_GBK" w:cs="方正仿宋_GBK"/>
          <w:b w:val="0"/>
          <w:bCs w:val="0"/>
          <w:color w:val="auto"/>
          <w:kern w:val="0"/>
          <w:sz w:val="32"/>
          <w:szCs w:val="32"/>
          <w:lang w:eastAsia="zh-CN"/>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独立财务核算，所以本部门为新设账套，无年初预算数；二是因为本部门费用为人员基础保障费用。</w:t>
      </w:r>
    </w:p>
    <w:p w14:paraId="78FB3537">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（三）一般公共预算财政拨款收入支出决算情况说明</w:t>
      </w:r>
    </w:p>
    <w:p w14:paraId="1A7CD40F">
      <w:pPr>
        <w:pStyle w:val="4"/>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7"/>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仿宋_GB2312"/>
          <w:color w:val="auto"/>
          <w:sz w:val="32"/>
          <w:szCs w:val="32"/>
          <w:highlight w:val="none"/>
          <w:u w:val="none"/>
          <w:lang w:val="en-US" w:eastAsia="zh-CN"/>
        </w:rPr>
        <w:t>与2023年度相比，</w:t>
      </w:r>
      <w:r>
        <w:rPr>
          <w:rFonts w:hint="eastAsia" w:ascii="Times New Roman" w:hAnsi="Times New Roman" w:eastAsia="仿宋_GB2312"/>
          <w:color w:val="auto"/>
          <w:sz w:val="32"/>
          <w:szCs w:val="32"/>
          <w:highlight w:val="none"/>
          <w:u w:val="none"/>
          <w:lang w:eastAsia="zh-CN"/>
        </w:rPr>
        <w:t>增加</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独立财务核算，所以本部门为新设账套，无年初预算数；二是因为本部门收入为人员基础保障收入。</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仿宋_GB2312"/>
          <w:color w:val="auto"/>
          <w:sz w:val="32"/>
          <w:szCs w:val="32"/>
          <w:highlight w:val="none"/>
          <w:u w:val="none"/>
          <w:lang w:val="en-US" w:eastAsia="zh-CN"/>
        </w:rPr>
        <w:t>14.28</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。此外，</w:t>
      </w:r>
      <w:r>
        <w:rPr>
          <w:rFonts w:hint="eastAsia" w:ascii="Times New Roman" w:hAnsi="Times New Roman" w:eastAsia="方正仿宋_GBK" w:cs="方正仿宋_GBK"/>
          <w:b w:val="0"/>
          <w:bCs w:val="0"/>
          <w:color w:val="auto"/>
          <w:kern w:val="0"/>
          <w:sz w:val="32"/>
          <w:szCs w:val="32"/>
          <w:lang w:eastAsia="zh-CN"/>
        </w:rPr>
        <w:t>年初财政拨款结转和结余0.23万元。</w:t>
      </w:r>
    </w:p>
    <w:p w14:paraId="791019D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Style w:val="7"/>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仿宋_GB2312"/>
          <w:color w:val="auto"/>
          <w:sz w:val="32"/>
          <w:szCs w:val="32"/>
          <w:highlight w:val="none"/>
          <w:u w:val="none"/>
          <w:lang w:eastAsia="zh-CN"/>
        </w:rPr>
        <w:t>与2023年度相比，增加</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方正仿宋_GBK"/>
          <w:b w:val="0"/>
          <w:bCs w:val="0"/>
          <w:color w:val="auto"/>
          <w:kern w:val="0"/>
          <w:sz w:val="32"/>
          <w:szCs w:val="32"/>
        </w:rPr>
        <w:t>万元</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w:t>
      </w:r>
      <w:r>
        <w:rPr>
          <w:rFonts w:hint="default" w:ascii="Times New Roman" w:hAnsi="Times New Roman" w:eastAsia="方正仿宋_GBK" w:cs="方正仿宋_GBK"/>
          <w:b w:val="0"/>
          <w:bCs w:val="0"/>
          <w:color w:val="auto"/>
          <w:kern w:val="0"/>
          <w:sz w:val="32"/>
          <w:szCs w:val="32"/>
        </w:rPr>
        <w:t>%</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独立财务核算，所以本部门为新设账套，无年初预算数；二是因为本部门为人员基础保障支出。</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增加了</w:t>
      </w:r>
      <w:r>
        <w:rPr>
          <w:rFonts w:hint="eastAsia" w:ascii="Times New Roman" w:hAnsi="Times New Roman" w:eastAsia="仿宋_GB2312"/>
          <w:color w:val="auto"/>
          <w:sz w:val="32"/>
          <w:szCs w:val="32"/>
          <w:highlight w:val="none"/>
          <w:u w:val="none"/>
          <w:lang w:val="en-US" w:eastAsia="zh-CN"/>
        </w:rPr>
        <w:t>14.51</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方正仿宋_GBK"/>
          <w:b w:val="0"/>
          <w:bCs w:val="0"/>
          <w:color w:val="auto"/>
          <w:kern w:val="0"/>
          <w:sz w:val="32"/>
          <w:szCs w:val="32"/>
          <w:lang w:val="en-US" w:eastAsia="zh-CN"/>
        </w:rPr>
        <w:t>100.0</w:t>
      </w:r>
      <w:r>
        <w:rPr>
          <w:rFonts w:hint="default" w:ascii="Times New Roman" w:hAnsi="Times New Roman" w:eastAsia="方正仿宋_GBK" w:cs="方正仿宋_GBK"/>
          <w:b w:val="0"/>
          <w:bCs w:val="0"/>
          <w:color w:val="auto"/>
          <w:kern w:val="0"/>
          <w:sz w:val="32"/>
          <w:szCs w:val="32"/>
        </w:rPr>
        <w:t>%</w:t>
      </w:r>
      <w:r>
        <w:rPr>
          <w:rFonts w:hint="eastAsia" w:ascii="Times New Roman" w:hAnsi="Times New Roman" w:eastAsia="方正仿宋_GBK" w:cs="方正仿宋_GBK"/>
          <w:b w:val="0"/>
          <w:bCs w:val="0"/>
          <w:color w:val="auto"/>
          <w:kern w:val="0"/>
          <w:sz w:val="32"/>
          <w:szCs w:val="32"/>
          <w:lang w:eastAsia="zh-CN"/>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独立财务核算，所以本部门为新设账套，无年初预算数；二是因为本部门为人员基础保障支出。</w:t>
      </w:r>
    </w:p>
    <w:p w14:paraId="2748492A">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firstLine="643"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Style w:val="7"/>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与2023年度相比，无增减</w:t>
      </w:r>
    </w:p>
    <w:p w14:paraId="06E6382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7"/>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年度一般公共预算财政拨款支出主要用于以下几个方面：</w:t>
      </w:r>
    </w:p>
    <w:p w14:paraId="121C5D0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eastAsia" w:ascii="Times New Roman" w:hAnsi="Times New Roman" w:eastAsia="方正仿宋_GBK" w:cs="Times New Roman"/>
          <w:color w:val="auto"/>
          <w:sz w:val="32"/>
          <w:szCs w:val="32"/>
          <w:lang w:val="en-US" w:eastAsia="zh-CN"/>
        </w:rPr>
        <w:t>10.72</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73.89</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10.72</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7C0AD370">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eastAsia" w:ascii="Times New Roman" w:hAnsi="Times New Roman" w:eastAsia="方正仿宋_GBK" w:cs="Times New Roman"/>
          <w:color w:val="auto"/>
          <w:sz w:val="32"/>
          <w:szCs w:val="32"/>
          <w:lang w:val="en-US" w:eastAsia="zh-CN"/>
        </w:rPr>
        <w:t>1.27</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8.75</w:t>
      </w:r>
      <w:r>
        <w:rPr>
          <w:rFonts w:hint="default" w:ascii="Times New Roman" w:hAnsi="Times New Roman" w:eastAsia="方正仿宋_GBK" w:cs="Times New Roman"/>
          <w:color w:val="auto"/>
          <w:sz w:val="32"/>
          <w:szCs w:val="32"/>
          <w:shd w:val="clear" w:color="auto" w:fill="FFFFFF"/>
        </w:rPr>
        <w:t>%，较年初预算数增加</w:t>
      </w:r>
      <w:r>
        <w:rPr>
          <w:rFonts w:hint="eastAsia" w:ascii="Times New Roman" w:hAnsi="Times New Roman" w:eastAsia="方正仿宋_GBK" w:cs="Times New Roman"/>
          <w:color w:val="auto"/>
          <w:sz w:val="32"/>
          <w:szCs w:val="32"/>
          <w:lang w:val="en-US" w:eastAsia="zh-CN"/>
        </w:rPr>
        <w:t>1.27</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3053D3C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0.95</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6.55</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出</w:t>
      </w:r>
      <w:r>
        <w:rPr>
          <w:rFonts w:hint="eastAsia" w:ascii="Times New Roman" w:hAnsi="Times New Roman" w:eastAsia="方正仿宋_GBK" w:cs="Times New Roman"/>
          <w:color w:val="auto"/>
          <w:sz w:val="32"/>
          <w:szCs w:val="32"/>
          <w:lang w:val="en-US" w:eastAsia="zh-CN"/>
        </w:rPr>
        <w:t>0.95</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3E328A96">
      <w:pPr>
        <w:ind w:firstLine="640" w:firstLineChars="200"/>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1.57</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10.84</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val="en-US" w:eastAsia="zh-CN"/>
        </w:rPr>
        <w:t>增加</w:t>
      </w:r>
      <w:r>
        <w:rPr>
          <w:rFonts w:hint="eastAsia" w:ascii="Times New Roman" w:hAnsi="Times New Roman" w:eastAsia="方正仿宋_GBK" w:cs="Times New Roman"/>
          <w:color w:val="auto"/>
          <w:sz w:val="32"/>
          <w:szCs w:val="32"/>
          <w:lang w:val="en-US" w:eastAsia="zh-CN"/>
        </w:rPr>
        <w:t>1.57</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w:t>
      </w:r>
      <w:r>
        <w:rPr>
          <w:rFonts w:hint="eastAsia" w:ascii="Times New Roman" w:hAnsi="Times New Roman" w:eastAsia="仿宋_GB2312"/>
          <w:color w:val="auto"/>
          <w:sz w:val="32"/>
          <w:szCs w:val="32"/>
          <w:highlight w:val="none"/>
          <w:u w:val="none"/>
          <w:lang w:eastAsia="zh-CN"/>
        </w:rPr>
        <w:t>一</w:t>
      </w:r>
      <w:r>
        <w:rPr>
          <w:rFonts w:hint="eastAsia" w:ascii="Times New Roman" w:hAnsi="Times New Roman" w:eastAsia="仿宋_GB2312"/>
          <w:color w:val="auto"/>
          <w:sz w:val="32"/>
          <w:szCs w:val="32"/>
          <w:highlight w:val="none"/>
          <w:u w:val="none"/>
        </w:rPr>
        <w:t>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独立财务核算，所以本部门为新设账套，无年初预算数；二是因为本部门费用为人员基础保障支出。</w:t>
      </w:r>
    </w:p>
    <w:p w14:paraId="5FED38A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（四）一般公共预算财政拨款基本支出决算情况说明</w:t>
      </w:r>
    </w:p>
    <w:p w14:paraId="476BE5A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kern w:val="0"/>
          <w:sz w:val="32"/>
          <w:szCs w:val="32"/>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eastAsia" w:ascii="Times New Roman" w:hAnsi="Times New Roman" w:eastAsia="方正仿宋_GBK" w:cs="Times New Roman"/>
          <w:color w:val="auto"/>
          <w:sz w:val="32"/>
          <w:szCs w:val="32"/>
          <w:highlight w:val="none"/>
          <w:lang w:val="en-US" w:eastAsia="zh-CN"/>
        </w:rPr>
        <w:t>14.51</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lang w:val="en-US" w:eastAsia="zh-CN"/>
        </w:rPr>
        <w:t>13.48</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lang w:val="en-US" w:eastAsia="zh-CN"/>
        </w:rPr>
        <w:t>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13.48</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人员经费用途主要包括基本工资、津贴补贴、奖金、绩效工资、机关事业单位基本养老保险缴费、职业年金缴费、职工基本医疗保险缴费、其他社会保障缴费、住房公积金、医疗费、其他工资福利支出</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highlight w:val="none"/>
          <w:lang w:val="en-US" w:eastAsia="zh-CN"/>
        </w:rPr>
        <w:t>1.03</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highlight w:val="none"/>
          <w:lang w:val="en-US" w:eastAsia="zh-CN"/>
        </w:rPr>
        <w:t>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highlight w:val="none"/>
          <w:lang w:val="en-US" w:eastAsia="zh-CN"/>
        </w:rPr>
        <w:t>1.03</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w:t>
      </w:r>
      <w:r>
        <w:rPr>
          <w:rFonts w:hint="default" w:ascii="Times New Roman" w:hAnsi="Times New Roman" w:eastAsia="方正仿宋_GBK" w:cs="Times New Roman"/>
          <w:color w:val="auto"/>
          <w:sz w:val="32"/>
          <w:szCs w:val="32"/>
          <w:shd w:val="clear" w:color="auto" w:fill="FFFFFF"/>
        </w:rPr>
        <w:t>公用经费用途主要包括办公费、邮电费、培训费</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仿宋_GB2312"/>
          <w:color w:val="auto"/>
          <w:sz w:val="32"/>
          <w:szCs w:val="32"/>
          <w:highlight w:val="none"/>
          <w:u w:val="none"/>
        </w:rPr>
        <w:t>主要原因是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独立财务核算，所以本部门为新设账套，无年初预算数。</w:t>
      </w:r>
    </w:p>
    <w:p w14:paraId="5377668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（五）政府性基金预算收支决算情况说明</w:t>
      </w:r>
    </w:p>
    <w:p w14:paraId="7C225D79">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p>
    <w:p w14:paraId="3828212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（六）国有资本经营预算财政拨款支出决算情况说明</w:t>
      </w:r>
    </w:p>
    <w:p w14:paraId="66A86B4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本部门202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14:paraId="03B64211">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“三公”经费情况说明</w:t>
      </w:r>
    </w:p>
    <w:p w14:paraId="5D74C124">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（一）“三公”经费支出总体情况说明</w:t>
      </w:r>
    </w:p>
    <w:p w14:paraId="27C1CD0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“三公”经费支出</w:t>
      </w:r>
      <w:r>
        <w:rPr>
          <w:rFonts w:hint="eastAsia" w:ascii="Times New Roman" w:hAnsi="Times New Roman" w:eastAsia="方正仿宋_GBK" w:cs="Times New Roman"/>
          <w:color w:val="auto"/>
          <w:sz w:val="32"/>
          <w:szCs w:val="32"/>
          <w:highlight w:val="none"/>
          <w:shd w:val="clear" w:color="auto" w:fill="FFFFFF"/>
        </w:rPr>
        <w:t>。</w:t>
      </w:r>
    </w:p>
    <w:p w14:paraId="54EB71E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w:t>
      </w:r>
      <w:r>
        <w:rPr>
          <w:rFonts w:hint="eastAsia" w:ascii="Times New Roman" w:hAnsi="Times New Roman" w:eastAsia="方正楷体_GBK" w:cs="方正楷体_GBK"/>
          <w:b w:val="0"/>
          <w:bCs w:val="0"/>
          <w:color w:val="auto"/>
          <w:kern w:val="0"/>
          <w:sz w:val="32"/>
          <w:szCs w:val="32"/>
          <w:lang w:val="en-US" w:eastAsia="zh-CN" w:bidi="ar-SA"/>
        </w:rPr>
        <w:t>二</w:t>
      </w:r>
      <w:r>
        <w:rPr>
          <w:rFonts w:hint="default" w:ascii="Times New Roman" w:hAnsi="Times New Roman" w:eastAsia="方正楷体_GBK" w:cs="方正楷体_GBK"/>
          <w:b w:val="0"/>
          <w:bCs w:val="0"/>
          <w:color w:val="auto"/>
          <w:kern w:val="0"/>
          <w:sz w:val="32"/>
          <w:szCs w:val="32"/>
          <w:lang w:val="en-US" w:eastAsia="zh-CN" w:bidi="ar-SA"/>
        </w:rPr>
        <w:t>）“三公”经费实物量情况</w:t>
      </w:r>
    </w:p>
    <w:p w14:paraId="7FADE7F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w:t>
      </w:r>
      <w:r>
        <w:rPr>
          <w:rFonts w:hint="eastAsia" w:ascii="Times New Roman" w:hAnsi="Times New Roman" w:eastAsia="方正仿宋_GBK" w:cs="Times New Roman"/>
          <w:color w:val="auto"/>
          <w:sz w:val="32"/>
          <w:szCs w:val="32"/>
          <w:highlight w:val="none"/>
          <w:shd w:val="clear" w:color="auto" w:fill="FFFFFF"/>
          <w:lang w:eastAsia="zh-CN"/>
        </w:rPr>
        <w:t>无</w:t>
      </w:r>
      <w:r>
        <w:rPr>
          <w:rFonts w:hint="default" w:ascii="Times New Roman" w:hAnsi="Times New Roman" w:eastAsia="方正仿宋_GBK" w:cs="Times New Roman"/>
          <w:color w:val="auto"/>
          <w:sz w:val="32"/>
          <w:szCs w:val="32"/>
          <w:highlight w:val="none"/>
          <w:shd w:val="clear" w:color="auto" w:fill="FFFFFF"/>
        </w:rPr>
        <w:t>“三公”经费</w:t>
      </w:r>
      <w:r>
        <w:rPr>
          <w:rFonts w:hint="default" w:ascii="Times New Roman" w:hAnsi="Times New Roman" w:eastAsia="方正仿宋_GBK" w:cs="Times New Roman"/>
          <w:color w:val="auto"/>
          <w:sz w:val="32"/>
          <w:szCs w:val="32"/>
          <w:highlight w:val="none"/>
          <w:shd w:val="clear" w:color="auto" w:fill="FFFFFF"/>
          <w:lang w:val="en-US" w:eastAsia="zh-CN"/>
        </w:rPr>
        <w:t>实物量</w:t>
      </w:r>
      <w:r>
        <w:rPr>
          <w:rFonts w:hint="eastAsia" w:ascii="Times New Roman" w:hAnsi="Times New Roman" w:eastAsia="方正仿宋_GBK" w:cs="Times New Roman"/>
          <w:color w:val="auto"/>
          <w:sz w:val="32"/>
          <w:szCs w:val="32"/>
          <w:highlight w:val="none"/>
          <w:shd w:val="clear" w:color="auto" w:fill="FFFFFF"/>
          <w:lang w:eastAsia="zh-CN"/>
        </w:rPr>
        <w:t>耗用</w:t>
      </w:r>
      <w:r>
        <w:rPr>
          <w:rFonts w:hint="eastAsia" w:ascii="Times New Roman" w:hAnsi="Times New Roman" w:eastAsia="方正仿宋_GBK" w:cs="Times New Roman"/>
          <w:color w:val="auto"/>
          <w:sz w:val="32"/>
          <w:szCs w:val="32"/>
          <w:highlight w:val="none"/>
          <w:shd w:val="clear" w:color="auto" w:fill="FFFFFF"/>
        </w:rPr>
        <w:t>。</w:t>
      </w:r>
    </w:p>
    <w:p w14:paraId="68BBD56E">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其他需要说明的事项</w:t>
      </w:r>
    </w:p>
    <w:p w14:paraId="3D4A9C38">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（一）财政拨款会议费和培训费情况说明</w:t>
      </w:r>
    </w:p>
    <w:p w14:paraId="453FA123">
      <w:pPr>
        <w:pStyle w:val="4"/>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0.05</w:t>
      </w:r>
      <w:r>
        <w:rPr>
          <w:rFonts w:hint="default" w:ascii="Times New Roman" w:hAnsi="Times New Roman" w:eastAsia="方正仿宋_GBK" w:cs="Times New Roman"/>
          <w:color w:val="auto"/>
          <w:sz w:val="32"/>
          <w:szCs w:val="32"/>
          <w:shd w:val="clear" w:color="auto" w:fill="FFFFFF"/>
        </w:rPr>
        <w:t>万元，与2023年度相比，</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0.05</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sz w:val="32"/>
          <w:szCs w:val="32"/>
          <w:shd w:val="clear" w:color="auto" w:fill="FFFFFF"/>
        </w:rPr>
        <w:t>增长</w:t>
      </w:r>
      <w:r>
        <w:rPr>
          <w:rFonts w:hint="eastAsia"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仿宋_GB2312"/>
          <w:color w:val="auto"/>
          <w:sz w:val="32"/>
          <w:szCs w:val="32"/>
          <w:highlight w:val="none"/>
          <w:u w:val="none"/>
          <w:lang w:val="en-US" w:eastAsia="zh-CN"/>
        </w:rPr>
        <w:t>2024年进行了事业单位机构改革，按照财政部门要求，需进行</w:t>
      </w:r>
      <w:r>
        <w:rPr>
          <w:rFonts w:hint="eastAsia" w:ascii="Times New Roman" w:hAnsi="Times New Roman" w:eastAsia="方正仿宋_GBK" w:cs="方正仿宋_GBK"/>
          <w:b w:val="0"/>
          <w:bCs w:val="0"/>
          <w:color w:val="auto"/>
          <w:kern w:val="0"/>
          <w:sz w:val="32"/>
          <w:szCs w:val="32"/>
          <w:lang w:eastAsia="zh-CN"/>
        </w:rPr>
        <w:t>独立财务核算</w:t>
      </w:r>
      <w:r>
        <w:rPr>
          <w:rFonts w:hint="default" w:ascii="Times New Roman" w:hAnsi="Times New Roman" w:eastAsia="方正仿宋_GBK" w:cs="方正仿宋_GBK"/>
          <w:b w:val="0"/>
          <w:bCs w:val="0"/>
          <w:color w:val="auto"/>
          <w:kern w:val="0"/>
          <w:sz w:val="32"/>
          <w:szCs w:val="32"/>
          <w:lang w:val="en-US" w:eastAsia="zh-CN"/>
        </w:rPr>
        <w:t>。</w:t>
      </w:r>
    </w:p>
    <w:p w14:paraId="438189B5">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（二）机关运行经费情况说明</w:t>
      </w:r>
    </w:p>
    <w:p w14:paraId="54727227">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shd w:val="clear" w:color="auto" w:fill="FFFFFF"/>
          <w:lang w:eastAsia="zh-CN"/>
        </w:rPr>
        <w:t>本部门</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年度机关运行经费支出</w:t>
      </w:r>
      <w:r>
        <w:rPr>
          <w:rFonts w:hint="eastAsia" w:ascii="Times New Roman" w:hAnsi="Times New Roman" w:eastAsia="方正仿宋_GBK" w:cs="Times New Roman"/>
          <w:color w:val="auto"/>
          <w:sz w:val="32"/>
          <w:szCs w:val="32"/>
          <w:shd w:val="clear" w:color="auto" w:fill="FFFFFF"/>
          <w:lang w:eastAsia="zh-CN"/>
        </w:rPr>
        <w:t>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事业</w:t>
      </w:r>
      <w:r>
        <w:rPr>
          <w:rFonts w:hint="default" w:ascii="Times New Roman" w:hAnsi="Times New Roman" w:eastAsia="方正仿宋_GBK" w:cs="Times New Roman"/>
          <w:color w:val="auto"/>
          <w:sz w:val="32"/>
          <w:szCs w:val="32"/>
          <w:shd w:val="clear" w:color="auto" w:fill="FFFFFF"/>
        </w:rPr>
        <w:t>运行经费主要用于开支办公费、邮电费、差旅费、培训费</w:t>
      </w:r>
      <w:r>
        <w:rPr>
          <w:rFonts w:hint="eastAsia"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w:t>
      </w:r>
    </w:p>
    <w:p w14:paraId="3AA38DF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（三）国有资产占用情况说明</w:t>
      </w:r>
    </w:p>
    <w:p w14:paraId="5A843A2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w:t>
      </w:r>
    </w:p>
    <w:p w14:paraId="46E4244A">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（四）政府采购支出情况说明</w:t>
      </w:r>
    </w:p>
    <w:p w14:paraId="27D302A1">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年度本部门政府采购支出总额</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p>
    <w:p w14:paraId="54EFF0DA">
      <w:pPr>
        <w:keepNext w:val="0"/>
        <w:keepLines w:val="0"/>
        <w:pageBreakBefore w:val="0"/>
        <w:numPr>
          <w:ilvl w:val="0"/>
          <w:numId w:val="1"/>
        </w:numPr>
        <w:kinsoku/>
        <w:wordWrap/>
        <w:overflowPunct/>
        <w:topLinePunct w:val="0"/>
        <w:autoSpaceDN/>
        <w:bidi w:val="0"/>
        <w:adjustRightInd/>
        <w:snapToGrid/>
        <w:spacing w:afterAutospacing="0"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预算绩效管理情况说明</w:t>
      </w:r>
    </w:p>
    <w:p w14:paraId="78CE8A7F">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（一）部门自评情况</w:t>
      </w:r>
    </w:p>
    <w:p w14:paraId="3E566384">
      <w:pPr>
        <w:pStyle w:val="10"/>
        <w:keepNext w:val="0"/>
        <w:keepLines w:val="0"/>
        <w:pageBreakBefore w:val="0"/>
        <w:tabs>
          <w:tab w:val="center" w:pos="4153"/>
          <w:tab w:val="left" w:pos="7275"/>
        </w:tabs>
        <w:kinsoku/>
        <w:wordWrap/>
        <w:overflowPunct/>
        <w:topLinePunct w:val="0"/>
        <w:autoSpaceDN/>
        <w:bidi w:val="0"/>
        <w:adjustRightInd/>
        <w:spacing w:afterAutospacing="0" w:line="594" w:lineRule="exact"/>
        <w:ind w:firstLine="640" w:firstLineChars="200"/>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根据预算绩效管理要求，我部门</w:t>
      </w:r>
      <w:r>
        <w:rPr>
          <w:rFonts w:hint="eastAsia" w:ascii="Times New Roman" w:hAnsi="Times New Roman" w:eastAsia="方正仿宋_GBK" w:cs="Times New Roman"/>
          <w:color w:val="auto"/>
          <w:sz w:val="32"/>
          <w:szCs w:val="32"/>
          <w:shd w:val="clear" w:color="auto" w:fill="FFFFFF"/>
          <w:lang w:eastAsia="zh-CN"/>
        </w:rPr>
        <w:t>是属于政协机关下属事业单位，故预算绩效管理按照政协机关统一管理。政协机关</w:t>
      </w:r>
      <w:r>
        <w:rPr>
          <w:rFonts w:hint="default" w:ascii="Times New Roman" w:hAnsi="Times New Roman" w:eastAsia="方正仿宋_GBK" w:cs="Times New Roman"/>
          <w:color w:val="auto"/>
          <w:sz w:val="32"/>
          <w:szCs w:val="32"/>
          <w:shd w:val="clear" w:color="auto" w:fill="FFFFFF"/>
        </w:rPr>
        <w:t>对部门整体和</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个</w:t>
      </w:r>
      <w:r>
        <w:rPr>
          <w:rFonts w:hint="default" w:ascii="Times New Roman" w:hAnsi="Times New Roman" w:eastAsia="方正仿宋_GBK" w:cs="Times New Roman"/>
          <w:color w:val="auto"/>
          <w:sz w:val="32"/>
          <w:szCs w:val="32"/>
          <w:shd w:val="clear" w:color="auto" w:fill="FFFFFF"/>
          <w:lang w:eastAsia="zh-CN"/>
        </w:rPr>
        <w:t>二</w:t>
      </w:r>
      <w:r>
        <w:rPr>
          <w:rFonts w:hint="default" w:ascii="Times New Roman" w:hAnsi="Times New Roman" w:eastAsia="方正仿宋_GBK" w:cs="Times New Roman"/>
          <w:color w:val="auto"/>
          <w:sz w:val="32"/>
          <w:szCs w:val="32"/>
          <w:shd w:val="clear" w:color="auto" w:fill="FFFFFF"/>
        </w:rPr>
        <w:t>级项目开展了绩效自评，</w:t>
      </w:r>
      <w:r>
        <w:rPr>
          <w:rFonts w:hint="default" w:ascii="Times New Roman" w:hAnsi="Times New Roman" w:eastAsia="方正仿宋_GBK" w:cs="Times New Roman"/>
          <w:kern w:val="0"/>
          <w:sz w:val="32"/>
          <w:szCs w:val="32"/>
          <w:highlight w:val="none"/>
        </w:rPr>
        <w:t>其中，以填报目标自评表形式开展自评</w:t>
      </w:r>
      <w:r>
        <w:rPr>
          <w:rFonts w:hint="eastAsia"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项</w:t>
      </w:r>
      <w:r>
        <w:rPr>
          <w:rFonts w:hint="eastAsia" w:ascii="Times New Roman" w:hAnsi="Times New Roman" w:eastAsia="方正仿宋_GBK" w:cs="Times New Roman"/>
          <w:color w:val="auto"/>
          <w:sz w:val="32"/>
          <w:szCs w:val="32"/>
          <w:shd w:val="clear" w:color="auto" w:fill="FFFFFF"/>
          <w:lang w:eastAsia="zh-CN"/>
        </w:rPr>
        <w:t>。</w:t>
      </w:r>
    </w:p>
    <w:p w14:paraId="7967EB79">
      <w:pPr>
        <w:pStyle w:val="10"/>
        <w:tabs>
          <w:tab w:val="center" w:pos="4153"/>
          <w:tab w:val="left" w:pos="7275"/>
        </w:tabs>
        <w:spacing w:line="600" w:lineRule="exact"/>
        <w:ind w:left="0" w:leftChars="0" w:firstLine="640" w:firstLineChars="200"/>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政协整体目标绩效：</w:t>
      </w:r>
    </w:p>
    <w:p w14:paraId="2EF1F3BB">
      <w:pPr>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inline distT="0" distB="0" distL="114300" distR="114300">
            <wp:extent cx="5790565" cy="3326765"/>
            <wp:effectExtent l="0" t="0" r="63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790565" cy="3326765"/>
                    </a:xfrm>
                    <a:prstGeom prst="rect">
                      <a:avLst/>
                    </a:prstGeom>
                    <a:noFill/>
                    <a:ln>
                      <a:noFill/>
                    </a:ln>
                  </pic:spPr>
                </pic:pic>
              </a:graphicData>
            </a:graphic>
          </wp:inline>
        </w:drawing>
      </w:r>
    </w:p>
    <w:p w14:paraId="6C4543B0">
      <w:pPr>
        <w:pStyle w:val="10"/>
        <w:tabs>
          <w:tab w:val="center" w:pos="4153"/>
          <w:tab w:val="left" w:pos="7275"/>
        </w:tabs>
        <w:spacing w:line="600" w:lineRule="exact"/>
        <w:rPr>
          <w:rFonts w:hint="eastAsia"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政协文史资料编辑工作经费：</w:t>
      </w:r>
    </w:p>
    <w:p w14:paraId="5FBF3226">
      <w:pPr>
        <w:rPr>
          <w:rFonts w:hint="eastAsia" w:ascii="Times New Roman" w:hAnsi="Times New Roman" w:eastAsia="方正仿宋_GBK" w:cs="Times New Roman"/>
          <w:color w:val="auto"/>
          <w:sz w:val="32"/>
          <w:szCs w:val="32"/>
          <w:shd w:val="clear" w:color="auto" w:fill="FFFFFF"/>
          <w:lang w:eastAsia="zh-CN"/>
        </w:rPr>
      </w:pPr>
      <w:r>
        <w:rPr>
          <w:rFonts w:ascii="Times New Roman" w:hAnsi="Times New Roman"/>
        </w:rPr>
        <w:drawing>
          <wp:inline distT="0" distB="0" distL="114300" distR="114300">
            <wp:extent cx="5835650" cy="3398520"/>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835650" cy="3398520"/>
                    </a:xfrm>
                    <a:prstGeom prst="rect">
                      <a:avLst/>
                    </a:prstGeom>
                    <a:noFill/>
                    <a:ln>
                      <a:noFill/>
                    </a:ln>
                  </pic:spPr>
                </pic:pic>
              </a:graphicData>
            </a:graphic>
          </wp:inline>
        </w:drawing>
      </w:r>
    </w:p>
    <w:p w14:paraId="679E4CB7">
      <w:pPr>
        <w:pStyle w:val="10"/>
        <w:tabs>
          <w:tab w:val="center" w:pos="4153"/>
          <w:tab w:val="left" w:pos="7275"/>
        </w:tabs>
        <w:spacing w:line="600" w:lineRule="exact"/>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eastAsia="zh-CN"/>
        </w:rPr>
        <w:t>委员培训费：</w:t>
      </w:r>
    </w:p>
    <w:p w14:paraId="35C0095F">
      <w:pPr>
        <w:rPr>
          <w:rFonts w:ascii="Times New Roman" w:hAnsi="Times New Roman"/>
        </w:rPr>
      </w:pPr>
      <w:r>
        <w:rPr>
          <w:rFonts w:ascii="Times New Roman" w:hAnsi="Times New Roman"/>
        </w:rPr>
        <w:drawing>
          <wp:inline distT="0" distB="0" distL="114300" distR="114300">
            <wp:extent cx="5906135" cy="2806700"/>
            <wp:effectExtent l="0" t="0" r="698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906135" cy="2806700"/>
                    </a:xfrm>
                    <a:prstGeom prst="rect">
                      <a:avLst/>
                    </a:prstGeom>
                    <a:noFill/>
                    <a:ln>
                      <a:noFill/>
                    </a:ln>
                  </pic:spPr>
                </pic:pic>
              </a:graphicData>
            </a:graphic>
          </wp:inline>
        </w:drawing>
      </w:r>
    </w:p>
    <w:p w14:paraId="52C1B051">
      <w:pPr>
        <w:pStyle w:val="8"/>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楷体_GBK" w:cs="方正楷体_GBK"/>
          <w:b w:val="0"/>
          <w:bCs w:val="0"/>
          <w:color w:val="auto"/>
          <w:kern w:val="0"/>
          <w:sz w:val="32"/>
          <w:szCs w:val="32"/>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（二）部门绩效评价情况</w:t>
      </w:r>
    </w:p>
    <w:p w14:paraId="46D131B8">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政协机关</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政协文史资料编辑工作经费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26.24</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委员培训费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eastAsia" w:ascii="Times New Roman" w:hAnsi="Times New Roman" w:eastAsia="方正仿宋_GBK" w:cs="Times New Roman"/>
          <w:color w:val="auto"/>
          <w:sz w:val="32"/>
          <w:szCs w:val="32"/>
          <w:shd w:val="clear" w:color="auto" w:fill="FFFFFF"/>
          <w:lang w:val="en-US" w:eastAsia="zh-CN"/>
        </w:rPr>
        <w:t>31.67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好。</w:t>
      </w:r>
    </w:p>
    <w:p w14:paraId="5DA24BF4">
      <w:pPr>
        <w:pStyle w:val="10"/>
        <w:keepNext w:val="0"/>
        <w:keepLines w:val="0"/>
        <w:pageBreakBefore w:val="0"/>
        <w:tabs>
          <w:tab w:val="center" w:pos="4153"/>
          <w:tab w:val="left" w:pos="7275"/>
        </w:tabs>
        <w:kinsoku/>
        <w:wordWrap/>
        <w:overflowPunct/>
        <w:topLinePunct w:val="0"/>
        <w:autoSpaceDN/>
        <w:bidi w:val="0"/>
        <w:adjustRightInd/>
        <w:spacing w:line="594" w:lineRule="exact"/>
        <w:ind w:firstLine="64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专业名词解释</w:t>
      </w:r>
    </w:p>
    <w:p w14:paraId="5DF4D20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（一）财政拨款收入：</w:t>
      </w:r>
      <w:r>
        <w:rPr>
          <w:rFonts w:hint="default" w:ascii="Times New Roman" w:hAnsi="Times New Roman" w:eastAsia="方正仿宋_GBK" w:cs="Times New Roman"/>
          <w:color w:val="auto"/>
          <w:kern w:val="2"/>
          <w:sz w:val="32"/>
          <w:szCs w:val="32"/>
          <w:shd w:val="clear" w:color="auto" w:fill="FFFFFF"/>
          <w:lang w:val="en-US" w:eastAsia="zh-CN" w:bidi="ar-SA"/>
        </w:rPr>
        <w:t>指本年度从本级财政部门取得的财政拨款，包括一般公共预算财政拨款和政府性基金预算财政拨款。</w:t>
      </w:r>
    </w:p>
    <w:p w14:paraId="2196EBA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（二）事业收入：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6B39488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2"/>
          <w:sz w:val="32"/>
          <w:szCs w:val="32"/>
          <w:shd w:val="clear" w:color="auto" w:fill="FFFFFF"/>
          <w:lang w:val="en-US" w:eastAsia="zh-CN" w:bidi="ar-SA"/>
        </w:rPr>
      </w:pPr>
      <w:r>
        <w:rPr>
          <w:rFonts w:hint="default" w:ascii="Times New Roman" w:hAnsi="Times New Roman" w:eastAsia="方正楷体_GBK" w:cs="方正楷体_GBK"/>
          <w:b w:val="0"/>
          <w:bCs w:val="0"/>
          <w:color w:val="auto"/>
          <w:kern w:val="0"/>
          <w:sz w:val="32"/>
          <w:szCs w:val="32"/>
          <w:lang w:val="en-US" w:eastAsia="zh-CN" w:bidi="ar-SA"/>
        </w:rPr>
        <w:t>（三）经营收入：</w:t>
      </w:r>
      <w:r>
        <w:rPr>
          <w:rFonts w:hint="default" w:ascii="Times New Roman" w:hAnsi="Times New Roman" w:eastAsia="方正仿宋_GBK" w:cs="Times New Roman"/>
          <w:color w:val="auto"/>
          <w:kern w:val="2"/>
          <w:sz w:val="32"/>
          <w:szCs w:val="32"/>
          <w:shd w:val="clear" w:color="auto" w:fill="FFFFFF"/>
          <w:lang w:val="en-US" w:eastAsia="zh-CN" w:bidi="ar-SA"/>
        </w:rPr>
        <w:t>指事业单位在专业业务活动及其辅助活动之外开展非独立核算经营活动取得的现金流入。</w:t>
      </w:r>
    </w:p>
    <w:p w14:paraId="656C18E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（四）其他收入：</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2198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（五）使用非财政拨款结余：</w:t>
      </w:r>
      <w:r>
        <w:rPr>
          <w:rFonts w:hint="default" w:ascii="Times New Roman" w:hAnsi="Times New Roman" w:eastAsia="方正仿宋_GBK" w:cs="Times New Roman"/>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2BDCFD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（六）年初结转和结余：</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14:paraId="5BC7968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（七）结余分配：</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14:paraId="0E9FA56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（八）年末结转和结余：</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14:paraId="4098F03E">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（九）基本支出：</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148504">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（十）项目支出：</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14:paraId="2D3BDA86">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（十一）经营支出：</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14:paraId="19E1893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（十二）“三公”经费：</w:t>
      </w:r>
      <w:r>
        <w:rPr>
          <w:rFonts w:hint="default" w:ascii="Times New Roman" w:hAnsi="Times New Roman" w:eastAsia="方正仿宋_GBK" w:cs="Times New Roman"/>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31994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（十三）机关运行经费：</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D4005F">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（十四）工资福利支出（支出经济分类科目类级）：</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14:paraId="1844856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（十五）商品和服务支出（支出经济分类科目类级）：</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14:paraId="035864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（十六）对个人和家庭的补助（支出经济分类科目类级）：</w:t>
      </w:r>
      <w:r>
        <w:rPr>
          <w:rFonts w:hint="default" w:ascii="Times New Roman" w:hAnsi="Times New Roman" w:eastAsia="方正仿宋_GBK" w:cs="Times New Roman"/>
          <w:color w:val="auto"/>
          <w:sz w:val="32"/>
          <w:szCs w:val="32"/>
          <w:shd w:val="clear" w:color="auto" w:fill="FFFFFF"/>
        </w:rPr>
        <w:t>反映用于对个人和家庭的补助支出。</w:t>
      </w:r>
    </w:p>
    <w:p w14:paraId="5C59BE13">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（十七）其他资本性支出（支出经济分类科目类级）：</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8BC78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（十八）行政运行（支出功能分类科目项级）：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反映行政单位（包括实行公务员管理的事业单位）的基本支出。</w:t>
      </w:r>
    </w:p>
    <w:p w14:paraId="3D6986F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（十九）一般行政管理事务（支出功能分类科目项级）：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反映行政单位（包括实行公务员管理的事业单位）未单独设置项级科目的其他项目支出。</w:t>
      </w:r>
    </w:p>
    <w:p w14:paraId="1459F78D">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（二十）事业运行（支出功能分类科目项级）：</w:t>
      </w:r>
      <w:r>
        <w:rPr>
          <w:rFonts w:hint="default" w:ascii="Times New Roman" w:hAnsi="Times New Roman" w:eastAsia="方正仿宋_GBK" w:cs="Times New Roman"/>
          <w:color w:val="auto"/>
          <w:sz w:val="32"/>
          <w:szCs w:val="32"/>
          <w:shd w:val="clear" w:color="auto" w:fill="FFFFFF"/>
        </w:rPr>
        <w:t>反映事业单位的基本支出，不包括行政单位（包括实行公务员管理的事业单位）后勤服务中心、医务室等附属事业单位。</w:t>
      </w:r>
    </w:p>
    <w:p w14:paraId="1F002B25">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（二十一）政协会议（支出功能分类科目项级）：</w:t>
      </w:r>
      <w:r>
        <w:rPr>
          <w:rFonts w:hint="default" w:ascii="Times New Roman" w:hAnsi="Times New Roman" w:eastAsia="方正仿宋_GBK" w:cs="Times New Roman"/>
          <w:color w:val="auto"/>
          <w:sz w:val="32"/>
          <w:szCs w:val="32"/>
          <w:shd w:val="clear" w:color="auto" w:fill="FFFFFF"/>
        </w:rPr>
        <w:t>反映各级政协召开政治协商会议等专门会议的支出。</w:t>
      </w:r>
    </w:p>
    <w:p w14:paraId="44365D3A">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方正楷体_GBK"/>
          <w:b w:val="0"/>
          <w:bCs w:val="0"/>
          <w:color w:val="auto"/>
          <w:kern w:val="0"/>
          <w:sz w:val="32"/>
          <w:szCs w:val="32"/>
          <w:lang w:val="en-US" w:eastAsia="zh-CN" w:bidi="ar-SA"/>
        </w:rPr>
        <w:t>（二十二）计划生育服务（支出功能分类科目项级）：</w:t>
      </w:r>
      <w:r>
        <w:rPr>
          <w:rFonts w:hint="default" w:ascii="Times New Roman" w:hAnsi="Times New Roman" w:eastAsia="方正仿宋_GBK" w:cs="Times New Roman"/>
          <w:color w:val="auto"/>
          <w:sz w:val="32"/>
          <w:szCs w:val="32"/>
          <w:shd w:val="clear" w:color="auto" w:fill="FFFFFF"/>
        </w:rPr>
        <w:t>反映计划生育服务支出。</w:t>
      </w:r>
    </w:p>
    <w:p w14:paraId="51BD20C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（二十三）行政单位离退休（支出功能分类科目项级）：</w:t>
      </w:r>
      <w:r>
        <w:rPr>
          <w:rFonts w:hint="default" w:ascii="Times New Roman" w:hAnsi="Times New Roman" w:eastAsia="方正仿宋_GBK" w:cs="Times New Roman"/>
          <w:color w:val="auto"/>
          <w:sz w:val="32"/>
          <w:szCs w:val="32"/>
          <w:shd w:val="clear" w:color="auto" w:fill="FFFFFF"/>
        </w:rPr>
        <w:t>反映行政单位（包括实行公务员管理的事业单位）开支的离退休经费。</w:t>
      </w:r>
    </w:p>
    <w:p w14:paraId="1FC53E16">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（二十四）机关事业单位基本养老保险缴费支出（支出功能分类科目项级）：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反映机关事业单位实施养老保险制度由本单位缴纳的基本养老保险支出。</w:t>
      </w:r>
    </w:p>
    <w:p w14:paraId="3743610B">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（二十五）机关事业单位职业年金缴费支出（支出功能分类科目项级）：</w:t>
      </w:r>
      <w:r>
        <w:rPr>
          <w:rFonts w:hint="default" w:ascii="Times New Roman" w:hAnsi="Times New Roman" w:eastAsia="方正仿宋_GBK" w:cs="Times New Roman"/>
          <w:color w:val="auto"/>
          <w:sz w:val="32"/>
          <w:szCs w:val="32"/>
          <w:shd w:val="clear" w:color="auto" w:fill="FFFFFF"/>
        </w:rPr>
        <w:t>反映机关事业单位实施养老保险制度由本单位缴纳的职业年金支出。</w:t>
      </w:r>
    </w:p>
    <w:p w14:paraId="4076ADD0">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（二十六）死亡抚恤（支出功能分类科目项级）：</w:t>
      </w:r>
      <w:r>
        <w:rPr>
          <w:rFonts w:hint="default" w:ascii="Times New Roman" w:hAnsi="Times New Roman" w:eastAsia="方正仿宋_GBK" w:cs="Times New Roman"/>
          <w:color w:val="auto"/>
          <w:sz w:val="32"/>
          <w:szCs w:val="32"/>
          <w:shd w:val="clear" w:color="auto" w:fill="FFFFFF"/>
        </w:rPr>
        <w:t>反映按规定用于烈士和牺牲、病故人员家属的一次性和定期抚恤金、丧葬补助费以及烈士褒扬金。</w:t>
      </w:r>
    </w:p>
    <w:p w14:paraId="6D34A987">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（二十七）行政单位医疗（支出功能分类科目项级）：</w:t>
      </w:r>
      <w:r>
        <w:rPr>
          <w:rFonts w:hint="default" w:ascii="Times New Roman" w:hAnsi="Times New Roman" w:eastAsia="方正仿宋_GBK" w:cs="Times New Roman"/>
          <w:color w:val="auto"/>
          <w:sz w:val="32"/>
          <w:szCs w:val="32"/>
          <w:shd w:val="clear" w:color="auto" w:fill="FFFFFF"/>
        </w:rPr>
        <w:t>反映财政部门安排的行政单位（包括实行公务员管理的事业单位）基本医疗保险缴费经费，未参加医疗保险的行政单位的公费医疗经费，按国家规定享受离休人员、红军老战士待遇人员的医疗经费。</w:t>
      </w:r>
    </w:p>
    <w:p w14:paraId="092C000A">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楷体_GBK" w:cs="方正楷体_GBK"/>
          <w:b w:val="0"/>
          <w:bCs w:val="0"/>
          <w:color w:val="auto"/>
          <w:kern w:val="0"/>
          <w:sz w:val="32"/>
          <w:szCs w:val="32"/>
          <w:lang w:val="en-US" w:eastAsia="zh-CN" w:bidi="ar-SA"/>
        </w:rPr>
        <w:t>（二十八）事业单位医疗（支出功能分类科目项级）：</w:t>
      </w:r>
      <w:r>
        <w:rPr>
          <w:rFonts w:hint="default" w:ascii="Times New Roman" w:hAnsi="Times New Roman" w:eastAsia="方正仿宋_GBK" w:cs="Times New Roman"/>
          <w:color w:val="auto"/>
          <w:sz w:val="32"/>
          <w:szCs w:val="32"/>
          <w:shd w:val="clear" w:color="auto" w:fill="FFFFFF"/>
        </w:rPr>
        <w:t>反映财政部门安排的事业单位基本医疗保险缴费经费，未参加医疗保险的行政单位的公费医疗经费，按国家规定享受离休人员待遇的医疗经费。</w:t>
      </w:r>
    </w:p>
    <w:p w14:paraId="0EFC19FD">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（二十九）住房公积金（支出功能分类科目项级）：</w:t>
      </w:r>
      <w:r>
        <w:rPr>
          <w:rFonts w:hint="default" w:ascii="Times New Roman" w:hAnsi="Times New Roman" w:eastAsia="方正仿宋_GBK" w:cs="Times New Roman"/>
          <w:color w:val="auto"/>
          <w:sz w:val="32"/>
          <w:szCs w:val="32"/>
          <w:shd w:val="clear" w:color="auto" w:fill="FFFFFF"/>
          <w:lang w:val="en-US" w:eastAsia="zh-CN"/>
        </w:rPr>
        <w:t>反映行政事业单位按人力资源和社会保障部、财政部规定的基本工资和津贴补贴以及规定比例为职工缴纳的住房公积金。</w:t>
      </w:r>
    </w:p>
    <w:p w14:paraId="7FD4364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楷体_GBK" w:cs="方正楷体_GBK"/>
          <w:b w:val="0"/>
          <w:bCs w:val="0"/>
          <w:color w:val="auto"/>
          <w:kern w:val="0"/>
          <w:sz w:val="32"/>
          <w:szCs w:val="32"/>
          <w:lang w:val="en-US" w:eastAsia="zh-CN" w:bidi="ar-SA"/>
        </w:rPr>
        <w:t>（三十）购房补贴（支出功能分类科目项级）：</w:t>
      </w:r>
      <w:r>
        <w:rPr>
          <w:rFonts w:hint="default" w:ascii="Times New Roman" w:hAnsi="Times New Roman" w:eastAsia="方正仿宋_GBK" w:cs="Times New Roman"/>
          <w:color w:val="auto"/>
          <w:sz w:val="32"/>
          <w:szCs w:val="32"/>
          <w:shd w:val="clear" w:color="auto" w:fill="FFFFFF"/>
          <w:lang w:val="en-US" w:eastAsia="zh-CN"/>
        </w:rPr>
        <w:t>反映按房改政策规定，行政事业单位向符合条件职工（含离退休人员）、军队（含武警）向转役复员离退休人员发放的用于购买住房的补贴。</w:t>
      </w:r>
    </w:p>
    <w:p w14:paraId="2E07D875">
      <w:pPr>
        <w:pStyle w:val="12"/>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决算公开联系方式及信息反馈渠道</w:t>
      </w:r>
    </w:p>
    <w:p w14:paraId="67666F7B">
      <w:pPr>
        <w:pStyle w:val="4"/>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本单位决算公开信息反馈和联系方式：023-63765213</w:t>
      </w:r>
    </w:p>
    <w:p w14:paraId="6D31B894">
      <w:pPr>
        <w:keepNext w:val="0"/>
        <w:keepLines w:val="0"/>
        <w:pageBreakBefore w:val="0"/>
        <w:kinsoku/>
        <w:wordWrap/>
        <w:overflowPunct/>
        <w:topLinePunct w:val="0"/>
        <w:autoSpaceDN/>
        <w:bidi w:val="0"/>
        <w:adjustRightInd/>
        <w:spacing w:line="594" w:lineRule="exact"/>
        <w:textAlignment w:val="auto"/>
        <w:rPr>
          <w:rFonts w:ascii="Times New Roman" w:hAnsi="Times New Roman"/>
        </w:rPr>
        <w:sectPr>
          <w:footerReference r:id="rId3" w:type="default"/>
          <w:pgSz w:w="11906" w:h="16838"/>
          <w:pgMar w:top="1984" w:right="1446" w:bottom="1644" w:left="1446" w:header="851" w:footer="992" w:gutter="0"/>
          <w:pgNumType w:fmt="decimal"/>
          <w:cols w:space="425" w:num="1"/>
          <w:docGrid w:type="lines" w:linePitch="312" w:charSpace="0"/>
        </w:sect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711"/>
        <w:gridCol w:w="3074"/>
        <w:gridCol w:w="3494"/>
        <w:gridCol w:w="2455"/>
      </w:tblGrid>
      <w:tr w14:paraId="7C9C7B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F6499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C1E01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146E68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2CB249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C5DD64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124DC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C6CD94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353794C">
            <w:pPr>
              <w:spacing w:line="280" w:lineRule="exact"/>
              <w:rPr>
                <w:rFonts w:hint="default" w:ascii="Arial" w:hAnsi="Arial" w:cs="Arial"/>
                <w:color w:val="000000"/>
                <w:sz w:val="22"/>
                <w:szCs w:val="22"/>
              </w:rPr>
            </w:pPr>
            <w:r>
              <w:rPr>
                <w:rFonts w:cs="宋体"/>
                <w:sz w:val="20"/>
                <w:szCs w:val="20"/>
              </w:rPr>
              <w:t>部门：</w:t>
            </w:r>
            <w:r>
              <w:rPr>
                <w:sz w:val="20"/>
                <w:u w:color="auto"/>
              </w:rPr>
              <w:t>重庆市渝中区政协社情民意信息中心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74B00E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10AC43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68BD1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7AE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5C5EC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3CBA5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DA9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7A6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74B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610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5E468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B9A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51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4BF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79D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r>
      <w:tr w14:paraId="379E48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CFA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0AD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85D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C8D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CEA7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ED6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25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0DE3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54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25E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886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290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ABC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E13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29E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E80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34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7A16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BC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6B60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004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E29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CE7E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CF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E3D1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9F4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561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2694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80E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D4E5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873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29C8C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EEC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11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w:t>
            </w:r>
            <w:r>
              <w:rPr>
                <w:rFonts w:ascii="Times New Roman" w:hAnsi="Times New Roman"/>
                <w:color w:val="000000"/>
                <w:sz w:val="20"/>
                <w:u w:color="auto"/>
              </w:rPr>
              <w:t xml:space="preserve"> </w:t>
            </w:r>
          </w:p>
        </w:tc>
      </w:tr>
      <w:tr w14:paraId="44548E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43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52F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5052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1D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r>
      <w:tr w14:paraId="24D440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75A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215E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E81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9B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440C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B73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A1A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5BD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F7F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DEDA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3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279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439F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5C1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18E3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80F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97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C648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74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A535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A5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4CE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CD01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5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7ECD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28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C14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78D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56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64E8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340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83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0F08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824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6582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6B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E4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80C2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63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539D3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CB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E13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AFE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5FE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1A59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3B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C6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2B15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361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r>
      <w:tr w14:paraId="6CE224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7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C7A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B26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C1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F15C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5F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4D8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43A8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93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DD12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3F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0A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F7C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6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8BCD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72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C24A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2A57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2A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DAC2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1C18">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93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B1E0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72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D02E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1F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F0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78B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7D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F227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04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36A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726D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B0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4318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EE1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BDC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047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83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u w:color="auto"/>
              </w:rPr>
              <w:t xml:space="preserve"> </w:t>
            </w:r>
          </w:p>
        </w:tc>
      </w:tr>
      <w:tr w14:paraId="34E895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5F8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927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B74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30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EDB9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CE6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DF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263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993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90F94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F44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45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D646AA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97A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14.51</w:t>
            </w:r>
            <w:r>
              <w:rPr>
                <w:rFonts w:ascii="Times New Roman" w:hAnsi="Times New Roman"/>
                <w:color w:val="000000"/>
                <w:sz w:val="20"/>
                <w:u w:color="auto"/>
              </w:rPr>
              <w:t xml:space="preserve"> </w:t>
            </w:r>
          </w:p>
        </w:tc>
      </w:tr>
    </w:tbl>
    <w:p w14:paraId="36491161">
      <w:pPr>
        <w:rPr>
          <w:rFonts w:hint="default" w:cs="宋体"/>
          <w:sz w:val="21"/>
          <w:szCs w:val="21"/>
        </w:rPr>
      </w:pPr>
    </w:p>
    <w:p w14:paraId="10AC30AC">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177"/>
        <w:gridCol w:w="2569"/>
        <w:gridCol w:w="1190"/>
        <w:gridCol w:w="1235"/>
        <w:gridCol w:w="1264"/>
        <w:gridCol w:w="1171"/>
        <w:gridCol w:w="1198"/>
        <w:gridCol w:w="1085"/>
        <w:gridCol w:w="1085"/>
        <w:gridCol w:w="1422"/>
      </w:tblGrid>
      <w:tr w14:paraId="49AF2F1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911362">
            <w:pPr>
              <w:jc w:val="center"/>
              <w:textAlignment w:val="bottom"/>
              <w:rPr>
                <w:rFonts w:hint="default" w:cs="宋体"/>
                <w:b/>
                <w:color w:val="000000"/>
                <w:sz w:val="32"/>
                <w:szCs w:val="32"/>
              </w:rPr>
            </w:pPr>
            <w:r>
              <w:rPr>
                <w:rFonts w:cs="宋体"/>
                <w:b/>
                <w:color w:val="000000"/>
                <w:sz w:val="32"/>
                <w:szCs w:val="32"/>
              </w:rPr>
              <w:t>收入决算表</w:t>
            </w:r>
          </w:p>
        </w:tc>
      </w:tr>
      <w:tr w14:paraId="18A3BFA5">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5DFE7D6E">
            <w:pPr>
              <w:spacing w:line="280" w:lineRule="exact"/>
              <w:rPr>
                <w:rFonts w:hint="default" w:cs="宋体"/>
                <w:color w:val="000000"/>
                <w:sz w:val="20"/>
                <w:szCs w:val="20"/>
              </w:rPr>
            </w:pPr>
            <w:r>
              <w:rPr>
                <w:rFonts w:cs="宋体"/>
                <w:sz w:val="20"/>
                <w:szCs w:val="20"/>
              </w:rPr>
              <w:t>部门：</w:t>
            </w:r>
            <w:r>
              <w:rPr>
                <w:sz w:val="20"/>
                <w:u w:color="auto"/>
              </w:rPr>
              <w:t>重庆市渝中区政协社情民意信息中心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0238ECE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32E947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2BC39D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6BDDA8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28C1B7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DA9D6A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98403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C5C5F0A">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141E15F">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C83E6B3">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CA7526E">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FC0D1B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9F0177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D8F7F8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8A648D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EF4CB6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FB0818">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F95AE2F">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57B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C8ED">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EAF9">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D7CB4">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BC7F">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618F">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4D7C">
            <w:pPr>
              <w:jc w:val="center"/>
              <w:textAlignment w:val="center"/>
              <w:rPr>
                <w:rFonts w:hint="default" w:cs="宋体"/>
                <w:b/>
                <w:color w:val="000000"/>
                <w:sz w:val="20"/>
                <w:szCs w:val="20"/>
              </w:rPr>
            </w:pPr>
            <w:r>
              <w:rPr>
                <w:rFonts w:cs="宋体"/>
                <w:b/>
                <w:color w:val="000000"/>
                <w:sz w:val="20"/>
                <w:szCs w:val="20"/>
              </w:rPr>
              <w:t>其他收入</w:t>
            </w:r>
          </w:p>
        </w:tc>
      </w:tr>
      <w:tr w14:paraId="2E8E95C4">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E57F">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01AA0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F81E3">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BB43">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A02A">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2390">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D11C">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128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B1C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EB90">
            <w:pPr>
              <w:jc w:val="center"/>
              <w:rPr>
                <w:rFonts w:hint="default" w:cs="宋体"/>
                <w:b/>
                <w:color w:val="000000"/>
                <w:sz w:val="20"/>
                <w:szCs w:val="20"/>
              </w:rPr>
            </w:pPr>
          </w:p>
        </w:tc>
      </w:tr>
      <w:tr w14:paraId="43C7BC4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5214">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D02D5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41B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CC3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AF6F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3BA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00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E5D2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51CD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50E2">
            <w:pPr>
              <w:jc w:val="center"/>
              <w:rPr>
                <w:rFonts w:hint="default" w:cs="宋体"/>
                <w:b/>
                <w:color w:val="000000"/>
                <w:sz w:val="20"/>
                <w:szCs w:val="20"/>
              </w:rPr>
            </w:pPr>
          </w:p>
        </w:tc>
      </w:tr>
      <w:tr w14:paraId="404F3FE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F27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D89E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884E">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27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8B1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92A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85D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B8D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BCF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A92DB">
            <w:pPr>
              <w:jc w:val="center"/>
              <w:rPr>
                <w:rFonts w:hint="default" w:cs="宋体"/>
                <w:b/>
                <w:color w:val="000000"/>
                <w:sz w:val="20"/>
                <w:szCs w:val="20"/>
              </w:rPr>
            </w:pPr>
          </w:p>
        </w:tc>
      </w:tr>
      <w:tr w14:paraId="339A2879">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693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179A54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A4BFE">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6B97">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7D0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087DE">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38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C09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5CD3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4AB20">
            <w:pPr>
              <w:jc w:val="center"/>
              <w:rPr>
                <w:rFonts w:hint="default" w:cs="宋体"/>
                <w:b/>
                <w:color w:val="000000"/>
                <w:sz w:val="20"/>
                <w:szCs w:val="20"/>
              </w:rPr>
            </w:pPr>
          </w:p>
        </w:tc>
      </w:tr>
      <w:tr w14:paraId="175A64CF">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A1C5">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AD9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DC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793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86E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701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6A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45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966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43A09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A7E5">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639A9">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3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7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4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B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9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1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3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8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D89A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6BD1">
            <w:pPr>
              <w:textAlignment w:val="center"/>
              <w:rPr>
                <w:rFonts w:hint="default" w:cs="宋体"/>
                <w:color w:val="000000"/>
                <w:sz w:val="20"/>
                <w:szCs w:val="20"/>
              </w:rPr>
            </w:pPr>
            <w:r>
              <w:rPr>
                <w:rFonts w:cs="宋体"/>
                <w:b/>
                <w:color w:val="000000"/>
                <w:sz w:val="20"/>
                <w:szCs w:val="20"/>
              </w:rPr>
              <w:t>20102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1B631">
            <w:pPr>
              <w:textAlignment w:val="center"/>
              <w:rPr>
                <w:rFonts w:hint="default" w:cs="宋体"/>
                <w:color w:val="000000"/>
                <w:sz w:val="20"/>
                <w:szCs w:val="20"/>
              </w:rPr>
            </w:pPr>
            <w:r>
              <w:rPr>
                <w:rFonts w:cs="宋体"/>
                <w:b/>
                <w:color w:val="000000"/>
                <w:sz w:val="20"/>
                <w:szCs w:val="20"/>
              </w:rPr>
              <w:t>政协事务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8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A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7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D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0E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2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7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0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ECFA4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FC34">
            <w:pPr>
              <w:textAlignment w:val="center"/>
              <w:rPr>
                <w:rFonts w:hint="default" w:cs="宋体"/>
                <w:color w:val="000000"/>
                <w:sz w:val="20"/>
                <w:szCs w:val="20"/>
              </w:rPr>
            </w:pPr>
            <w:r>
              <w:rPr>
                <w:rFonts w:cs="宋体"/>
                <w:color w:val="000000"/>
                <w:sz w:val="20"/>
                <w:szCs w:val="20"/>
              </w:rPr>
              <w:t>2010250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06FF">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C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A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6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4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1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F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1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ECC1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5D14">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DFCA5">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E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B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F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8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1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E2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9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4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CCC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131">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A9890">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9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7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1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8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F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8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D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6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7CDD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8505">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49DC7">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1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A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F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4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B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0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B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3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055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CBFC">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AC945">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2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E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6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F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5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A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5C1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FFFE">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92038">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F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B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4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0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C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F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5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09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FC85">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99916">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2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4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5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B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47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E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4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8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9294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EB2D">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79E9">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B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9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9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9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A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2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7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D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1331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F4DB">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C286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1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1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0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A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0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6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B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B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ABC1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A8AF">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CA3B4">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1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0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3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A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D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E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0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C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9127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601C">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B9B6">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B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82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3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1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7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3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D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BD4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3B45">
            <w:pPr>
              <w:textAlignment w:val="center"/>
              <w:rPr>
                <w:rFonts w:hint="default" w:cs="宋体"/>
                <w:color w:val="000000"/>
                <w:sz w:val="20"/>
                <w:szCs w:val="20"/>
              </w:rPr>
            </w:pPr>
            <w:r>
              <w:rPr>
                <w:rFonts w:cs="宋体"/>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53B5">
            <w:pPr>
              <w:textAlignment w:val="center"/>
              <w:rPr>
                <w:rFonts w:hint="default" w:cs="宋体"/>
                <w:color w:val="000000"/>
                <w:sz w:val="20"/>
                <w:szCs w:val="20"/>
              </w:rPr>
            </w:pPr>
            <w:r>
              <w:rPr>
                <w:rFonts w:cs="宋体"/>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0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A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3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5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6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D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D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8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2190E0">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1C9D223">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066"/>
        <w:gridCol w:w="3384"/>
        <w:gridCol w:w="1555"/>
        <w:gridCol w:w="1502"/>
        <w:gridCol w:w="1356"/>
        <w:gridCol w:w="1303"/>
        <w:gridCol w:w="1443"/>
        <w:gridCol w:w="1631"/>
      </w:tblGrid>
      <w:tr w14:paraId="0BDBF0C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F3BD1C">
            <w:pPr>
              <w:jc w:val="center"/>
              <w:textAlignment w:val="bottom"/>
              <w:rPr>
                <w:rFonts w:hint="default" w:cs="宋体"/>
                <w:b/>
                <w:color w:val="000000"/>
                <w:sz w:val="32"/>
                <w:szCs w:val="32"/>
              </w:rPr>
            </w:pPr>
            <w:r>
              <w:rPr>
                <w:rFonts w:cs="宋体"/>
                <w:b/>
                <w:color w:val="000000"/>
                <w:sz w:val="32"/>
                <w:szCs w:val="32"/>
              </w:rPr>
              <w:t>支出决算表</w:t>
            </w:r>
          </w:p>
        </w:tc>
      </w:tr>
      <w:tr w14:paraId="168F355E">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7128D4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重庆市渝中区政协社情民意信息中心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099F59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34B2367">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75AAC6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B61B3A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527D4F7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9EF5BF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FAFEC23">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4485D2D5">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5AD7684">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23D9DAD">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30D5E9C">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9DD3DE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77344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E9D01F">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894C">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AD78">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1ACD">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3E256">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F2EF">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2D49">
            <w:pPr>
              <w:jc w:val="center"/>
              <w:textAlignment w:val="center"/>
              <w:rPr>
                <w:rFonts w:hint="default" w:cs="宋体"/>
                <w:b/>
                <w:color w:val="000000"/>
                <w:sz w:val="20"/>
                <w:szCs w:val="20"/>
              </w:rPr>
            </w:pPr>
            <w:r>
              <w:rPr>
                <w:rFonts w:cs="宋体"/>
                <w:b/>
                <w:color w:val="000000"/>
                <w:sz w:val="20"/>
                <w:szCs w:val="20"/>
              </w:rPr>
              <w:t>对附属单位补助支出</w:t>
            </w:r>
          </w:p>
        </w:tc>
      </w:tr>
      <w:tr w14:paraId="3AC5259A">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6DBB">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49122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111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A4606">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287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AC319">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736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C148D">
            <w:pPr>
              <w:jc w:val="center"/>
              <w:rPr>
                <w:rFonts w:hint="default" w:cs="宋体"/>
                <w:b/>
                <w:color w:val="000000"/>
                <w:sz w:val="20"/>
                <w:szCs w:val="20"/>
              </w:rPr>
            </w:pPr>
          </w:p>
        </w:tc>
      </w:tr>
      <w:tr w14:paraId="0A8C37B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9F1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BEF32D">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003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318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10F5">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11E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3BA7">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5773">
            <w:pPr>
              <w:jc w:val="center"/>
              <w:rPr>
                <w:rFonts w:hint="default" w:cs="宋体"/>
                <w:b/>
                <w:color w:val="000000"/>
                <w:sz w:val="20"/>
                <w:szCs w:val="20"/>
              </w:rPr>
            </w:pPr>
          </w:p>
        </w:tc>
      </w:tr>
      <w:tr w14:paraId="3DE94DF2">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80C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37FF7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CDB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88F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2EA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66077">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879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358E">
            <w:pPr>
              <w:jc w:val="center"/>
              <w:rPr>
                <w:rFonts w:hint="default" w:cs="宋体"/>
                <w:b/>
                <w:color w:val="000000"/>
                <w:sz w:val="20"/>
                <w:szCs w:val="20"/>
              </w:rPr>
            </w:pPr>
          </w:p>
        </w:tc>
      </w:tr>
      <w:tr w14:paraId="4331BCC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CC6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017F85">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5F0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8E7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16C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AC74">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5464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168D">
            <w:pPr>
              <w:jc w:val="center"/>
              <w:rPr>
                <w:rFonts w:hint="default" w:cs="宋体"/>
                <w:b/>
                <w:color w:val="000000"/>
                <w:sz w:val="20"/>
                <w:szCs w:val="20"/>
              </w:rPr>
            </w:pPr>
          </w:p>
        </w:tc>
      </w:tr>
      <w:tr w14:paraId="1719A3F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B631">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C14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14.51</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C5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CB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5FE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36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34A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7CAF8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6D86">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40D5">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B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7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0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4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E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8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EB74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7377">
            <w:pPr>
              <w:textAlignment w:val="center"/>
              <w:rPr>
                <w:rFonts w:hint="default" w:cs="宋体"/>
                <w:color w:val="000000"/>
                <w:sz w:val="20"/>
                <w:szCs w:val="20"/>
              </w:rPr>
            </w:pPr>
            <w:r>
              <w:rPr>
                <w:rFonts w:cs="宋体"/>
                <w:b/>
                <w:color w:val="000000"/>
                <w:sz w:val="20"/>
                <w:szCs w:val="20"/>
              </w:rPr>
              <w:t>20102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F634">
            <w:pPr>
              <w:textAlignment w:val="center"/>
              <w:rPr>
                <w:rFonts w:hint="default" w:cs="宋体"/>
                <w:color w:val="000000"/>
                <w:sz w:val="20"/>
                <w:szCs w:val="20"/>
              </w:rPr>
            </w:pPr>
            <w:r>
              <w:rPr>
                <w:rFonts w:cs="宋体"/>
                <w:b/>
                <w:color w:val="000000"/>
                <w:sz w:val="20"/>
                <w:szCs w:val="20"/>
              </w:rPr>
              <w:t>政协事务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D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B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4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8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BA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9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D92DB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5702">
            <w:pPr>
              <w:textAlignment w:val="center"/>
              <w:rPr>
                <w:rFonts w:hint="default" w:cs="宋体"/>
                <w:color w:val="000000"/>
                <w:sz w:val="20"/>
                <w:szCs w:val="20"/>
              </w:rPr>
            </w:pPr>
            <w:r>
              <w:rPr>
                <w:rFonts w:cs="宋体"/>
                <w:color w:val="000000"/>
                <w:sz w:val="20"/>
                <w:szCs w:val="20"/>
              </w:rPr>
              <w:t>2010250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AB3B7">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B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E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3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2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A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3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0323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4886">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D6543">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A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0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8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F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2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8FB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610B">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05CB">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9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1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6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D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7F9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C38F">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F57FF">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D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6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3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B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A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F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390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6A6F">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57950">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3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9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6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4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2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5A8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5BA7">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CADD">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4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8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9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28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B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6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BD52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3F8D">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944B">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8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1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B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7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A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D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2360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50EF">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F639">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7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0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9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5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5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D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BADA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B90D">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DFCF3">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9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C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6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2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6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8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800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7568">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C86B">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A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D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8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6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D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5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BB01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1CF7">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80310">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E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0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0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C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A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7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30A4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98F0">
            <w:pPr>
              <w:textAlignment w:val="center"/>
              <w:rPr>
                <w:rFonts w:hint="default" w:cs="宋体"/>
                <w:color w:val="000000"/>
                <w:sz w:val="20"/>
                <w:szCs w:val="20"/>
              </w:rPr>
            </w:pPr>
            <w:r>
              <w:rPr>
                <w:rFonts w:cs="宋体"/>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51F7">
            <w:pPr>
              <w:textAlignment w:val="center"/>
              <w:rPr>
                <w:rFonts w:hint="default" w:cs="宋体"/>
                <w:color w:val="000000"/>
                <w:sz w:val="20"/>
                <w:szCs w:val="20"/>
              </w:rPr>
            </w:pPr>
            <w:r>
              <w:rPr>
                <w:rFonts w:cs="宋体"/>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3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FF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8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5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6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8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CF22ED">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152B40">
      <w:pPr>
        <w:rPr>
          <w:rFonts w:hint="default" w:cs="宋体"/>
          <w:sz w:val="21"/>
          <w:szCs w:val="21"/>
        </w:rPr>
      </w:pPr>
      <w:r>
        <w:rPr>
          <w:rFonts w:cs="宋体"/>
          <w:sz w:val="21"/>
          <w:szCs w:val="21"/>
        </w:rPr>
        <w:br w:type="page"/>
      </w:r>
    </w:p>
    <w:p w14:paraId="15E69467">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564"/>
        <w:gridCol w:w="1314"/>
        <w:gridCol w:w="2747"/>
        <w:gridCol w:w="1464"/>
        <w:gridCol w:w="1464"/>
        <w:gridCol w:w="1464"/>
        <w:gridCol w:w="1667"/>
      </w:tblGrid>
      <w:tr w14:paraId="6F99539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2073D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67AF50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046EE7F">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重庆市渝中区政协社情民意信息中心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D03FFE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05EF8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E9BC3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40D55E">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F6DF65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886993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ED7E2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263B9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F6232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4C28E75">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552DE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767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0F0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BC1D85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D8C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28D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C622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509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323D06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F79C0">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A8BD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A21A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54E5">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B18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CAA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37B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D77F7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FFA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35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17C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50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65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8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9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C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6E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8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621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8E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F3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2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1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1EE5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FE4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D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AC2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7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9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0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7B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03E5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C7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D306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340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1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F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5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5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D8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B9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F37A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A66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1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9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E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1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25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60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44031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E77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2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A8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5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5C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1A7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6EB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031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442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0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A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6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D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138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ED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F8A1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1C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F0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1E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F5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2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130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0D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54A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260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6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FD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E2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3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AF0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8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57E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C4E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D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6B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02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EE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1FF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CB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13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5D4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0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0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2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3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194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6E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E7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E3C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2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3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4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DB1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35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9B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617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82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F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77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F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9D2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D4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CA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1AD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87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C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3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2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401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871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9B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7C4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2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C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A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88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32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32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1E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184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5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A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A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D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A15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4C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5EA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79C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3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6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A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C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0E6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92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09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55D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3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4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9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E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2BC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03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8B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8D3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40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48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A7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A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7C4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18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C2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C4B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3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B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36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A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D6E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AE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B5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0E9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F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9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A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C7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802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46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F1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F9D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1F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54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8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2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C731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16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C0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673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4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C1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F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B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6CC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DBA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F9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0CA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5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0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0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B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A646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A65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B0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F562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99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2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0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4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994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A6A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C5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C23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B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09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7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B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BEE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053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A9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FC5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3D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A9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07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0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E0D2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C17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CC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925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5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E7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1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1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9EC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6F9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30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9175C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B8F7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A00A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39C4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AC699">
            <w:pPr>
              <w:spacing w:line="200" w:lineRule="exact"/>
              <w:rPr>
                <w:rFonts w:hint="default" w:ascii="Times New Roman" w:hAnsi="Times New Roman"/>
                <w:color w:val="000000"/>
                <w:sz w:val="18"/>
                <w:szCs w:val="18"/>
              </w:rPr>
            </w:pPr>
          </w:p>
        </w:tc>
      </w:tr>
      <w:tr w14:paraId="2607EC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60B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3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A15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3D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175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3E2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4DFF">
            <w:pPr>
              <w:spacing w:line="200" w:lineRule="exact"/>
              <w:jc w:val="right"/>
              <w:rPr>
                <w:rFonts w:hint="default" w:ascii="Times New Roman" w:hAnsi="Times New Roman"/>
                <w:color w:val="000000"/>
                <w:sz w:val="18"/>
                <w:szCs w:val="18"/>
              </w:rPr>
            </w:pPr>
          </w:p>
        </w:tc>
      </w:tr>
      <w:tr w14:paraId="02CCB6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1AD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6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31C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C01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591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E50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BFFA">
            <w:pPr>
              <w:spacing w:line="200" w:lineRule="exact"/>
              <w:jc w:val="right"/>
              <w:rPr>
                <w:rFonts w:hint="default" w:ascii="Times New Roman" w:hAnsi="Times New Roman"/>
                <w:color w:val="000000"/>
                <w:sz w:val="18"/>
                <w:szCs w:val="18"/>
              </w:rPr>
            </w:pPr>
          </w:p>
        </w:tc>
      </w:tr>
      <w:tr w14:paraId="2091A7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873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2C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1CD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9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E5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4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2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D68EF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28"/>
        <w:gridCol w:w="3519"/>
        <w:gridCol w:w="2857"/>
        <w:gridCol w:w="2849"/>
        <w:gridCol w:w="2887"/>
      </w:tblGrid>
      <w:tr w14:paraId="6BCC830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9FF5F3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77D9BD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EA3745C">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重庆市渝中区政协社情民意信息中心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430467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28FC7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FFDB6E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483432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733C48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63153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AF288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F74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D3AC6A">
            <w:pPr>
              <w:jc w:val="center"/>
              <w:textAlignment w:val="center"/>
              <w:rPr>
                <w:rFonts w:hint="default" w:cs="宋体"/>
                <w:b/>
                <w:color w:val="000000"/>
                <w:sz w:val="20"/>
                <w:szCs w:val="20"/>
              </w:rPr>
            </w:pPr>
            <w:r>
              <w:rPr>
                <w:rFonts w:cs="宋体"/>
                <w:b/>
                <w:color w:val="000000"/>
                <w:sz w:val="20"/>
                <w:szCs w:val="20"/>
              </w:rPr>
              <w:t>本年支出</w:t>
            </w:r>
          </w:p>
        </w:tc>
      </w:tr>
      <w:tr w14:paraId="166C158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FC1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773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89FC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4451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566C">
            <w:pPr>
              <w:jc w:val="center"/>
              <w:textAlignment w:val="center"/>
              <w:rPr>
                <w:rFonts w:hint="default" w:cs="宋体"/>
                <w:b/>
                <w:color w:val="000000"/>
                <w:sz w:val="20"/>
                <w:szCs w:val="20"/>
              </w:rPr>
            </w:pPr>
            <w:r>
              <w:rPr>
                <w:rFonts w:cs="宋体"/>
                <w:b/>
                <w:color w:val="000000"/>
                <w:sz w:val="20"/>
                <w:szCs w:val="20"/>
              </w:rPr>
              <w:t>项目支出</w:t>
            </w:r>
          </w:p>
        </w:tc>
      </w:tr>
      <w:tr w14:paraId="471927F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465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E06A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F009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8736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51323">
            <w:pPr>
              <w:jc w:val="center"/>
              <w:rPr>
                <w:rFonts w:hint="default" w:cs="宋体"/>
                <w:b/>
                <w:color w:val="000000"/>
                <w:sz w:val="20"/>
                <w:szCs w:val="20"/>
              </w:rPr>
            </w:pPr>
          </w:p>
        </w:tc>
      </w:tr>
      <w:tr w14:paraId="0382DC6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F80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DE60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324D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32DA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6DE82">
            <w:pPr>
              <w:jc w:val="center"/>
              <w:rPr>
                <w:rFonts w:hint="default" w:cs="宋体"/>
                <w:b/>
                <w:color w:val="000000"/>
                <w:sz w:val="20"/>
                <w:szCs w:val="20"/>
              </w:rPr>
            </w:pPr>
          </w:p>
        </w:tc>
      </w:tr>
      <w:tr w14:paraId="362C171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0CB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4B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5F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D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A77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224A">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057AB">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A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E4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6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8D06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34AB">
            <w:pPr>
              <w:textAlignment w:val="center"/>
              <w:rPr>
                <w:rFonts w:hint="default" w:cs="宋体"/>
                <w:color w:val="000000"/>
                <w:sz w:val="20"/>
                <w:szCs w:val="20"/>
              </w:rPr>
            </w:pPr>
            <w:r>
              <w:rPr>
                <w:rFonts w:cs="宋体"/>
                <w:b/>
                <w:color w:val="000000"/>
                <w:sz w:val="20"/>
                <w:szCs w:val="20"/>
              </w:rPr>
              <w:t>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C89F1">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95F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7A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A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DDFF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82E2">
            <w:pPr>
              <w:textAlignment w:val="center"/>
              <w:rPr>
                <w:rFonts w:hint="default" w:cs="宋体"/>
                <w:color w:val="000000"/>
                <w:sz w:val="20"/>
                <w:szCs w:val="20"/>
              </w:rPr>
            </w:pPr>
            <w:r>
              <w:rPr>
                <w:rFonts w:cs="宋体"/>
                <w:color w:val="000000"/>
                <w:sz w:val="20"/>
                <w:szCs w:val="20"/>
              </w:rPr>
              <w:t>2010250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2F5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5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2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D66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020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829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BFD0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86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A1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8A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653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F46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A64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3C6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A97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2D2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67BC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124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A15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57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22C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36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61A0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515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7E6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606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F8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24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977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80D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09A6">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9AF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A6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BCE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7B84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4C8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280B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AD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E1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47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F951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0C1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B29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8D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12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B0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D8C5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4FD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B795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9C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6D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2CE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1B09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42D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A0E5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7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03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50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449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6E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71E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E7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88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F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B15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5E29">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1F75">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2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45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2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FABFF8">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C3EC35">
      <w:pPr>
        <w:ind w:firstLine="630" w:firstLineChars="300"/>
        <w:rPr>
          <w:rFonts w:hint="default" w:cs="宋体"/>
          <w:sz w:val="21"/>
          <w:szCs w:val="21"/>
        </w:rPr>
      </w:pPr>
      <w:r>
        <w:rPr>
          <w:rFonts w:cs="宋体"/>
          <w:sz w:val="21"/>
          <w:szCs w:val="21"/>
        </w:rPr>
        <w:br w:type="page"/>
      </w:r>
    </w:p>
    <w:tbl>
      <w:tblPr>
        <w:tblStyle w:val="5"/>
        <w:tblW w:w="4994" w:type="pct"/>
        <w:tblInd w:w="0" w:type="dxa"/>
        <w:tblLayout w:type="autofit"/>
        <w:tblCellMar>
          <w:top w:w="0" w:type="dxa"/>
          <w:left w:w="0" w:type="dxa"/>
          <w:bottom w:w="0" w:type="dxa"/>
          <w:right w:w="0" w:type="dxa"/>
        </w:tblCellMar>
      </w:tblPr>
      <w:tblGrid>
        <w:gridCol w:w="553"/>
        <w:gridCol w:w="2730"/>
        <w:gridCol w:w="1191"/>
        <w:gridCol w:w="615"/>
        <w:gridCol w:w="1830"/>
        <w:gridCol w:w="1086"/>
        <w:gridCol w:w="615"/>
        <w:gridCol w:w="3450"/>
        <w:gridCol w:w="1154"/>
      </w:tblGrid>
      <w:tr w14:paraId="1B35D35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4DA7D8">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57299B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54C4D9C">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重庆市渝中区政协社情民意信息中心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001126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457787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C2592B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3A6215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491A9B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CDEEDAA">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71E8467">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058AA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C1C48E2">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6D368A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FA25A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95B2">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5A756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2ED0CF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B7A3">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84D7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2BC0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13D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EFCD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8B0B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EF2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C49A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9BB4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707375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52B7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503CB">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79601">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9AD4">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DE80C">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20EF7">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A564">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987AA">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FB177">
            <w:pPr>
              <w:spacing w:line="192" w:lineRule="exact"/>
              <w:jc w:val="center"/>
              <w:rPr>
                <w:rFonts w:hint="default" w:cs="宋体"/>
                <w:b/>
                <w:color w:val="000000"/>
                <w:sz w:val="18"/>
                <w:szCs w:val="18"/>
              </w:rPr>
            </w:pPr>
          </w:p>
        </w:tc>
      </w:tr>
      <w:tr w14:paraId="07D45E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1FC1">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D381">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9E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9C20">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015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03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EAC0">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DB5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794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423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15">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63F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F2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079D">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872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B1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6DE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5BA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C8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DE2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5AF3">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DD22">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EF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AB5A">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8BEB">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B8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2ED8">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1B1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06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66F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5B69">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8D5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F1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A32D">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A2C1">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A4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C420">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D5A6">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3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2C9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3BB8">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179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9A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0EF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0B4E">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BE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FCB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125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84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565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8D14">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F0C4">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6B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F207">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F201">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D6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E165">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2FA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65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069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D4B3">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8B6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50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1A20">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23C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6C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55E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5369">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6E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E15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A6FA">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8874">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43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5F17">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C0A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C8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6DB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49B3">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70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0828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C258">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774E">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7CC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1D1A">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FB3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6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8F19">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701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C3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57CF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05AB">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02E0">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6A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F620">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C79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82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75B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D833">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A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D58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AE6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4A6F">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DF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8607">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DCE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D2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398E">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7870">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B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CE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8AC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3C03">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D9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6567">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6F91">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B5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E8E3">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186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64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360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0133">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6E4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EC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BACB">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7F5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1A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9F3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67CB">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FF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3BD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D958">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6ECA">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AD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2E8B">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C5B3">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12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5FA4">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A75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1A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EB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38D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A93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E5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62FA">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257D">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90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29A6">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DBB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53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8D26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ED13">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ED6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A4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7689">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D710">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A2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7F6A">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75C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AB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412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4604">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3385">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1B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C98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362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2D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D0E8">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B71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5D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711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B1B1">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626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59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02F7">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583D">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CE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680A">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AF4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C1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49E0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AF1C">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1D7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6E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B9EA">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1BC8">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DD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CE9F">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C38C">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02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E8D0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300F">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4AC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9B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66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1FC3">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54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62DD">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DC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93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4CF8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DB0D">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417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11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8A98">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97E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0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046F">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5F73">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97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09A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B6">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758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3B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2409">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7F3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59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DD58">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C43E">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8C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2AF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521B">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047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8D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11E6">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B14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D3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8A7D">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75C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0D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774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E4E4">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9020">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41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9BA3">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72D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DF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4821">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38E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D5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F47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52A4">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B9A3">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93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B05B">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82B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9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FE3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1CDF">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AD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96C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AAF9">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3705">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E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5CE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6003">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5D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049C">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E79B">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05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5F0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1604">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89E2">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1C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7AC8">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6C9F">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FE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1A01">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5B2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60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F95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651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3AA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8A4E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730E">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87E5">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92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886A">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4AD7">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1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9E5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F03F">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EC1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3F3B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2920">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E54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8B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3F8A">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8E3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E8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462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D6C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A0F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C3402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67DB">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D733">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15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1C14">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DE3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99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4CB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90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735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047E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FAD4">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FEB2">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FE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0F3A">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3C4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2526">
            <w:pPr>
              <w:spacing w:line="192" w:lineRule="exact"/>
              <w:jc w:val="right"/>
              <w:rPr>
                <w:rFonts w:hint="default" w:ascii="Times New Roman" w:hAnsi="Times New Roman"/>
                <w:color w:val="000000"/>
                <w:sz w:val="18"/>
                <w:szCs w:val="18"/>
              </w:rPr>
            </w:pPr>
          </w:p>
        </w:tc>
      </w:tr>
      <w:tr w14:paraId="2E78C2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606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986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4906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2164">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B88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FA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FB7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CA7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41C7">
            <w:pPr>
              <w:spacing w:line="192" w:lineRule="exact"/>
              <w:jc w:val="right"/>
              <w:rPr>
                <w:rFonts w:hint="default" w:ascii="Times New Roman" w:hAnsi="Times New Roman"/>
                <w:color w:val="000000"/>
                <w:sz w:val="18"/>
                <w:szCs w:val="18"/>
              </w:rPr>
            </w:pPr>
          </w:p>
        </w:tc>
      </w:tr>
      <w:tr w14:paraId="43731FA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8BF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3BD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BE188">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CA41">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A9B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55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36F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2D2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1875">
            <w:pPr>
              <w:spacing w:line="192" w:lineRule="exact"/>
              <w:jc w:val="right"/>
              <w:rPr>
                <w:rFonts w:hint="default" w:ascii="Times New Roman" w:hAnsi="Times New Roman"/>
                <w:color w:val="000000"/>
                <w:sz w:val="18"/>
                <w:szCs w:val="18"/>
              </w:rPr>
            </w:pPr>
          </w:p>
        </w:tc>
      </w:tr>
      <w:tr w14:paraId="708D495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221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D920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F19C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78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r>
    </w:tbl>
    <w:p w14:paraId="622CE647">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autofit"/>
        <w:tblCellMar>
          <w:top w:w="0" w:type="dxa"/>
          <w:left w:w="0" w:type="dxa"/>
          <w:bottom w:w="0" w:type="dxa"/>
          <w:right w:w="0" w:type="dxa"/>
        </w:tblCellMar>
      </w:tblPr>
      <w:tblGrid>
        <w:gridCol w:w="1199"/>
        <w:gridCol w:w="3047"/>
        <w:gridCol w:w="1470"/>
        <w:gridCol w:w="1470"/>
        <w:gridCol w:w="1470"/>
        <w:gridCol w:w="1470"/>
        <w:gridCol w:w="1525"/>
        <w:gridCol w:w="1589"/>
      </w:tblGrid>
      <w:tr w14:paraId="57C6322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7885E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D97751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786023F">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重庆市渝中区政协社情民意信息中心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8BD4D0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8BC9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66DFE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225BAD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A6243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FB2B2F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AEA5F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BA00B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70046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38779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BE4E4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34A68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4AA8D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D345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ECE2A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D51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D8E19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B7D7">
            <w:pPr>
              <w:jc w:val="center"/>
              <w:textAlignment w:val="center"/>
              <w:rPr>
                <w:rFonts w:hint="default" w:cs="宋体"/>
                <w:b/>
                <w:color w:val="000000"/>
                <w:sz w:val="20"/>
                <w:szCs w:val="20"/>
              </w:rPr>
            </w:pPr>
            <w:r>
              <w:rPr>
                <w:rFonts w:cs="宋体"/>
                <w:b/>
                <w:color w:val="000000"/>
                <w:sz w:val="20"/>
                <w:szCs w:val="20"/>
              </w:rPr>
              <w:t>年末结转和结余</w:t>
            </w:r>
          </w:p>
        </w:tc>
      </w:tr>
      <w:tr w14:paraId="390EB38A">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66DD">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C44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F57EF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987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C12D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46C81">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BA2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8700">
            <w:pPr>
              <w:jc w:val="center"/>
              <w:rPr>
                <w:rFonts w:hint="default" w:cs="宋体"/>
                <w:b/>
                <w:color w:val="000000"/>
                <w:sz w:val="20"/>
                <w:szCs w:val="20"/>
              </w:rPr>
            </w:pPr>
          </w:p>
        </w:tc>
      </w:tr>
      <w:tr w14:paraId="3F4A5A92">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58B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599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54C83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2C1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29E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164D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67BA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555E">
            <w:pPr>
              <w:jc w:val="center"/>
              <w:rPr>
                <w:rFonts w:hint="default" w:cs="宋体"/>
                <w:b/>
                <w:color w:val="000000"/>
                <w:sz w:val="20"/>
                <w:szCs w:val="20"/>
              </w:rPr>
            </w:pPr>
          </w:p>
        </w:tc>
      </w:tr>
      <w:tr w14:paraId="44814A5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175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21F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CBB1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7DB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A394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A445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038F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0311">
            <w:pPr>
              <w:jc w:val="center"/>
              <w:rPr>
                <w:rFonts w:hint="default" w:cs="宋体"/>
                <w:b/>
                <w:color w:val="000000"/>
                <w:sz w:val="20"/>
                <w:szCs w:val="20"/>
              </w:rPr>
            </w:pPr>
          </w:p>
        </w:tc>
      </w:tr>
      <w:tr w14:paraId="5BE377A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49C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226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6D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8F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EB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E6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0B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6FA9B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4CE4">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D96D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D7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C5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78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0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A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2D3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03723E">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1B9B162E">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128"/>
        <w:gridCol w:w="3114"/>
        <w:gridCol w:w="2828"/>
        <w:gridCol w:w="164"/>
        <w:gridCol w:w="2992"/>
        <w:gridCol w:w="74"/>
        <w:gridCol w:w="2939"/>
      </w:tblGrid>
      <w:tr w14:paraId="25E6840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1668A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C72FD5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B546D44">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重庆市渝中区政协社情民意信息中心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04DD13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F1CC9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29CF56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493719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1D652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FBDE1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29009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7D9EC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0BAD9D">
            <w:pPr>
              <w:jc w:val="center"/>
              <w:textAlignment w:val="bottom"/>
              <w:rPr>
                <w:rFonts w:hint="default" w:cs="宋体"/>
                <w:b/>
                <w:color w:val="000000"/>
                <w:sz w:val="20"/>
                <w:szCs w:val="20"/>
              </w:rPr>
            </w:pPr>
            <w:r>
              <w:rPr>
                <w:rFonts w:cs="宋体"/>
                <w:b/>
                <w:color w:val="000000"/>
                <w:sz w:val="20"/>
                <w:szCs w:val="20"/>
              </w:rPr>
              <w:t>本年支出</w:t>
            </w:r>
          </w:p>
        </w:tc>
      </w:tr>
      <w:tr w14:paraId="3511EB7E">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BAF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65C7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B59B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733D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8584">
            <w:pPr>
              <w:jc w:val="center"/>
              <w:textAlignment w:val="center"/>
              <w:rPr>
                <w:rFonts w:hint="default" w:cs="宋体"/>
                <w:b/>
                <w:color w:val="000000"/>
                <w:sz w:val="20"/>
                <w:szCs w:val="20"/>
              </w:rPr>
            </w:pPr>
            <w:r>
              <w:rPr>
                <w:rFonts w:cs="宋体"/>
                <w:b/>
                <w:color w:val="000000"/>
                <w:sz w:val="20"/>
                <w:szCs w:val="20"/>
              </w:rPr>
              <w:t>项目支出</w:t>
            </w:r>
          </w:p>
        </w:tc>
      </w:tr>
      <w:tr w14:paraId="47435631">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61D5">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AC8F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6E8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E217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61F03">
            <w:pPr>
              <w:jc w:val="center"/>
              <w:rPr>
                <w:rFonts w:hint="default" w:cs="宋体"/>
                <w:b/>
                <w:color w:val="000000"/>
                <w:sz w:val="20"/>
                <w:szCs w:val="20"/>
              </w:rPr>
            </w:pPr>
          </w:p>
        </w:tc>
      </w:tr>
      <w:tr w14:paraId="2EAA4B1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FAB0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7B86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B4B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23A2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5B680">
            <w:pPr>
              <w:jc w:val="center"/>
              <w:rPr>
                <w:rFonts w:hint="default" w:cs="宋体"/>
                <w:b/>
                <w:color w:val="000000"/>
                <w:sz w:val="20"/>
                <w:szCs w:val="20"/>
              </w:rPr>
            </w:pPr>
          </w:p>
        </w:tc>
      </w:tr>
      <w:tr w14:paraId="466E4DE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5580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B3ED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DA6A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509F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7D9E4">
            <w:pPr>
              <w:jc w:val="center"/>
              <w:rPr>
                <w:rFonts w:hint="default" w:cs="宋体"/>
                <w:b/>
                <w:color w:val="000000"/>
                <w:sz w:val="20"/>
                <w:szCs w:val="20"/>
              </w:rPr>
            </w:pPr>
          </w:p>
        </w:tc>
      </w:tr>
      <w:tr w14:paraId="694304B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31C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D9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5886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FAC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85F938">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9B83">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1F1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284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370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7E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7EE2671">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ECA9F48">
      <w:pPr>
        <w:rPr>
          <w:rFonts w:hint="default" w:cs="宋体"/>
          <w:sz w:val="21"/>
          <w:szCs w:val="21"/>
        </w:rPr>
      </w:pPr>
      <w:r>
        <w:rPr>
          <w:rFonts w:hint="default" w:cs="宋体"/>
          <w:sz w:val="21"/>
          <w:szCs w:val="21"/>
        </w:rPr>
        <w:br w:type="page"/>
      </w:r>
    </w:p>
    <w:tbl>
      <w:tblPr>
        <w:tblStyle w:val="5"/>
        <w:tblW w:w="4611" w:type="pct"/>
        <w:tblInd w:w="0" w:type="dxa"/>
        <w:tblLayout w:type="autofit"/>
        <w:tblCellMar>
          <w:top w:w="0" w:type="dxa"/>
          <w:left w:w="170" w:type="dxa"/>
          <w:bottom w:w="0" w:type="dxa"/>
          <w:right w:w="170" w:type="dxa"/>
        </w:tblCellMar>
      </w:tblPr>
      <w:tblGrid>
        <w:gridCol w:w="2921"/>
        <w:gridCol w:w="1844"/>
        <w:gridCol w:w="1808"/>
        <w:gridCol w:w="3726"/>
        <w:gridCol w:w="1911"/>
      </w:tblGrid>
      <w:tr w14:paraId="116433A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559869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E0A467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A96A38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01C60F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EBFCD1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5CA146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8DD628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1778CB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FC5484">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重庆市渝中区政协社情民意信息中心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72626B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19C30D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8D1E2F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46E1C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1951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2358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5B2A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F3472">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4112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0730D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A506B">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A183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1BA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E754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A31B9">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598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F1D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7ADF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3AF896">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487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ED36D">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2CE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FD0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CB677">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E1ED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64B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F828F">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C924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39F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1AF11">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733C4">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608A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9B703">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CF992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C68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E5E53">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86851">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2769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C972F">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0C5A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0E0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DEDF14">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C62F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FA6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02165">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3D5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407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D2FC5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7B354">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0D1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1EBA3">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B9B7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62D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E6A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7D90B">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E34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C7CC8">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111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C43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4D5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FD34F">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FA8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AB947">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8EB7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CDA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49D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9F9F8">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A36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E3BE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C5E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15C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BEC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BD1D5">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D45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ABBE6">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876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D98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638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90895">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A08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27953">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CF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04A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0E0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4F455">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9673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45A0F">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4EE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13C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77B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B936E">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865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29933">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F70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ED7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8C819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49EDC">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B3B6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69954">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57883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83F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5CE6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37239">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924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43A53">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7C8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C2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D8D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F870F2">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ACB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09DBD">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888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EA5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7F3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3A7DA">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5E7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A6C06">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329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19CA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909A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56D14">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B5D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D4A38">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A646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6FA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2F8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69D65">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B46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1D09D">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6D8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ABE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BDB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CEE25">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6B8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F124A">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3A6D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57732">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A37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43C9F">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1FF9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ED57D">
            <w:pPr>
              <w:spacing w:line="280" w:lineRule="exact"/>
              <w:jc w:val="right"/>
              <w:rPr>
                <w:rFonts w:hint="default" w:cs="宋体"/>
                <w:color w:val="000000"/>
                <w:kern w:val="2"/>
                <w:sz w:val="16"/>
                <w:szCs w:val="16"/>
              </w:rPr>
            </w:pPr>
          </w:p>
        </w:tc>
      </w:tr>
      <w:tr w14:paraId="31DDD83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1E0B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D1F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E6D27">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AD75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FF971">
            <w:pPr>
              <w:spacing w:line="280" w:lineRule="exact"/>
              <w:jc w:val="right"/>
              <w:rPr>
                <w:rFonts w:hint="default" w:cs="宋体"/>
                <w:color w:val="000000"/>
                <w:kern w:val="2"/>
                <w:sz w:val="16"/>
                <w:szCs w:val="16"/>
              </w:rPr>
            </w:pPr>
          </w:p>
        </w:tc>
      </w:tr>
      <w:tr w14:paraId="1B599B6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64B6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DC03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AD68E">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A90E9">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51885">
            <w:pPr>
              <w:spacing w:line="280" w:lineRule="exact"/>
              <w:jc w:val="right"/>
              <w:rPr>
                <w:rFonts w:hint="default" w:cs="宋体"/>
                <w:color w:val="000000"/>
                <w:sz w:val="16"/>
                <w:szCs w:val="16"/>
              </w:rPr>
            </w:pPr>
          </w:p>
        </w:tc>
      </w:tr>
    </w:tbl>
    <w:p w14:paraId="165C550C">
      <w:pPr>
        <w:keepNext w:val="0"/>
        <w:keepLines w:val="0"/>
        <w:pageBreakBefore w:val="0"/>
        <w:kinsoku/>
        <w:wordWrap/>
        <w:overflowPunct/>
        <w:topLinePunct w:val="0"/>
        <w:autoSpaceDN/>
        <w:bidi w:val="0"/>
        <w:adjustRightInd/>
        <w:spacing w:line="594" w:lineRule="exact"/>
        <w:textAlignment w:val="auto"/>
        <w:rPr>
          <w:rFonts w:ascii="Times New Roman" w:hAnsi="Times New Roman"/>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838" w:h="11906" w:orient="landscape"/>
      <w:pgMar w:top="1446" w:right="1984" w:bottom="1446"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88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9BBEB">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69BBEB">
                    <w:pPr>
                      <w:pStyle w:val="2"/>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F4D38"/>
    <w:multiLevelType w:val="singleLevel"/>
    <w:tmpl w:val="C72F4D38"/>
    <w:lvl w:ilvl="0" w:tentative="0">
      <w:start w:val="3"/>
      <w:numFmt w:val="chineseCounting"/>
      <w:suff w:val="nothing"/>
      <w:lvlText w:val="（%1）"/>
      <w:lvlJc w:val="left"/>
      <w:rPr>
        <w:rFonts w:hint="eastAsia"/>
      </w:rPr>
    </w:lvl>
  </w:abstractNum>
  <w:abstractNum w:abstractNumId="1">
    <w:nsid w:val="4AE67637"/>
    <w:multiLevelType w:val="singleLevel"/>
    <w:tmpl w:val="4AE676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C0871"/>
    <w:rsid w:val="03F1578E"/>
    <w:rsid w:val="04926F71"/>
    <w:rsid w:val="0BFA54B5"/>
    <w:rsid w:val="0CA05CB9"/>
    <w:rsid w:val="0F502FAB"/>
    <w:rsid w:val="10C06024"/>
    <w:rsid w:val="129452EC"/>
    <w:rsid w:val="133C5BE7"/>
    <w:rsid w:val="13FB325E"/>
    <w:rsid w:val="15E72E94"/>
    <w:rsid w:val="167209B0"/>
    <w:rsid w:val="17FA7654"/>
    <w:rsid w:val="19C91716"/>
    <w:rsid w:val="1BC25F36"/>
    <w:rsid w:val="1CF85987"/>
    <w:rsid w:val="1F1745F6"/>
    <w:rsid w:val="204F58BE"/>
    <w:rsid w:val="209D0D1F"/>
    <w:rsid w:val="212C0D9B"/>
    <w:rsid w:val="21F91F85"/>
    <w:rsid w:val="25897AC4"/>
    <w:rsid w:val="277B168E"/>
    <w:rsid w:val="2B054165"/>
    <w:rsid w:val="2BEC66B7"/>
    <w:rsid w:val="2C1E0CDD"/>
    <w:rsid w:val="2CDC0871"/>
    <w:rsid w:val="2DD357DE"/>
    <w:rsid w:val="2F662C47"/>
    <w:rsid w:val="31010E56"/>
    <w:rsid w:val="328A6FF3"/>
    <w:rsid w:val="32AC4BAF"/>
    <w:rsid w:val="32E77798"/>
    <w:rsid w:val="3B727E6B"/>
    <w:rsid w:val="3D615EC3"/>
    <w:rsid w:val="404A5340"/>
    <w:rsid w:val="431247BC"/>
    <w:rsid w:val="43413334"/>
    <w:rsid w:val="441B4C78"/>
    <w:rsid w:val="44BE14EF"/>
    <w:rsid w:val="45695003"/>
    <w:rsid w:val="48300895"/>
    <w:rsid w:val="483416BA"/>
    <w:rsid w:val="4C1B5BC3"/>
    <w:rsid w:val="4C4730D6"/>
    <w:rsid w:val="4D515160"/>
    <w:rsid w:val="50C138E6"/>
    <w:rsid w:val="52011CB2"/>
    <w:rsid w:val="546A70A7"/>
    <w:rsid w:val="54DB547E"/>
    <w:rsid w:val="56CA251D"/>
    <w:rsid w:val="596334BB"/>
    <w:rsid w:val="59A23054"/>
    <w:rsid w:val="59D54B9E"/>
    <w:rsid w:val="5AB24283"/>
    <w:rsid w:val="5B413BDE"/>
    <w:rsid w:val="5B6E7605"/>
    <w:rsid w:val="5DE80B25"/>
    <w:rsid w:val="6131633F"/>
    <w:rsid w:val="61D13422"/>
    <w:rsid w:val="625D189B"/>
    <w:rsid w:val="63C87650"/>
    <w:rsid w:val="67BA30AC"/>
    <w:rsid w:val="67DE3425"/>
    <w:rsid w:val="68DC43FB"/>
    <w:rsid w:val="697274F4"/>
    <w:rsid w:val="697B0A9F"/>
    <w:rsid w:val="6B441613"/>
    <w:rsid w:val="6EB27544"/>
    <w:rsid w:val="6F206A9F"/>
    <w:rsid w:val="6F3E1E02"/>
    <w:rsid w:val="6FCA6723"/>
    <w:rsid w:val="722649B3"/>
    <w:rsid w:val="760B1A49"/>
    <w:rsid w:val="76C868AF"/>
    <w:rsid w:val="77144054"/>
    <w:rsid w:val="79144124"/>
    <w:rsid w:val="7D00333D"/>
    <w:rsid w:val="7DB649BA"/>
    <w:rsid w:val="7E44361B"/>
    <w:rsid w:val="7ED370B5"/>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22"/>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styleId="10">
    <w:name w:val="List Paragraph"/>
    <w:basedOn w:val="1"/>
    <w:qFormat/>
    <w:uiPriority w:val="34"/>
    <w:pPr>
      <w:ind w:firstLine="420" w:firstLineChars="200"/>
    </w:p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p42"/>
    <w:basedOn w:val="1"/>
    <w:semiHidden/>
    <w:qFormat/>
    <w:uiPriority w:val="99"/>
    <w:pPr>
      <w:spacing w:before="100" w:after="100"/>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5657</Words>
  <Characters>6117</Characters>
  <Lines>0</Lines>
  <Paragraphs>0</Paragraphs>
  <TotalTime>0</TotalTime>
  <ScaleCrop>false</ScaleCrop>
  <LinksUpToDate>false</LinksUpToDate>
  <CharactersWithSpaces>6172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2025-08-22T10:24:00Z</dcterms:created>
  <dc:creator>WPS_1487348017</dc:creator>
  <cp:lastModifiedBy>WPS_1487348017</cp:lastModifiedBy>
  <dcterms:modified xsi:type="dcterms:W3CDTF">2025-10-20T07:24:32Z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9A5A3E036D5B4A76B64B34B597E1B1FE_13</vt:lpwstr>
  </property>
  <property fmtid="{D5CDD505-2E9C-101B-9397-08002B2CF9AE}" pid="4" name="KSOTemplateDocerSaveRecord">
    <vt:lpwstr>eyJoZGlkIjoiOWJmNjg1NTczZmEwNDA5YzM2OTk0YjFhYWE2NDIzYTgiLCJ1c2VySWQiOiIyNjQ3NDA4MDAifQ==</vt:lpwstr>
  </property>
</Properties>
</file>