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ascii="Times New Roman" w:eastAsia="方正小标宋_GBK" w:cs="Times New Roman" w:hAnsi="Times New Roman" w:hint="eastAsia"/>
          <w:i w:val="0"/>
          <w:iCs w:val="0"/>
          <w:caps w:val="0"/>
          <w:smallCaps w:val="0"/>
          <w:color w:val="FF0000"/>
          <w:spacing w:val="0"/>
          <w:kern w:val="0"/>
          <w:sz w:val="32"/>
          <w:szCs w:val="32"/>
          <w:shd w:val="clear" w:color="auto" w:fill="FFFFFF"/>
          <w:lang w:val="en-US" w:eastAsia="zh-CN"/>
        </w:rPr>
      </w:pPr>
      <w:bookmarkStart w:id="0" w:name="_GoBack"/>
      <w:bookmarkEnd w:id="0"/>
      <w:r>
        <w:rPr>
          <w:rFonts w:ascii="Times New Roman" w:eastAsia="方正小标宋_GBK" w:cs="Times New Roman" w:hAnsi="Times New Roman"/>
          <w:i w:val="0"/>
          <w:iCs w:val="0"/>
          <w:caps w:val="0"/>
          <w:smallCaps w:val="0"/>
          <w:color w:val="000000"/>
          <w:spacing w:val="0"/>
          <w:sz w:val="44"/>
          <w:szCs w:val="44"/>
          <w:shd w:val="clear" w:color="auto" w:fill="FFFFFF"/>
        </w:rPr>
        <w:t>《</w:t>
      </w:r>
      <w:r>
        <w:rPr>
          <w:rFonts w:ascii="Times New Roman" w:eastAsia="方正小标宋_GBK" w:cs="Times New Roman" w:hAnsi="Times New Roman"/>
          <w:color w:val="000000"/>
          <w:kern w:val="2"/>
          <w:sz w:val="44"/>
          <w:szCs w:val="44"/>
        </w:rPr>
        <w:t>渝中区</w:t>
      </w:r>
      <w:r>
        <w:rPr>
          <w:rFonts w:ascii="Times New Roman" w:eastAsia="方正小标宋_GBK" w:cs="Times New Roman" w:hAnsi="Times New Roman" w:hint="eastAsia"/>
          <w:color w:val="000000"/>
          <w:kern w:val="2"/>
          <w:sz w:val="44"/>
          <w:szCs w:val="44"/>
          <w:lang w:val="en-US" w:eastAsia="zh-CN"/>
        </w:rPr>
        <w:t>促进</w:t>
      </w:r>
      <w:r>
        <w:rPr>
          <w:rFonts w:ascii="Times New Roman" w:eastAsia="方正小标宋_GBK" w:cs="Times New Roman" w:hAnsi="Times New Roman" w:hint="eastAsia"/>
          <w:color w:val="000000"/>
          <w:kern w:val="2"/>
          <w:sz w:val="44"/>
          <w:szCs w:val="44"/>
          <w:lang w:eastAsia="zh-CN"/>
        </w:rPr>
        <w:t>算力经济高质量发展若干</w:t>
      </w:r>
      <w:r>
        <w:rPr>
          <w:rFonts w:ascii="Times New Roman" w:eastAsia="方正小标宋_GBK" w:cs="Times New Roman" w:hAnsi="Times New Roman"/>
          <w:color w:val="000000"/>
          <w:kern w:val="2"/>
          <w:sz w:val="44"/>
          <w:szCs w:val="44"/>
          <w:lang w:eastAsia="zh-CN"/>
        </w:rPr>
        <w:t>政策</w:t>
      </w:r>
      <w:r>
        <w:rPr>
          <w:rFonts w:ascii="Times New Roman" w:eastAsia="方正小标宋_GBK" w:cs="Times New Roman" w:hAnsi="Times New Roman" w:hint="eastAsia"/>
          <w:color w:val="000000"/>
          <w:kern w:val="2"/>
          <w:sz w:val="44"/>
          <w:szCs w:val="44"/>
          <w:lang w:eastAsia="zh-CN"/>
        </w:rPr>
        <w:t>（</w:t>
      </w:r>
      <w:r>
        <w:rPr>
          <w:rFonts w:ascii="Times New Roman" w:eastAsia="方正小标宋_GBK" w:cs="Times New Roman" w:hAnsi="Times New Roman" w:hint="eastAsia"/>
          <w:color w:val="000000"/>
          <w:kern w:val="2"/>
          <w:sz w:val="44"/>
          <w:szCs w:val="44"/>
          <w:lang w:val="en-US" w:eastAsia="zh-CN"/>
        </w:rPr>
        <w:t>试行</w:t>
      </w:r>
      <w:r>
        <w:rPr>
          <w:rFonts w:ascii="Times New Roman" w:eastAsia="方正小标宋_GBK" w:cs="Times New Roman" w:hAnsi="Times New Roman" w:hint="eastAsia"/>
          <w:color w:val="000000"/>
          <w:kern w:val="2"/>
          <w:sz w:val="44"/>
          <w:szCs w:val="44"/>
          <w:lang w:eastAsia="zh-CN"/>
        </w:rPr>
        <w:t>）</w:t>
      </w:r>
      <w:r>
        <w:rPr>
          <w:rFonts w:ascii="Times New Roman" w:eastAsia="方正小标宋_GBK" w:cs="Times New Roman" w:hAnsi="Times New Roman"/>
          <w:i w:val="0"/>
          <w:iCs w:val="0"/>
          <w:caps w:val="0"/>
          <w:smallCaps w:val="0"/>
          <w:color w:val="000000"/>
          <w:spacing w:val="0"/>
          <w:sz w:val="44"/>
          <w:szCs w:val="44"/>
          <w:shd w:val="clear" w:color="auto" w:fill="FFFFFF"/>
        </w:rPr>
        <w:t>》</w:t>
      </w:r>
      <w:r>
        <w:rPr>
          <w:rFonts w:ascii="Times New Roman" w:eastAsia="方正小标宋_GBK" w:cs="Times New Roman" w:hAnsi="Times New Roman" w:hint="eastAsia"/>
          <w:i w:val="0"/>
          <w:iCs w:val="0"/>
          <w:caps w:val="0"/>
          <w:smallCaps w:val="0"/>
          <w:color w:val="000000"/>
          <w:spacing w:val="0"/>
          <w:sz w:val="44"/>
          <w:szCs w:val="44"/>
          <w:shd w:val="clear" w:color="auto" w:fill="FFFFFF"/>
          <w:lang w:eastAsia="zh-CN"/>
        </w:rPr>
        <w:t>文字解读</w:t>
      </w:r>
    </w:p>
    <w:p>
      <w:pPr>
        <w:pStyle w:val="20"/>
        <w:keepNext w:val="0"/>
        <w:keepLines w:val="0"/>
        <w:pageBreakBefore w:val="0"/>
        <w:widowControl/>
        <w:suppressLineNumbers w:val="0"/>
        <w:shd w:val="clear" w:color="auto" w:fill="FFFFFF"/>
        <w:kinsoku/>
        <w:overflowPunct/>
        <w:topLinePunct w:val="0"/>
        <w:autoSpaceDE/>
        <w:autoSpaceDN/>
        <w:bidi w:val="0"/>
        <w:adjustRightInd/>
        <w:snapToGrid/>
        <w:spacing w:before="0" w:beforeAutospacing="0" w:after="0" w:afterAutospacing="0" w:line="600" w:lineRule="exact"/>
        <w:ind w:left="0" w:right="0" w:firstLineChars="200" w:firstLine="640"/>
        <w:jc w:val="both"/>
        <w:textAlignment w:val="auto"/>
        <w:rPr>
          <w:rFonts w:ascii="Times New Roman" w:eastAsia="方正仿宋_GBK" w:cs="Times New Roman" w:hAnsi="Times New Roman"/>
          <w:i w:val="0"/>
          <w:iCs w:val="0"/>
          <w:caps w:val="0"/>
          <w:smallCaps w:val="0"/>
          <w:color w:val="000000"/>
          <w:spacing w:val="0"/>
          <w:sz w:val="32"/>
          <w:szCs w:val="32"/>
          <w:shd w:val="clear" w:color="auto" w:fill="FFFFFF"/>
        </w:rPr>
      </w:pP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hint="eastAsia"/>
          <w:i w:val="0"/>
          <w:iCs w:val="0"/>
          <w:caps w:val="0"/>
          <w:smallCaps w:val="0"/>
          <w:color w:val="000000"/>
          <w:spacing w:val="0"/>
          <w:sz w:val="32"/>
          <w:szCs w:val="32"/>
          <w:shd w:val="clear" w:color="auto" w:fill="FFFFFF"/>
          <w:lang w:val="en-US" w:eastAsia="zh-CN"/>
        </w:rPr>
      </w:pPr>
      <w:r>
        <w:rPr>
          <w:rFonts w:ascii="Times New Roman" w:eastAsia="方正仿宋_GBK" w:cs="Times New Roman" w:hAnsi="Times New Roman" w:hint="eastAsia"/>
          <w:i w:val="0"/>
          <w:iCs w:val="0"/>
          <w:caps w:val="0"/>
          <w:smallCaps w:val="0"/>
          <w:color w:val="000000"/>
          <w:spacing w:val="0"/>
          <w:sz w:val="32"/>
          <w:szCs w:val="32"/>
          <w:shd w:val="clear" w:color="auto" w:fill="FFFFFF"/>
          <w:lang w:val="en-US" w:eastAsia="zh-CN"/>
        </w:rPr>
        <w:t>近日，重庆市渝中区人民政府办公室印发了《渝中区促进算力经济高质量发展若干政策（试行）》（以下简称《算力政策》）。现就《算力政策》内容解读如下：</w:t>
      </w:r>
    </w:p>
    <w:p>
      <w:pPr>
        <w:keepNext w:val="0"/>
        <w:keepLines w:val="0"/>
        <w:pageBreakBefore w:val="0"/>
        <w:widowControl w:val="0"/>
        <w:kinsoku/>
        <w:wordWrap/>
        <w:overflowPunct w:val="0"/>
        <w:topLinePunct w:val="0"/>
        <w:autoSpaceDE/>
        <w:autoSpaceDN/>
        <w:bidi w:val="0"/>
        <w:adjustRightInd/>
        <w:snapToGrid/>
        <w:spacing w:after="0" w:line="594" w:lineRule="exact"/>
        <w:ind w:firstLineChars="200" w:firstLine="640"/>
        <w:jc w:val="both"/>
        <w:textAlignment w:val="auto"/>
        <w:rPr>
          <w:rFonts w:ascii="Times New Roman" w:eastAsia="方正黑体_GBK" w:cs="Times New Roman" w:hAnsi="Times New Roman" w:hint="eastAsia"/>
          <w:color w:val="auto"/>
          <w:kern w:val="2"/>
          <w:sz w:val="32"/>
          <w:szCs w:val="32"/>
          <w:lang w:val="en-US" w:eastAsia="zh-CN"/>
        </w:rPr>
      </w:pPr>
      <w:r>
        <w:rPr>
          <w:rFonts w:ascii="Times New Roman" w:eastAsia="方正黑体_GBK" w:cs="Times New Roman" w:hAnsi="Times New Roman" w:hint="eastAsia"/>
          <w:color w:val="auto"/>
          <w:kern w:val="2"/>
          <w:sz w:val="32"/>
          <w:szCs w:val="32"/>
          <w:lang w:val="en-US" w:eastAsia="zh-CN"/>
        </w:rPr>
        <w:t>一、政策背景</w:t>
      </w:r>
    </w:p>
    <w:p>
      <w:pPr>
        <w:keepNext w:val="0"/>
        <w:keepLines w:val="0"/>
        <w:pageBreakBefore w:val="0"/>
        <w:widowControl w:val="0"/>
        <w:kinsoku/>
        <w:wordWrap/>
        <w:overflowPunct w:val="0"/>
        <w:topLinePunct w:val="0"/>
        <w:autoSpaceDE/>
        <w:autoSpaceDN/>
        <w:bidi w:val="0"/>
        <w:adjustRightInd/>
        <w:snapToGrid/>
        <w:spacing w:line="594" w:lineRule="exact"/>
        <w:ind w:left="0" w:right="0" w:firstLineChars="200" w:firstLine="640"/>
        <w:jc w:val="both"/>
        <w:textAlignment w:val="auto"/>
        <w:rPr>
          <w:rFonts w:ascii="Times New Roman" w:eastAsia="方正仿宋_GBK" w:cs="Times New Roman" w:hAnsi="Times New Roman" w:hint="eastAsia"/>
          <w:color w:val="auto"/>
          <w:sz w:val="32"/>
          <w:szCs w:val="32"/>
          <w:lang w:val="en-US" w:eastAsia="zh-CN"/>
          <w:highlight w:val="auto"/>
        </w:rPr>
      </w:pPr>
      <w:r>
        <w:rPr>
          <w:rFonts w:ascii="Times New Roman" w:eastAsia="方正仿宋_GBK" w:cs="Times New Roman" w:hAnsi="Times New Roman"/>
          <w:color w:val="auto"/>
          <w:sz w:val="32"/>
          <w:szCs w:val="32"/>
          <w:lang w:val="en-US" w:eastAsia="zh-CN"/>
          <w:highlight w:val="auto"/>
        </w:rPr>
        <w:t>为深入实施国家算力产业发展战略，抢抓</w:t>
      </w:r>
      <w:r>
        <w:rPr>
          <w:rFonts w:ascii="Times New Roman" w:eastAsia="方正仿宋_GBK" w:cs="Times New Roman" w:hAnsi="Times New Roman" w:hint="eastAsia"/>
          <w:color w:val="auto"/>
          <w:sz w:val="32"/>
          <w:szCs w:val="32"/>
          <w:lang w:val="en-US" w:eastAsia="zh-CN"/>
          <w:highlight w:val="auto"/>
        </w:rPr>
        <w:t>“</w:t>
      </w:r>
      <w:r>
        <w:rPr>
          <w:rFonts w:ascii="Times New Roman" w:eastAsia="方正仿宋_GBK" w:cs="Times New Roman" w:hAnsi="Times New Roman"/>
          <w:color w:val="auto"/>
          <w:sz w:val="32"/>
          <w:szCs w:val="32"/>
          <w:lang w:val="en-US" w:eastAsia="zh-CN"/>
          <w:highlight w:val="auto"/>
        </w:rPr>
        <w:t>疆算入渝</w:t>
      </w:r>
      <w:r>
        <w:rPr>
          <w:rFonts w:ascii="Times New Roman" w:eastAsia="方正仿宋_GBK" w:cs="Times New Roman" w:hAnsi="Times New Roman" w:hint="eastAsia"/>
          <w:color w:val="auto"/>
          <w:sz w:val="32"/>
          <w:szCs w:val="32"/>
          <w:lang w:val="en-US" w:eastAsia="zh-CN"/>
          <w:highlight w:val="auto"/>
        </w:rPr>
        <w:t>”</w:t>
      </w:r>
      <w:r>
        <w:rPr>
          <w:rFonts w:ascii="Times New Roman" w:eastAsia="方正仿宋_GBK" w:cs="Times New Roman" w:hAnsi="Times New Roman"/>
          <w:color w:val="auto"/>
          <w:sz w:val="32"/>
          <w:szCs w:val="32"/>
          <w:lang w:val="en-US" w:eastAsia="zh-CN"/>
          <w:highlight w:val="auto"/>
        </w:rPr>
        <w:t>契机，全面贯彻落实《渝中区算力经济发展三年行动计划（2025-2027年）》，</w:t>
      </w:r>
      <w:r>
        <w:rPr>
          <w:rFonts w:ascii="Times New Roman" w:eastAsia="方正仿宋_GBK" w:cs="Times New Roman" w:hAnsi="Times New Roman" w:hint="eastAsia"/>
          <w:color w:val="auto"/>
          <w:sz w:val="32"/>
          <w:szCs w:val="32"/>
          <w:lang w:val="en-US" w:eastAsia="zh-CN"/>
          <w:highlight w:val="auto"/>
        </w:rPr>
        <w:t>根据区委区政府“3+X+N”产业政策扶持体系工作部署，制定《渝中区算力经济高质量发展若干政策（试行）》，助推渝中区算力经济高质量发展。</w:t>
      </w:r>
    </w:p>
    <w:p>
      <w:pPr>
        <w:keepNext w:val="0"/>
        <w:keepLines w:val="0"/>
        <w:pageBreakBefore w:val="0"/>
        <w:widowControl w:val="0"/>
        <w:kinsoku/>
        <w:wordWrap/>
        <w:overflowPunct w:val="0"/>
        <w:topLinePunct w:val="0"/>
        <w:autoSpaceDE/>
        <w:autoSpaceDN/>
        <w:bidi w:val="0"/>
        <w:adjustRightInd/>
        <w:snapToGrid/>
        <w:spacing w:after="0" w:line="594" w:lineRule="exact"/>
        <w:ind w:firstLineChars="200" w:firstLine="640"/>
        <w:jc w:val="both"/>
        <w:textAlignment w:val="auto"/>
        <w:rPr>
          <w:rFonts w:ascii="Times New Roman" w:eastAsia="方正黑体_GBK" w:cs="Times New Roman" w:hAnsi="Times New Roman"/>
          <w:color w:val="auto"/>
          <w:kern w:val="2"/>
          <w:sz w:val="32"/>
          <w:szCs w:val="32"/>
          <w:lang w:val="en-US" w:eastAsia="zh-CN"/>
        </w:rPr>
      </w:pPr>
      <w:r>
        <w:rPr>
          <w:rFonts w:ascii="Times New Roman" w:eastAsia="方正黑体_GBK" w:cs="Times New Roman" w:hAnsi="Times New Roman" w:hint="eastAsia"/>
          <w:color w:val="auto"/>
          <w:kern w:val="2"/>
          <w:sz w:val="32"/>
          <w:szCs w:val="32"/>
          <w:lang w:val="en-US" w:eastAsia="zh-CN"/>
        </w:rPr>
        <w:t>二、目标任务</w:t>
      </w:r>
    </w:p>
    <w:p>
      <w:pPr>
        <w:keepNext w:val="0"/>
        <w:keepLines w:val="0"/>
        <w:pageBreakBefore w:val="0"/>
        <w:widowControl w:val="0"/>
        <w:kinsoku/>
        <w:wordWrap/>
        <w:overflowPunct w:val="0"/>
        <w:topLinePunct w:val="0"/>
        <w:autoSpaceDE/>
        <w:autoSpaceDN/>
        <w:bidi w:val="0"/>
        <w:adjustRightInd/>
        <w:snapToGrid/>
        <w:spacing w:line="594" w:lineRule="exact"/>
        <w:ind w:left="0" w:right="0" w:firstLineChars="200" w:firstLine="640"/>
        <w:jc w:val="both"/>
        <w:textAlignment w:val="auto"/>
        <w:rPr>
          <w:rFonts w:ascii="Times New Roman" w:eastAsia="方正仿宋_GBK" w:cs="Times New Roman" w:hAnsi="Times New Roman"/>
          <w:color w:val="auto"/>
          <w:sz w:val="32"/>
          <w:szCs w:val="32"/>
          <w:lang w:val="en-US" w:eastAsia="zh-CN"/>
          <w:highlight w:val="auto"/>
        </w:rPr>
      </w:pPr>
      <w:r>
        <w:rPr>
          <w:rFonts w:ascii="Times New Roman" w:eastAsia="方正仿宋_GBK" w:cs="Times New Roman" w:hAnsi="Times New Roman"/>
          <w:color w:val="auto"/>
          <w:sz w:val="32"/>
          <w:szCs w:val="32"/>
          <w:lang w:val="en-US" w:eastAsia="zh-CN"/>
          <w:highlight w:val="auto"/>
        </w:rPr>
        <w:t>政策对标重庆两江新区及成都市、杭州市、深圳市等算力发展先行地区拔高标准，</w:t>
      </w:r>
      <w:r>
        <w:rPr>
          <w:rFonts w:ascii="Times New Roman" w:eastAsia="方正仿宋_GBK" w:cs="Times New Roman" w:hAnsi="Times New Roman" w:hint="eastAsia"/>
          <w:color w:val="auto"/>
          <w:sz w:val="32"/>
          <w:szCs w:val="32"/>
          <w:lang w:val="en-US" w:eastAsia="zh-CN"/>
          <w:highlight w:val="auto"/>
        </w:rPr>
        <w:t>有望</w:t>
      </w:r>
      <w:r>
        <w:rPr>
          <w:rFonts w:ascii="Times New Roman" w:eastAsia="方正仿宋_GBK" w:cs="Times New Roman" w:hAnsi="Times New Roman"/>
          <w:color w:val="auto"/>
          <w:sz w:val="32"/>
          <w:szCs w:val="32"/>
          <w:lang w:val="en-US" w:eastAsia="zh-CN"/>
          <w:highlight w:val="auto"/>
        </w:rPr>
        <w:t>推动算力供给、算力消纳、算力技术攻关等形成发展合力，有效赋能全市“33618”现代制造业集群发展，进一步稳定总部重点企业发展信心，通过</w:t>
      </w:r>
      <w:r>
        <w:rPr>
          <w:rFonts w:ascii="Times New Roman" w:eastAsia="方正仿宋_GBK" w:cs="Times New Roman" w:hAnsi="Times New Roman" w:hint="eastAsia"/>
          <w:color w:val="auto"/>
          <w:sz w:val="32"/>
          <w:szCs w:val="32"/>
          <w:lang w:val="en-US" w:eastAsia="zh-CN"/>
          <w:highlight w:val="auto"/>
        </w:rPr>
        <w:t>三</w:t>
      </w:r>
      <w:r>
        <w:rPr>
          <w:rFonts w:ascii="Times New Roman" w:eastAsia="方正仿宋_GBK" w:cs="Times New Roman" w:hAnsi="Times New Roman"/>
          <w:color w:val="auto"/>
          <w:sz w:val="32"/>
          <w:szCs w:val="32"/>
          <w:lang w:val="en-US" w:eastAsia="zh-CN"/>
          <w:highlight w:val="auto"/>
        </w:rPr>
        <w:t>年时间吸引</w:t>
      </w:r>
      <w:r>
        <w:rPr>
          <w:rFonts w:ascii="Times New Roman" w:eastAsia="方正仿宋_GBK" w:cs="Times New Roman" w:hAnsi="Times New Roman" w:hint="eastAsia"/>
          <w:color w:val="auto"/>
          <w:sz w:val="32"/>
          <w:szCs w:val="32"/>
          <w:lang w:val="en-US" w:eastAsia="zh-CN"/>
          <w:highlight w:val="auto"/>
        </w:rPr>
        <w:t>和培育算力相关企业50家，</w:t>
      </w:r>
      <w:r>
        <w:rPr>
          <w:rFonts w:ascii="Times New Roman" w:eastAsia="方正仿宋_GBK" w:cs="Times New Roman" w:hAnsi="Times New Roman"/>
          <w:color w:val="auto"/>
          <w:sz w:val="32"/>
          <w:szCs w:val="32"/>
          <w:lang w:val="en-US" w:eastAsia="zh-CN"/>
          <w:highlight w:val="auto"/>
        </w:rPr>
        <w:t>形成国家、市级重大科研成果3家以上，算力产业全市领先地位持续巩固。</w:t>
      </w:r>
    </w:p>
    <w:p>
      <w:pPr>
        <w:keepNext w:val="0"/>
        <w:keepLines w:val="0"/>
        <w:pageBreakBefore w:val="0"/>
        <w:widowControl w:val="0"/>
        <w:kinsoku/>
        <w:wordWrap/>
        <w:overflowPunct w:val="0"/>
        <w:topLinePunct w:val="0"/>
        <w:autoSpaceDE/>
        <w:autoSpaceDN/>
        <w:bidi w:val="0"/>
        <w:adjustRightInd/>
        <w:snapToGrid/>
        <w:spacing w:after="0" w:line="594" w:lineRule="exact"/>
        <w:ind w:firstLineChars="200" w:firstLine="640"/>
        <w:jc w:val="both"/>
        <w:textAlignment w:val="auto"/>
        <w:rPr>
          <w:rFonts w:ascii="Times New Roman" w:eastAsia="方正黑体_GBK" w:cs="Times New Roman" w:hAnsi="Times New Roman" w:hint="eastAsia"/>
          <w:color w:val="auto"/>
          <w:kern w:val="2"/>
          <w:sz w:val="32"/>
          <w:szCs w:val="32"/>
          <w:lang w:val="en-US" w:eastAsia="zh-CN"/>
        </w:rPr>
      </w:pPr>
      <w:r>
        <w:rPr>
          <w:rFonts w:ascii="Times New Roman" w:eastAsia="方正黑体_GBK" w:cs="Times New Roman" w:hAnsi="Times New Roman" w:hint="eastAsia"/>
          <w:color w:val="auto"/>
          <w:kern w:val="2"/>
          <w:sz w:val="32"/>
          <w:szCs w:val="32"/>
          <w:lang w:val="en-US" w:eastAsia="zh-CN"/>
        </w:rPr>
        <w:t>三、主要内容</w:t>
      </w:r>
    </w:p>
    <w:p>
      <w:pPr>
        <w:keepNext w:val="0"/>
        <w:keepLines w:val="0"/>
        <w:pageBreakBefore w:val="0"/>
        <w:widowControl w:val="0"/>
        <w:kinsoku/>
        <w:wordWrap/>
        <w:overflowPunct w:val="0"/>
        <w:topLinePunct w:val="0"/>
        <w:autoSpaceDE/>
        <w:autoSpaceDN/>
        <w:bidi w:val="0"/>
        <w:adjustRightInd/>
        <w:snapToGrid/>
        <w:spacing w:line="594" w:lineRule="exact"/>
        <w:ind w:left="0" w:right="0" w:firstLineChars="200" w:firstLine="640"/>
        <w:jc w:val="both"/>
        <w:textAlignment w:val="auto"/>
        <w:rPr>
          <w:rFonts w:ascii="Times New Roman" w:eastAsia="方正仿宋_GBK" w:cs="Times New Roman" w:hAnsi="Times New Roman"/>
          <w:color w:val="auto"/>
          <w:sz w:val="32"/>
          <w:szCs w:val="32"/>
          <w:lang w:val="en-US" w:eastAsia="zh-CN"/>
          <w:highlight w:val="auto"/>
        </w:rPr>
      </w:pPr>
      <w:r>
        <w:rPr>
          <w:rFonts w:ascii="Times New Roman" w:eastAsia="方正黑体_GBK" w:cs="Times New Roman" w:hAnsi="Times New Roman"/>
          <w:color w:val="auto"/>
          <w:sz w:val="32"/>
          <w:szCs w:val="32"/>
          <w:lang w:val="en-US" w:eastAsia="zh-CN"/>
          <w:highlight w:val="auto"/>
        </w:rPr>
        <w:t>第一条</w:t>
      </w:r>
      <w:r>
        <w:rPr>
          <w:rFonts w:ascii="Times New Roman" w:eastAsia="方正仿宋_GBK" w:cs="Times New Roman" w:hAnsi="Times New Roman"/>
          <w:color w:val="auto"/>
          <w:sz w:val="32"/>
          <w:szCs w:val="32"/>
          <w:lang w:val="en-US" w:eastAsia="zh-CN"/>
          <w:highlight w:val="auto"/>
        </w:rPr>
        <w:t xml:space="preserve"> 加大算力供给项目扶持力度。支持企业在渝中区自主投资建设先进算力基础设施、算力调度和运营等算力供给平台项目。根据项目的投资规模、就业贡献、营收规模、服务企业数量、算力资源规模等经综合评定后给予一次性不超过200万元的扶持。</w:t>
      </w:r>
    </w:p>
    <w:p>
      <w:pPr>
        <w:keepNext w:val="0"/>
        <w:keepLines w:val="0"/>
        <w:pageBreakBefore w:val="0"/>
        <w:widowControl w:val="0"/>
        <w:kinsoku/>
        <w:wordWrap/>
        <w:overflowPunct w:val="0"/>
        <w:topLinePunct w:val="0"/>
        <w:autoSpaceDE/>
        <w:autoSpaceDN/>
        <w:bidi w:val="0"/>
        <w:adjustRightInd/>
        <w:snapToGrid/>
        <w:spacing w:line="594" w:lineRule="exact"/>
        <w:ind w:left="0" w:right="0" w:firstLineChars="200" w:firstLine="640"/>
        <w:jc w:val="both"/>
        <w:textAlignment w:val="auto"/>
        <w:rPr>
          <w:rFonts w:ascii="Times New Roman" w:eastAsia="方正仿宋_GBK" w:cs="Times New Roman" w:hAnsi="Times New Roman"/>
          <w:color w:val="auto"/>
          <w:sz w:val="32"/>
          <w:szCs w:val="32"/>
          <w:lang w:val="en-US" w:eastAsia="zh-CN"/>
          <w:highlight w:val="auto"/>
        </w:rPr>
      </w:pPr>
      <w:r>
        <w:rPr>
          <w:rFonts w:ascii="Times New Roman" w:eastAsia="方正黑体_GBK" w:cs="Times New Roman" w:hAnsi="Times New Roman"/>
          <w:color w:val="auto"/>
          <w:sz w:val="32"/>
          <w:szCs w:val="32"/>
          <w:lang w:val="en-US" w:eastAsia="zh-CN"/>
          <w:highlight w:val="auto"/>
        </w:rPr>
        <w:t>第二条</w:t>
      </w:r>
      <w:r>
        <w:rPr>
          <w:rFonts w:ascii="Times New Roman" w:eastAsia="方正仿宋_GBK" w:cs="Times New Roman" w:hAnsi="Times New Roman"/>
          <w:color w:val="auto"/>
          <w:sz w:val="32"/>
          <w:szCs w:val="32"/>
          <w:lang w:val="en-US" w:eastAsia="zh-CN"/>
          <w:highlight w:val="auto"/>
        </w:rPr>
        <w:t xml:space="preserve"> 鼓励算力技术攻关。支持企业开展算力关键技术研究，承接国家级、市级重点研发任务，加速形成重大科研成果。对符合政策规定的项目按国家、市级实际到账资助经费的10％给予资助，扶持额度最高不超过100万元。对获得国家级荣誉或承担国家级试点任务的国产化算力项目，经综合评定后给予最高不超过20万元的扶持。</w:t>
      </w:r>
    </w:p>
    <w:p>
      <w:pPr>
        <w:keepNext w:val="0"/>
        <w:keepLines w:val="0"/>
        <w:pageBreakBefore w:val="0"/>
        <w:widowControl w:val="0"/>
        <w:kinsoku/>
        <w:wordWrap/>
        <w:overflowPunct w:val="0"/>
        <w:topLinePunct w:val="0"/>
        <w:autoSpaceDE/>
        <w:autoSpaceDN/>
        <w:bidi w:val="0"/>
        <w:adjustRightInd/>
        <w:snapToGrid/>
        <w:spacing w:line="594" w:lineRule="exact"/>
        <w:ind w:left="0" w:right="0" w:firstLineChars="200" w:firstLine="640"/>
        <w:jc w:val="both"/>
        <w:textAlignment w:val="auto"/>
        <w:rPr>
          <w:rFonts w:eastAsia="方正仿宋_GBK" w:cs="方正仿宋_GBK" w:hint="eastAsia"/>
          <w:color w:val="auto"/>
          <w:sz w:val="32"/>
          <w:szCs w:val="32"/>
          <w:lang w:val="en-US" w:eastAsia="zh-CN"/>
          <w:highlight w:val="auto"/>
        </w:rPr>
      </w:pPr>
      <w:r>
        <w:rPr>
          <w:rFonts w:ascii="Times New Roman" w:eastAsia="方正黑体_GBK" w:cs="Times New Roman" w:hAnsi="Times New Roman"/>
          <w:color w:val="auto"/>
          <w:sz w:val="32"/>
          <w:szCs w:val="32"/>
          <w:lang w:val="en-US" w:eastAsia="zh-CN"/>
          <w:highlight w:val="auto"/>
        </w:rPr>
        <w:t>第三条</w:t>
      </w:r>
      <w:r>
        <w:rPr>
          <w:rFonts w:ascii="Times New Roman" w:eastAsia="方正仿宋_GBK" w:cs="Times New Roman" w:hAnsi="Times New Roman"/>
          <w:color w:val="auto"/>
          <w:sz w:val="32"/>
          <w:szCs w:val="32"/>
          <w:lang w:val="en-US" w:eastAsia="zh-CN"/>
          <w:highlight w:val="auto"/>
        </w:rPr>
        <w:t xml:space="preserve"> 建立算力资源消纳补贴机制。支持企业、高校及科研机构使用经认定的公共算力服务平台提供的智算、超算算力资源用于人工智能研发、大数据分析、大模型开发等创新领域，根据</w:t>
      </w:r>
      <w:r>
        <w:rPr>
          <w:rFonts w:eastAsia="方正仿宋_GBK" w:cs="方正仿宋_GBK" w:hint="eastAsia"/>
          <w:color w:val="auto"/>
          <w:sz w:val="32"/>
          <w:szCs w:val="32"/>
          <w:lang w:val="en-US" w:eastAsia="zh-CN"/>
          <w:highlight w:val="auto"/>
        </w:rPr>
        <w:t>其营收规模、投资规模、就业贡献等综合评定后给予不超过</w:t>
      </w:r>
      <w:r>
        <w:rPr>
          <w:rFonts w:ascii="Times New Roman" w:eastAsia="方正仿宋_GBK" w:cs="方正仿宋_GBK" w:hAnsi="Times New Roman" w:hint="eastAsia"/>
          <w:color w:val="auto"/>
          <w:sz w:val="32"/>
          <w:szCs w:val="32"/>
          <w:lang w:val="en-US" w:eastAsia="zh-CN"/>
          <w:highlight w:val="auto"/>
        </w:rPr>
        <w:t>100</w:t>
      </w:r>
      <w:r>
        <w:rPr>
          <w:rFonts w:eastAsia="方正仿宋_GBK" w:cs="方正仿宋_GBK" w:hint="eastAsia"/>
          <w:color w:val="auto"/>
          <w:sz w:val="32"/>
          <w:szCs w:val="32"/>
          <w:lang w:val="en-US" w:eastAsia="zh-CN"/>
          <w:highlight w:val="auto"/>
        </w:rPr>
        <w:t>万元的扶持。</w:t>
      </w:r>
    </w:p>
    <w:p>
      <w:pPr>
        <w:keepNext w:val="0"/>
        <w:keepLines w:val="0"/>
        <w:pageBreakBefore w:val="0"/>
        <w:widowControl w:val="0"/>
        <w:kinsoku/>
        <w:wordWrap/>
        <w:overflowPunct w:val="0"/>
        <w:topLinePunct w:val="0"/>
        <w:autoSpaceDE/>
        <w:autoSpaceDN/>
        <w:bidi w:val="0"/>
        <w:adjustRightInd/>
        <w:snapToGrid/>
        <w:spacing w:line="594" w:lineRule="exact"/>
        <w:ind w:left="0" w:right="0" w:firstLineChars="200" w:firstLine="640"/>
        <w:jc w:val="both"/>
        <w:textAlignment w:val="auto"/>
        <w:rPr>
          <w:rFonts w:ascii="Times New Roman" w:eastAsia="方正仿宋_GBK" w:cs="方正仿宋_GBK" w:hAnsi="Times New Roman"/>
          <w:color w:val="auto"/>
          <w:w w:val="95"/>
          <w:sz w:val="32"/>
          <w:szCs w:val="32"/>
          <w:lang w:val="en-US"/>
          <w:highlight w:val="auto"/>
        </w:rPr>
      </w:pPr>
      <w:r>
        <w:rPr>
          <w:rFonts w:ascii="方正黑体_GBK" w:eastAsia="方正黑体_GBK" w:cs="方正黑体_GBK" w:hint="eastAsia"/>
          <w:color w:val="auto"/>
          <w:sz w:val="32"/>
          <w:szCs w:val="32"/>
          <w:lang w:val="en-US" w:eastAsia="zh-CN"/>
          <w:highlight w:val="auto"/>
        </w:rPr>
        <w:t>第四条</w:t>
      </w:r>
      <w:r>
        <w:rPr>
          <w:rFonts w:eastAsia="方正仿宋_GBK" w:cs="方正仿宋_GBK" w:hint="eastAsia"/>
          <w:color w:val="auto"/>
          <w:sz w:val="32"/>
          <w:szCs w:val="32"/>
          <w:lang w:val="en-US" w:eastAsia="zh-CN"/>
          <w:highlight w:val="auto"/>
        </w:rPr>
        <w:t xml:space="preserve"> 推进算力赋能全市</w:t>
      </w:r>
      <w:r>
        <w:rPr>
          <w:rFonts w:ascii="Times New Roman" w:eastAsia="方正仿宋_GBK" w:cs="方正仿宋_GBK" w:hAnsi="Times New Roman" w:hint="eastAsia"/>
          <w:color w:val="auto"/>
          <w:sz w:val="32"/>
          <w:szCs w:val="32"/>
          <w:lang w:val="en-US" w:eastAsia="zh-CN"/>
          <w:highlight w:val="auto"/>
        </w:rPr>
        <w:t>“33618”现代制造业集群，渝中“4311”</w:t>
      </w:r>
      <w:r>
        <w:rPr>
          <w:rFonts w:eastAsia="方正仿宋_GBK" w:cs="方正仿宋_GBK" w:hint="eastAsia"/>
          <w:color w:val="auto"/>
          <w:sz w:val="32"/>
          <w:szCs w:val="32"/>
          <w:lang w:val="en-US" w:eastAsia="zh-CN"/>
          <w:highlight w:val="auto"/>
        </w:rPr>
        <w:t>现代化产业体系。支持企业、高校、科研机构使用算力资源，在四大生产性服务业、三大生活性服务业、现代建筑业及新兴产业集群方向打造“</w:t>
      </w:r>
      <w:r>
        <w:rPr>
          <w:rFonts w:ascii="Times New Roman" w:eastAsia="方正仿宋_GBK" w:cs="方正仿宋_GBK" w:hAnsi="Times New Roman" w:hint="eastAsia"/>
          <w:color w:val="auto"/>
          <w:sz w:val="32"/>
          <w:szCs w:val="32"/>
          <w:lang w:val="en-US" w:eastAsia="zh-CN"/>
          <w:highlight w:val="auto"/>
        </w:rPr>
        <w:t>AI+</w:t>
      </w:r>
      <w:r>
        <w:rPr>
          <w:rFonts w:eastAsia="方正仿宋_GBK" w:cs="方正仿宋_GBK" w:hint="eastAsia"/>
          <w:color w:val="auto"/>
          <w:sz w:val="32"/>
          <w:szCs w:val="32"/>
          <w:lang w:val="en-US" w:eastAsia="zh-CN"/>
          <w:highlight w:val="auto"/>
        </w:rPr>
        <w:t>”创新应用场景。鼓励政府机关、事业单位、国有企业和各类市场主体先行先试，建立“</w:t>
      </w:r>
      <w:r>
        <w:rPr>
          <w:rFonts w:ascii="Times New Roman" w:eastAsia="方正仿宋_GBK" w:cs="方正仿宋_GBK" w:hAnsi="Times New Roman" w:hint="eastAsia"/>
          <w:color w:val="auto"/>
          <w:sz w:val="32"/>
          <w:szCs w:val="32"/>
          <w:lang w:val="en-US" w:eastAsia="zh-CN"/>
          <w:highlight w:val="auto"/>
        </w:rPr>
        <w:t>AI+</w:t>
      </w:r>
      <w:r>
        <w:rPr>
          <w:rFonts w:eastAsia="方正仿宋_GBK" w:cs="方正仿宋_GBK" w:hint="eastAsia"/>
          <w:color w:val="auto"/>
          <w:sz w:val="32"/>
          <w:szCs w:val="32"/>
          <w:lang w:val="en-US" w:eastAsia="zh-CN"/>
          <w:highlight w:val="auto"/>
        </w:rPr>
        <w:t>”技术应用场景项目库，对具有引领作用的标杆应用项目，经综合评定后给予扶持。</w:t>
      </w:r>
    </w:p>
    <w:p>
      <w:pPr>
        <w:keepNext w:val="0"/>
        <w:keepLines w:val="0"/>
        <w:pageBreakBefore w:val="0"/>
        <w:widowControl w:val="0"/>
        <w:kinsoku/>
        <w:wordWrap/>
        <w:overflowPunct w:val="0"/>
        <w:topLinePunct w:val="0"/>
        <w:autoSpaceDE/>
        <w:autoSpaceDN/>
        <w:bidi w:val="0"/>
        <w:adjustRightInd/>
        <w:snapToGrid/>
        <w:spacing w:line="594" w:lineRule="exact"/>
        <w:ind w:left="0" w:right="0" w:firstLineChars="200" w:firstLine="640"/>
        <w:jc w:val="both"/>
        <w:textAlignment w:val="auto"/>
        <w:rPr>
          <w:rFonts w:ascii="Times New Roman" w:cs="Times New Roman" w:hAnsi="Times New Roman"/>
          <w:lang w:val="en-US" w:eastAsia="zh-CN"/>
        </w:rPr>
      </w:pPr>
      <w:r>
        <w:rPr>
          <w:rFonts w:ascii="方正黑体_GBK" w:eastAsia="方正黑体_GBK" w:cs="方正黑体_GBK" w:hint="eastAsia"/>
          <w:color w:val="auto"/>
          <w:sz w:val="32"/>
          <w:szCs w:val="32"/>
          <w:lang w:val="en-US" w:eastAsia="zh-CN"/>
          <w:highlight w:val="auto"/>
        </w:rPr>
        <w:t>第五条</w:t>
      </w:r>
      <w:r>
        <w:rPr>
          <w:rFonts w:eastAsia="方正仿宋_GBK" w:cs="方正仿宋_GBK" w:hint="eastAsia"/>
          <w:color w:val="auto"/>
          <w:sz w:val="32"/>
          <w:szCs w:val="32"/>
          <w:lang w:val="en-US" w:eastAsia="zh-CN"/>
          <w:highlight w:val="auto"/>
        </w:rPr>
        <w:t xml:space="preserve"> 本政策为</w:t>
      </w:r>
      <w:r>
        <w:rPr>
          <w:rFonts w:ascii="Times New Roman" w:eastAsia="方正仿宋_GBK" w:cs="Times New Roman" w:hAnsi="Times New Roman"/>
          <w:kern w:val="2"/>
          <w:sz w:val="32"/>
          <w:szCs w:val="32"/>
          <w:lang w:val="en-US" w:eastAsia="zh-CN" w:bidi="ar-SA"/>
        </w:rPr>
        <w:t>《重庆市渝中区软件和信息服务业发展十条政策》</w:t>
      </w:r>
      <w:r>
        <w:rPr>
          <w:rFonts w:ascii="Times New Roman" w:eastAsia="方正仿宋_GBK" w:cs="Times New Roman" w:hAnsi="Times New Roman" w:hint="eastAsia"/>
          <w:kern w:val="2"/>
          <w:sz w:val="32"/>
          <w:szCs w:val="32"/>
          <w:lang w:val="en-US" w:eastAsia="zh-CN" w:bidi="ar-SA"/>
        </w:rPr>
        <w:t>（以下简称“软信十条”）关于算力供给与算力消纳的子政策，人才、载体等其他政策支持以软信十条为准。</w:t>
      </w:r>
      <w:r>
        <w:rPr>
          <w:rFonts w:ascii="Times New Roman" w:eastAsia="方正仿宋_GBK" w:cs="Times New Roman" w:hAnsi="Times New Roman" w:hint="eastAsia"/>
          <w:kern w:val="2"/>
          <w:sz w:val="32"/>
          <w:szCs w:val="32"/>
          <w:lang w:val="en-US" w:eastAsia="zh-CN" w:bidi="ar-SA"/>
          <w:highlight w:val="auto"/>
        </w:rPr>
        <w:t>本政策自公布之日起施行。本政策实行申报认定制，申报认定工作按年度开展，区大数据发展局应每年明确申报指南及相关规则。申报主体需基于上年度经营发展情况提交申报材料，经有关部门综合审核认定后予以兑现。申报政策的企业，同一项目同时满足本政策多个条款或渝中区其他扶持政策扶持条件的，按照“就高不重复”原则执行。</w:t>
      </w:r>
    </w:p>
    <w:p>
      <w:pPr>
        <w:keepNext w:val="0"/>
        <w:keepLines w:val="0"/>
        <w:pageBreakBefore w:val="0"/>
        <w:widowControl w:val="0"/>
        <w:kinsoku/>
        <w:wordWrap/>
        <w:overflowPunct w:val="0"/>
        <w:topLinePunct w:val="0"/>
        <w:autoSpaceDE/>
        <w:autoSpaceDN/>
        <w:bidi w:val="0"/>
        <w:adjustRightInd/>
        <w:snapToGrid/>
        <w:spacing w:after="0" w:line="594" w:lineRule="exact"/>
        <w:ind w:firstLineChars="200" w:firstLine="640"/>
        <w:jc w:val="both"/>
        <w:textAlignment w:val="auto"/>
        <w:rPr>
          <w:rFonts w:ascii="Times New Roman" w:eastAsia="方正黑体_GBK" w:cs="Times New Roman" w:hAnsi="Times New Roman" w:hint="eastAsia"/>
          <w:color w:val="auto"/>
          <w:kern w:val="2"/>
          <w:sz w:val="32"/>
          <w:szCs w:val="32"/>
          <w:lang w:val="en-US" w:eastAsia="zh-CN"/>
        </w:rPr>
      </w:pPr>
      <w:r>
        <w:rPr>
          <w:rFonts w:ascii="Times New Roman" w:eastAsia="方正黑体_GBK" w:cs="Times New Roman" w:hAnsi="Times New Roman" w:hint="eastAsia"/>
          <w:color w:val="auto"/>
          <w:kern w:val="2"/>
          <w:sz w:val="32"/>
          <w:szCs w:val="32"/>
          <w:lang w:val="en-US" w:eastAsia="zh-CN"/>
        </w:rPr>
        <w:t>四、常见问题解读</w:t>
      </w:r>
    </w:p>
    <w:p>
      <w:pPr>
        <w:keepNext w:val="0"/>
        <w:keepLines w:val="0"/>
        <w:pageBreakBefore w:val="0"/>
        <w:widowControl w:val="0"/>
        <w:kinsoku/>
        <w:wordWrap/>
        <w:overflowPunct/>
        <w:topLinePunct w:val="0"/>
        <w:autoSpaceDE/>
        <w:autoSpaceDN/>
        <w:bidi w:val="0"/>
        <w:adjustRightInd/>
        <w:snapToGrid/>
        <w:spacing w:line="594" w:lineRule="exact"/>
        <w:ind w:left="0" w:firstLineChars="200" w:firstLine="640"/>
        <w:textAlignment w:val="auto"/>
        <w:rPr>
          <w:rFonts w:ascii="Times New Roman" w:eastAsia="方正仿宋_GBK" w:cs="Times New Roman" w:hAnsi="Times New Roman" w:hint="eastAsia"/>
          <w:b/>
          <w:bCs/>
          <w:i w:val="0"/>
          <w:iCs w:val="0"/>
          <w:caps w:val="0"/>
          <w:smallCaps w:val="0"/>
          <w:color w:val="000000"/>
          <w:spacing w:val="0"/>
          <w:sz w:val="32"/>
          <w:szCs w:val="32"/>
          <w:shd w:val="clear" w:color="auto" w:fill="FFFFFF"/>
          <w:lang w:val="en-US" w:eastAsia="zh-CN"/>
        </w:rPr>
      </w:pPr>
      <w:r>
        <w:rPr>
          <w:rFonts w:ascii="Times New Roman" w:eastAsia="方正仿宋_GBK" w:cs="Times New Roman" w:hAnsi="Times New Roman" w:hint="eastAsia"/>
          <w:b/>
          <w:bCs/>
          <w:i w:val="0"/>
          <w:iCs w:val="0"/>
          <w:caps w:val="0"/>
          <w:smallCaps w:val="0"/>
          <w:color w:val="000000"/>
          <w:spacing w:val="0"/>
          <w:sz w:val="32"/>
          <w:szCs w:val="32"/>
          <w:shd w:val="clear" w:color="auto" w:fill="FFFFFF"/>
          <w:lang w:eastAsia="zh-CN"/>
        </w:rPr>
        <w:t>问</w:t>
      </w:r>
      <w:r>
        <w:rPr>
          <w:rFonts w:ascii="Times New Roman" w:eastAsia="方正仿宋_GBK" w:cs="Times New Roman" w:hAnsi="Times New Roman" w:hint="eastAsia"/>
          <w:b/>
          <w:bCs/>
          <w:i w:val="0"/>
          <w:iCs w:val="0"/>
          <w:caps w:val="0"/>
          <w:smallCaps w:val="0"/>
          <w:color w:val="000000"/>
          <w:spacing w:val="0"/>
          <w:sz w:val="32"/>
          <w:szCs w:val="32"/>
          <w:shd w:val="clear" w:color="auto" w:fill="FFFFFF"/>
          <w:lang w:val="en-US" w:eastAsia="zh-CN"/>
        </w:rPr>
        <w:t>1：</w:t>
      </w:r>
      <w:r>
        <w:rPr>
          <w:rFonts w:ascii="Times New Roman" w:eastAsia="方正仿宋_GBK" w:cs="方正仿宋_GBK" w:hAnsi="Times New Roman" w:hint="eastAsia"/>
          <w:b/>
          <w:bCs/>
          <w:color w:val="auto"/>
          <w:sz w:val="32"/>
          <w:szCs w:val="32"/>
          <w:lang w:val="en-US" w:eastAsia="zh-CN"/>
        </w:rPr>
        <w:t>政策适用对象有哪些？</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i w:val="0"/>
          <w:iCs w:val="0"/>
          <w:caps w:val="0"/>
          <w:smallCaps w:val="0"/>
          <w:color w:val="000000"/>
          <w:spacing w:val="0"/>
          <w:sz w:val="32"/>
          <w:szCs w:val="32"/>
          <w:shd w:val="clear" w:color="auto" w:fill="FFFFFF"/>
          <w:lang w:val="en-US" w:eastAsia="zh-CN"/>
        </w:rPr>
      </w:pPr>
      <w:r>
        <w:rPr>
          <w:rFonts w:ascii="Times New Roman" w:eastAsia="方正仿宋_GBK" w:cs="Times New Roman" w:hAnsi="Times New Roman" w:hint="eastAsia"/>
          <w:i w:val="0"/>
          <w:iCs w:val="0"/>
          <w:caps w:val="0"/>
          <w:smallCaps w:val="0"/>
          <w:color w:val="000000"/>
          <w:spacing w:val="0"/>
          <w:sz w:val="32"/>
          <w:szCs w:val="32"/>
          <w:shd w:val="clear" w:color="auto" w:fill="FFFFFF"/>
          <w:lang w:val="en-US" w:eastAsia="zh-CN"/>
        </w:rPr>
        <w:t>答1：适用于在渝中区注册并开展算力相关业务的企业、高校、科研机构，以及使用算力资源的政府机关、事业单位、国有企业和各类市场主体。</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hint="eastAsia"/>
          <w:b/>
          <w:bCs/>
          <w:color w:val="auto"/>
          <w:sz w:val="32"/>
          <w:szCs w:val="32"/>
          <w:lang w:val="en-US" w:eastAsia="zh-CN"/>
        </w:rPr>
      </w:pPr>
      <w:r>
        <w:rPr>
          <w:rFonts w:ascii="Times New Roman" w:eastAsia="方正仿宋_GBK" w:cs="Times New Roman" w:hAnsi="Times New Roman"/>
          <w:b/>
          <w:bCs/>
          <w:color w:val="auto"/>
          <w:sz w:val="32"/>
          <w:szCs w:val="32"/>
          <w:lang w:val="en-US" w:eastAsia="zh-CN"/>
        </w:rPr>
        <w:t>问</w:t>
      </w:r>
      <w:r>
        <w:rPr>
          <w:rFonts w:ascii="Times New Roman" w:eastAsia="方正仿宋_GBK" w:cs="Times New Roman" w:hAnsi="Times New Roman" w:hint="eastAsia"/>
          <w:b/>
          <w:bCs/>
          <w:color w:val="auto"/>
          <w:sz w:val="32"/>
          <w:szCs w:val="32"/>
          <w:lang w:val="en-US" w:eastAsia="zh-CN"/>
        </w:rPr>
        <w:t>2</w:t>
      </w:r>
      <w:r>
        <w:rPr>
          <w:rFonts w:ascii="Times New Roman" w:eastAsia="方正仿宋_GBK" w:cs="Times New Roman" w:hAnsi="Times New Roman"/>
          <w:b/>
          <w:bCs/>
          <w:color w:val="auto"/>
          <w:sz w:val="32"/>
          <w:szCs w:val="32"/>
          <w:lang w:val="en-US" w:eastAsia="zh-CN"/>
        </w:rPr>
        <w:t>：算力供给</w:t>
      </w:r>
      <w:r>
        <w:rPr>
          <w:rFonts w:ascii="Times New Roman" w:eastAsia="方正仿宋_GBK" w:cs="Times New Roman" w:hAnsi="Times New Roman" w:hint="eastAsia"/>
          <w:b/>
          <w:bCs/>
          <w:color w:val="auto"/>
          <w:sz w:val="32"/>
          <w:szCs w:val="32"/>
          <w:lang w:val="en-US" w:eastAsia="zh-CN"/>
        </w:rPr>
        <w:t>哪些项目可以申请，扶持标准如何？</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pPr>
      <w:r>
        <w:rPr>
          <w:rFonts w:ascii="Times New Roman" w:eastAsia="方正仿宋_GBK" w:cs="Times New Roman" w:hAnsi="Times New Roman" w:hint="eastAsia"/>
          <w:color w:val="auto"/>
          <w:sz w:val="32"/>
          <w:szCs w:val="32"/>
          <w:lang w:val="en-US" w:eastAsia="zh-CN"/>
        </w:rPr>
        <w:t>答2：企业在渝中区自主投资建设的先进算力基础设施、算力调度和运营等算力供给平台项目。根据项目的投资规模、就业贡献、营收规模、服务企业数量、算力资源规模等综合评定，给予一次性不超过200万元的扶持。</w:t>
      </w:r>
    </w:p>
    <w:p>
      <w:pPr>
        <w:keepNext w:val="0"/>
        <w:keepLines w:val="0"/>
        <w:pageBreakBefore w:val="0"/>
        <w:widowControl w:val="0"/>
        <w:kinsoku/>
        <w:wordWrap/>
        <w:overflowPunct/>
        <w:topLinePunct w:val="0"/>
        <w:autoSpaceDE/>
        <w:autoSpaceDN/>
        <w:bidi w:val="0"/>
        <w:adjustRightInd/>
        <w:snapToGrid/>
        <w:spacing w:line="594" w:lineRule="exact"/>
        <w:ind w:left="0" w:firstLineChars="200" w:firstLine="640"/>
        <w:textAlignment w:val="auto"/>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pPr>
      <w:r>
        <w:rPr>
          <w:rFonts w:ascii="Times New Roman" w:eastAsia="方正仿宋_GBK" w:cs="Times New Roman" w:hAnsi="Times New Roman" w:hint="eastAsia"/>
          <w:b/>
          <w:bCs/>
          <w:i w:val="0"/>
          <w:iCs w:val="0"/>
          <w:caps w:val="0"/>
          <w:smallCaps w:val="0"/>
          <w:color w:val="000000"/>
          <w:spacing w:val="0"/>
          <w:sz w:val="32"/>
          <w:szCs w:val="32"/>
          <w:shd w:val="clear" w:color="auto" w:fill="FFFFFF"/>
          <w:lang w:eastAsia="zh-CN"/>
        </w:rPr>
        <w:t>问</w:t>
      </w:r>
      <w:r>
        <w:rPr>
          <w:rFonts w:ascii="Times New Roman" w:eastAsia="方正仿宋_GBK" w:cs="Times New Roman" w:hAnsi="Times New Roman" w:hint="eastAsia"/>
          <w:b/>
          <w:bCs/>
          <w:i w:val="0"/>
          <w:iCs w:val="0"/>
          <w:caps w:val="0"/>
          <w:smallCaps w:val="0"/>
          <w:color w:val="000000"/>
          <w:spacing w:val="0"/>
          <w:sz w:val="32"/>
          <w:szCs w:val="32"/>
          <w:shd w:val="clear" w:color="auto" w:fill="FFFFFF"/>
          <w:lang w:val="en-US" w:eastAsia="zh-CN"/>
        </w:rPr>
        <w:t>3：</w:t>
      </w:r>
      <w:r>
        <w:rPr>
          <w:rFonts w:ascii="Times New Roman" w:eastAsia="方正仿宋_GBK" w:cs="Times New Roman" w:hAnsi="Times New Roman" w:hint="eastAsia"/>
          <w:b/>
          <w:bCs/>
          <w:color w:val="auto"/>
          <w:kern w:val="0"/>
          <w:sz w:val="32"/>
          <w:szCs w:val="32"/>
          <w:lang w:val="en-US" w:eastAsia="zh-CN"/>
        </w:rPr>
        <w:t>后期是否会出台详细的实施细则或申报指南？</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color w:val="auto"/>
          <w:sz w:val="32"/>
          <w:szCs w:val="32"/>
          <w:lang w:val="en-US" w:eastAsia="zh-CN"/>
        </w:rPr>
      </w:pPr>
      <w:r>
        <w:rPr>
          <w:rFonts w:ascii="Times New Roman" w:eastAsia="方正仿宋_GBK" w:cs="Times New Roman" w:hAnsi="Times New Roman" w:hint="eastAsia"/>
          <w:color w:val="auto"/>
          <w:sz w:val="32"/>
          <w:szCs w:val="32"/>
          <w:lang w:val="en-US" w:eastAsia="zh-CN"/>
        </w:rPr>
        <w:t>本政策实行申报认定制，申报认定工作按年度开展，区大数据发展局每年明确申报指南及相关规则。</w:t>
      </w:r>
    </w:p>
    <w:p>
      <w:pPr>
        <w:keepNext w:val="0"/>
        <w:keepLines w:val="0"/>
        <w:pageBreakBefore w:val="0"/>
        <w:widowControl w:val="0"/>
        <w:kinsoku/>
        <w:wordWrap/>
        <w:overflowPunct/>
        <w:topLinePunct w:val="0"/>
        <w:autoSpaceDE/>
        <w:autoSpaceDN/>
        <w:bidi w:val="0"/>
        <w:adjustRightInd/>
        <w:snapToGrid/>
        <w:spacing w:line="594" w:lineRule="exact"/>
        <w:ind w:left="0" w:firstLineChars="200" w:firstLine="640"/>
        <w:textAlignment w:val="auto"/>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pPr>
      <w:r>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t>问</w:t>
      </w:r>
      <w:r>
        <w:rPr>
          <w:rFonts w:ascii="Times New Roman" w:eastAsia="方正仿宋_GBK" w:cs="Times New Roman" w:hAnsi="Times New Roman" w:hint="eastAsia"/>
          <w:b/>
          <w:bCs/>
          <w:i w:val="0"/>
          <w:iCs w:val="0"/>
          <w:caps w:val="0"/>
          <w:smallCaps w:val="0"/>
          <w:color w:val="000000"/>
          <w:spacing w:val="0"/>
          <w:sz w:val="32"/>
          <w:szCs w:val="32"/>
          <w:shd w:val="clear" w:color="auto" w:fill="FFFFFF"/>
          <w:lang w:val="en-US" w:eastAsia="zh-CN"/>
        </w:rPr>
        <w:t>4</w:t>
      </w:r>
      <w:r>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t>：</w:t>
      </w:r>
      <w:r>
        <w:rPr>
          <w:rFonts w:ascii="Times New Roman" w:eastAsia="方正仿宋_GBK" w:cs="Times New Roman" w:hAnsi="Times New Roman"/>
          <w:b/>
          <w:bCs/>
          <w:color w:val="auto"/>
          <w:kern w:val="0"/>
          <w:sz w:val="32"/>
          <w:szCs w:val="32"/>
          <w:lang w:val="en-US" w:eastAsia="zh-CN"/>
        </w:rPr>
        <w:t>支持哪些技术攻关项目</w:t>
      </w:r>
      <w:r>
        <w:rPr>
          <w:rFonts w:ascii="Times New Roman" w:eastAsia="方正仿宋_GBK" w:cs="Times New Roman" w:hAnsi="Times New Roman" w:hint="eastAsia"/>
          <w:b/>
          <w:bCs/>
          <w:color w:val="auto"/>
          <w:kern w:val="0"/>
          <w:sz w:val="32"/>
          <w:szCs w:val="32"/>
          <w:lang w:val="en-US" w:eastAsia="zh-CN"/>
        </w:rPr>
        <w:t>，</w:t>
      </w:r>
      <w:r>
        <w:rPr>
          <w:rFonts w:ascii="Times New Roman" w:eastAsia="方正仿宋_GBK" w:cs="Times New Roman" w:hAnsi="Times New Roman"/>
          <w:b/>
          <w:bCs/>
          <w:color w:val="auto"/>
          <w:kern w:val="0"/>
          <w:sz w:val="32"/>
          <w:szCs w:val="32"/>
          <w:lang w:val="en-US" w:eastAsia="zh-CN"/>
        </w:rPr>
        <w:t>资助额度如何确定？</w:t>
      </w:r>
    </w:p>
    <w:p>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4" w:lineRule="exact"/>
        <w:ind w:left="0" w:right="0" w:firstLineChars="200" w:firstLine="640"/>
        <w:jc w:val="both"/>
        <w:textAlignment w:val="auto"/>
        <w:rPr>
          <w:rFonts w:ascii="Times New Roman" w:eastAsia="方正仿宋_GBK" w:cs="Times New Roman" w:hAnsi="Times New Roman" w:hint="eastAsia"/>
          <w:color w:val="auto"/>
          <w:sz w:val="32"/>
          <w:szCs w:val="32"/>
          <w:lang w:val="en-US" w:eastAsia="zh-CN"/>
        </w:rPr>
      </w:pPr>
      <w:r>
        <w:rPr>
          <w:rFonts w:ascii="Times New Roman" w:eastAsia="方正仿宋_GBK" w:cs="Times New Roman" w:hAnsi="Times New Roman"/>
          <w:color w:val="auto"/>
          <w:sz w:val="32"/>
          <w:szCs w:val="32"/>
          <w:lang w:val="en-US" w:eastAsia="zh-CN"/>
        </w:rPr>
        <w:t>答</w:t>
      </w:r>
      <w:r>
        <w:rPr>
          <w:rFonts w:ascii="Times New Roman" w:eastAsia="方正仿宋_GBK" w:cs="Times New Roman" w:hAnsi="Times New Roman" w:hint="eastAsia"/>
          <w:color w:val="auto"/>
          <w:sz w:val="32"/>
          <w:szCs w:val="32"/>
          <w:lang w:val="en-US" w:eastAsia="zh-CN"/>
        </w:rPr>
        <w:t>4</w:t>
      </w:r>
      <w:r>
        <w:rPr>
          <w:rFonts w:ascii="Times New Roman" w:eastAsia="方正仿宋_GBK" w:cs="Times New Roman" w:hAnsi="Times New Roman"/>
          <w:color w:val="auto"/>
          <w:sz w:val="32"/>
          <w:szCs w:val="32"/>
          <w:lang w:val="en-US" w:eastAsia="zh-CN"/>
        </w:rPr>
        <w:t>：</w:t>
      </w:r>
      <w:r>
        <w:rPr>
          <w:rFonts w:ascii="Times New Roman" w:eastAsia="方正仿宋_GBK" w:cs="Times New Roman" w:hAnsi="Times New Roman" w:hint="eastAsia"/>
          <w:color w:val="auto"/>
          <w:sz w:val="32"/>
          <w:szCs w:val="32"/>
          <w:lang w:val="en-US" w:eastAsia="zh-CN"/>
        </w:rPr>
        <w:t>企业开展的算力关键技术研究，以及承接的国家级、市级重点研发任务。对符合政策规定的项目，按国家、市级实际到账资助经费的10％给予资助，最高不超过100万元。</w:t>
      </w:r>
      <w:r>
        <w:rPr>
          <w:rFonts w:ascii="Times New Roman" w:eastAsia="方正仿宋_GBK" w:cs="Times New Roman" w:hAnsi="Times New Roman"/>
          <w:color w:val="auto"/>
          <w:sz w:val="32"/>
          <w:szCs w:val="32"/>
          <w:lang w:val="en-US" w:eastAsia="zh-CN"/>
        </w:rPr>
        <w:t>对获得国家级荣誉或承担国家级试点任务的国产化算力项目，经综合评定后给予最高不超过20万元的扶持。</w:t>
      </w:r>
      <w:r>
        <w:rPr>
          <w:rFonts w:ascii="Times New Roman" w:eastAsia="方正仿宋_GBK" w:cs="Times New Roman" w:hAnsi="Times New Roman" w:hint="eastAsia"/>
          <w:color w:val="auto"/>
          <w:sz w:val="32"/>
          <w:szCs w:val="32"/>
          <w:lang w:val="en-US" w:eastAsia="zh-CN"/>
        </w:rPr>
        <w:t>例如渝中某企业聚焦国产化算力，并取得相关认证，可申报该项条款。</w:t>
      </w:r>
    </w:p>
    <w:p>
      <w:pPr>
        <w:keepNext w:val="0"/>
        <w:keepLines w:val="0"/>
        <w:pageBreakBefore w:val="0"/>
        <w:widowControl w:val="0"/>
        <w:kinsoku/>
        <w:wordWrap/>
        <w:overflowPunct/>
        <w:topLinePunct w:val="0"/>
        <w:autoSpaceDE/>
        <w:autoSpaceDN/>
        <w:bidi w:val="0"/>
        <w:adjustRightInd/>
        <w:snapToGrid/>
        <w:spacing w:line="594" w:lineRule="exact"/>
        <w:ind w:left="0" w:firstLineChars="200" w:firstLine="640"/>
        <w:textAlignment w:val="auto"/>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pPr>
      <w:r>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t>问</w:t>
      </w:r>
      <w:r>
        <w:rPr>
          <w:rFonts w:ascii="Times New Roman" w:eastAsia="方正仿宋_GBK" w:cs="Times New Roman" w:hAnsi="Times New Roman" w:hint="eastAsia"/>
          <w:b/>
          <w:bCs/>
          <w:i w:val="0"/>
          <w:iCs w:val="0"/>
          <w:caps w:val="0"/>
          <w:smallCaps w:val="0"/>
          <w:color w:val="000000"/>
          <w:spacing w:val="0"/>
          <w:sz w:val="32"/>
          <w:szCs w:val="32"/>
          <w:shd w:val="clear" w:color="auto" w:fill="FFFFFF"/>
          <w:lang w:val="en-US" w:eastAsia="zh-CN"/>
        </w:rPr>
        <w:t>5</w:t>
      </w:r>
      <w:r>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t>：</w:t>
      </w:r>
      <w:r>
        <w:rPr>
          <w:rFonts w:ascii="Times New Roman" w:eastAsia="方正仿宋_GBK" w:cs="Times New Roman" w:hAnsi="Times New Roman" w:hint="eastAsia"/>
          <w:b/>
          <w:bCs/>
          <w:i w:val="0"/>
          <w:iCs w:val="0"/>
          <w:caps w:val="0"/>
          <w:smallCaps w:val="0"/>
          <w:color w:val="000000"/>
          <w:spacing w:val="0"/>
          <w:sz w:val="32"/>
          <w:szCs w:val="32"/>
          <w:shd w:val="clear" w:color="auto" w:fill="FFFFFF"/>
          <w:lang w:eastAsia="zh-CN"/>
        </w:rPr>
        <w:t>与其他政策如何衔接</w:t>
      </w:r>
      <w:r>
        <w:rPr>
          <w:rFonts w:ascii="Times New Roman" w:eastAsia="方正仿宋_GBK" w:cs="Times New Roman" w:hAnsi="Times New Roman"/>
          <w:b/>
          <w:bCs/>
          <w:i w:val="0"/>
          <w:iCs w:val="0"/>
          <w:caps w:val="0"/>
          <w:small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Chars="200" w:firstLine="640"/>
        <w:textAlignment w:val="auto"/>
        <w:rPr>
          <w:rFonts w:ascii="Times New Roman" w:eastAsia="方正仿宋_GBK" w:cs="Times New Roman" w:hAnsi="Times New Roman"/>
          <w:color w:val="auto"/>
          <w:sz w:val="32"/>
          <w:szCs w:val="32"/>
          <w:lang w:val="en-US" w:eastAsia="zh-CN"/>
        </w:rPr>
      </w:pPr>
      <w:r>
        <w:rPr>
          <w:rFonts w:ascii="Times New Roman" w:eastAsia="方正仿宋_GBK" w:cs="Times New Roman" w:hAnsi="Times New Roman"/>
          <w:color w:val="auto"/>
          <w:sz w:val="32"/>
          <w:szCs w:val="32"/>
          <w:lang w:val="en-US" w:eastAsia="zh-CN"/>
        </w:rPr>
        <w:t>答</w:t>
      </w:r>
      <w:r>
        <w:rPr>
          <w:rFonts w:ascii="Times New Roman" w:eastAsia="方正仿宋_GBK" w:cs="Times New Roman" w:hAnsi="Times New Roman" w:hint="eastAsia"/>
          <w:color w:val="auto"/>
          <w:sz w:val="32"/>
          <w:szCs w:val="32"/>
          <w:lang w:val="en-US" w:eastAsia="zh-CN"/>
        </w:rPr>
        <w:t>5</w:t>
      </w:r>
      <w:r>
        <w:rPr>
          <w:rFonts w:ascii="Times New Roman" w:eastAsia="方正仿宋_GBK" w:cs="Times New Roman" w:hAnsi="Times New Roman"/>
          <w:color w:val="auto"/>
          <w:sz w:val="32"/>
          <w:szCs w:val="32"/>
          <w:lang w:val="en-US" w:eastAsia="zh-CN"/>
        </w:rPr>
        <w:t>：本政策为《渝中区</w:t>
      </w:r>
      <w:r>
        <w:rPr>
          <w:rFonts w:ascii="Times New Roman" w:eastAsia="方正仿宋_GBK" w:cs="Times New Roman" w:hAnsi="Times New Roman" w:hint="eastAsia"/>
          <w:color w:val="auto"/>
          <w:sz w:val="32"/>
          <w:szCs w:val="32"/>
          <w:lang w:val="en-US" w:eastAsia="zh-CN"/>
        </w:rPr>
        <w:t>促进</w:t>
      </w:r>
      <w:r>
        <w:rPr>
          <w:rFonts w:ascii="Times New Roman" w:eastAsia="方正仿宋_GBK" w:cs="Times New Roman" w:hAnsi="Times New Roman"/>
          <w:color w:val="auto"/>
          <w:sz w:val="32"/>
          <w:szCs w:val="32"/>
          <w:lang w:val="en-US" w:eastAsia="zh-CN"/>
        </w:rPr>
        <w:t>软件和信息服务业</w:t>
      </w:r>
      <w:r>
        <w:rPr>
          <w:rFonts w:ascii="Times New Roman" w:eastAsia="方正仿宋_GBK" w:cs="Times New Roman" w:hAnsi="Times New Roman" w:hint="eastAsia"/>
          <w:color w:val="auto"/>
          <w:sz w:val="32"/>
          <w:szCs w:val="32"/>
          <w:lang w:val="en-US" w:eastAsia="zh-CN"/>
        </w:rPr>
        <w:t>高质量</w:t>
      </w:r>
      <w:r>
        <w:rPr>
          <w:rFonts w:ascii="Times New Roman" w:eastAsia="方正仿宋_GBK" w:cs="Times New Roman" w:hAnsi="Times New Roman"/>
          <w:color w:val="auto"/>
          <w:sz w:val="32"/>
          <w:szCs w:val="32"/>
          <w:lang w:val="en-US" w:eastAsia="zh-CN"/>
        </w:rPr>
        <w:t>发展</w:t>
      </w:r>
      <w:r>
        <w:rPr>
          <w:rFonts w:ascii="Times New Roman" w:eastAsia="方正仿宋_GBK" w:cs="Times New Roman" w:hAnsi="Times New Roman" w:hint="eastAsia"/>
          <w:color w:val="auto"/>
          <w:sz w:val="32"/>
          <w:szCs w:val="32"/>
          <w:lang w:val="en-US" w:eastAsia="zh-CN"/>
        </w:rPr>
        <w:t>若干</w:t>
      </w:r>
      <w:r>
        <w:rPr>
          <w:rFonts w:ascii="Times New Roman" w:eastAsia="方正仿宋_GBK" w:cs="Times New Roman" w:hAnsi="Times New Roman"/>
          <w:color w:val="auto"/>
          <w:sz w:val="32"/>
          <w:szCs w:val="32"/>
          <w:lang w:val="en-US" w:eastAsia="zh-CN"/>
        </w:rPr>
        <w:t>政策</w:t>
      </w:r>
      <w:r>
        <w:rPr>
          <w:rFonts w:ascii="Times New Roman" w:eastAsia="方正仿宋_GBK" w:cs="Times New Roman" w:hAnsi="Times New Roman" w:hint="eastAsia"/>
          <w:color w:val="auto"/>
          <w:sz w:val="32"/>
          <w:szCs w:val="32"/>
          <w:lang w:val="en-US" w:eastAsia="zh-CN"/>
        </w:rPr>
        <w:t>（试行）</w:t>
      </w:r>
      <w:r>
        <w:rPr>
          <w:rFonts w:ascii="Times New Roman" w:eastAsia="方正仿宋_GBK" w:cs="Times New Roman" w:hAnsi="Times New Roman"/>
          <w:color w:val="auto"/>
          <w:sz w:val="32"/>
          <w:szCs w:val="32"/>
          <w:lang w:val="en-US" w:eastAsia="zh-CN"/>
        </w:rPr>
        <w:t>》关于算力供给与算力消纳的子政策，人才、载体等其他政策支持以“软信</w:t>
      </w:r>
      <w:r>
        <w:rPr>
          <w:rFonts w:ascii="Times New Roman" w:eastAsia="方正仿宋_GBK" w:cs="Times New Roman" w:hAnsi="Times New Roman" w:hint="eastAsia"/>
          <w:color w:val="auto"/>
          <w:sz w:val="32"/>
          <w:szCs w:val="32"/>
          <w:lang w:val="en-US" w:eastAsia="zh-CN"/>
        </w:rPr>
        <w:t>政策</w:t>
      </w:r>
      <w:r>
        <w:rPr>
          <w:rFonts w:ascii="Times New Roman" w:eastAsia="方正仿宋_GBK" w:cs="Times New Roman" w:hAnsi="Times New Roman"/>
          <w:color w:val="auto"/>
          <w:sz w:val="32"/>
          <w:szCs w:val="32"/>
          <w:lang w:val="en-US" w:eastAsia="zh-CN"/>
        </w:rPr>
        <w:t>”为准。申报主体同一项目同时满足本政策多个条款或渝中区其他扶持政策扶持条件的，按照“就高不重复”原则执行。</w:t>
      </w:r>
    </w:p>
    <w:p>
      <w:pPr>
        <w:keepNext w:val="0"/>
        <w:keepLines w:val="0"/>
        <w:pageBreakBefore w:val="0"/>
        <w:widowControl w:val="0"/>
        <w:kinsoku/>
        <w:wordWrap/>
        <w:overflowPunct w:val="0"/>
        <w:topLinePunct w:val="0"/>
        <w:autoSpaceDE/>
        <w:autoSpaceDN/>
        <w:bidi w:val="0"/>
        <w:adjustRightInd/>
        <w:snapToGrid/>
        <w:spacing w:after="0" w:line="594" w:lineRule="exact"/>
        <w:ind w:firstLineChars="200" w:firstLine="640"/>
        <w:jc w:val="both"/>
        <w:textAlignment w:val="auto"/>
        <w:rPr>
          <w:rFonts w:ascii="Times New Roman" w:eastAsia="方正黑体_GBK" w:cs="Times New Roman" w:hAnsi="Times New Roman" w:hint="eastAsia"/>
          <w:color w:val="auto"/>
          <w:kern w:val="2"/>
          <w:sz w:val="32"/>
          <w:szCs w:val="32"/>
          <w:lang w:val="en-US" w:eastAsia="zh-CN"/>
        </w:rPr>
      </w:pPr>
      <w:r>
        <w:rPr>
          <w:rFonts w:ascii="Times New Roman" w:eastAsia="方正黑体_GBK" w:cs="Times New Roman" w:hAnsi="Times New Roman" w:hint="eastAsia"/>
          <w:color w:val="auto"/>
          <w:kern w:val="2"/>
          <w:sz w:val="32"/>
          <w:szCs w:val="32"/>
          <w:lang w:val="en-US" w:eastAsia="zh-CN"/>
        </w:rPr>
        <w:t>五、专家视角</w:t>
      </w:r>
    </w:p>
    <w:p>
      <w:pPr>
        <w:keepNext w:val="0"/>
        <w:keepLines w:val="0"/>
        <w:pageBreakBefore w:val="0"/>
        <w:widowControl w:val="0"/>
        <w:kinsoku/>
        <w:wordWrap/>
        <w:overflowPunct/>
        <w:topLinePunct w:val="0"/>
        <w:autoSpaceDE/>
        <w:autoSpaceDN/>
        <w:bidi w:val="0"/>
        <w:adjustRightInd/>
        <w:snapToGrid/>
        <w:spacing w:line="594" w:lineRule="exact"/>
        <w:ind w:left="0" w:firstLineChars="200" w:firstLine="640"/>
        <w:textAlignment w:val="auto"/>
        <w:rPr>
          <w:rFonts w:ascii="Times New Roman" w:eastAsia="方正仿宋_GBK" w:cs="Times New Roman" w:hAnsi="Times New Roman" w:hint="eastAsia"/>
          <w:bCs/>
          <w:color w:val="auto"/>
          <w:sz w:val="32"/>
          <w:szCs w:val="32"/>
          <w:lang w:val="en-US" w:eastAsia="zh-CN"/>
          <w:highlight w:val="auto"/>
        </w:rPr>
      </w:pPr>
      <w:r>
        <w:rPr>
          <w:rFonts w:ascii="Times New Roman" w:eastAsia="方正仿宋_GBK" w:cs="Times New Roman" w:hAnsi="Times New Roman" w:hint="eastAsia"/>
          <w:color w:val="auto"/>
          <w:sz w:val="32"/>
          <w:szCs w:val="32"/>
          <w:lang w:val="en-US" w:eastAsia="zh-CN"/>
        </w:rPr>
        <w:t>渝中区大数据发展局主要负责人表示：《渝中区促进算力经济高质量发展（试行）》</w:t>
      </w:r>
      <w:r>
        <w:rPr>
          <w:rFonts w:ascii="Times New Roman" w:eastAsia="方正仿宋_GBK" w:cs="Times New Roman" w:hAnsi="Times New Roman"/>
          <w:bCs/>
          <w:color w:val="auto"/>
          <w:sz w:val="32"/>
          <w:szCs w:val="32"/>
          <w:lang w:val="en-US" w:eastAsia="zh-CN"/>
          <w:highlight w:val="auto"/>
        </w:rPr>
        <w:t>围绕加快建成西部算电协同创新中心，拟定了加大算力供给项目扶持力度、鼓励算力技术攻关、建立算力消纳补贴机制、推进算力赋能“4311”现代化产业体系4条政策</w:t>
      </w:r>
      <w:r>
        <w:rPr>
          <w:rFonts w:ascii="Times New Roman" w:eastAsia="方正仿宋_GBK" w:cs="Times New Roman" w:hAnsi="Times New Roman" w:hint="eastAsia"/>
          <w:bCs/>
          <w:color w:val="auto"/>
          <w:sz w:val="32"/>
          <w:szCs w:val="32"/>
          <w:lang w:val="en-US" w:eastAsia="zh-CN"/>
          <w:highlight w:val="auto"/>
        </w:rPr>
        <w:t>，旨在加快打造西部算电协同创新中心，加速融入国家一体化算力网布局，建成自主可控、多联互通、绿色安全的能源算力基础设施，丰富拓展算力高效协同应用场景，着力建成具有全国影响力的绿色能源与新型算力联动的西部算力创新枢纽。</w:t>
      </w:r>
    </w:p>
    <w:p>
      <w:pPr>
        <w:keepNext w:val="0"/>
        <w:keepLines w:val="0"/>
        <w:pageBreakBefore w:val="0"/>
        <w:widowControl w:val="0"/>
        <w:numPr>
          <w:ilvl w:val="0"/>
          <w:numId w:val="1"/>
        </w:numPr>
        <w:kinsoku/>
        <w:wordWrap/>
        <w:overflowPunct w:val="0"/>
        <w:topLinePunct w:val="0"/>
        <w:autoSpaceDE/>
        <w:autoSpaceDN/>
        <w:bidi w:val="0"/>
        <w:adjustRightInd/>
        <w:snapToGrid/>
        <w:spacing w:after="0" w:line="594" w:lineRule="exact"/>
        <w:ind w:left="0" w:firstLineChars="200" w:firstLine="640"/>
        <w:jc w:val="both"/>
        <w:textAlignment w:val="auto"/>
        <w:rPr>
          <w:rFonts w:ascii="Times New Roman" w:eastAsia="方正黑体_GBK" w:cs="Times New Roman" w:hAnsi="Times New Roman" w:hint="eastAsia"/>
          <w:color w:val="auto"/>
          <w:kern w:val="2"/>
          <w:sz w:val="32"/>
          <w:szCs w:val="32"/>
          <w:lang w:val="en-US" w:eastAsia="zh-CN"/>
        </w:rPr>
      </w:pPr>
      <w:r>
        <w:rPr>
          <w:rFonts w:ascii="Times New Roman" w:eastAsia="方正黑体_GBK" w:cs="Times New Roman" w:hAnsi="Times New Roman" w:hint="eastAsia"/>
          <w:color w:val="auto"/>
          <w:kern w:val="2"/>
          <w:sz w:val="32"/>
          <w:szCs w:val="32"/>
          <w:lang w:val="en-US" w:eastAsia="zh-CN"/>
        </w:rPr>
        <w:t>政策咨询渠道</w:t>
      </w:r>
    </w:p>
    <w:p>
      <w:pPr>
        <w:keepNext w:val="0"/>
        <w:keepLines w:val="0"/>
        <w:pageBreakBefore w:val="0"/>
        <w:widowControl w:val="0"/>
        <w:kinsoku/>
        <w:wordWrap/>
        <w:overflowPunct w:val="0"/>
        <w:topLinePunct w:val="0"/>
        <w:autoSpaceDE/>
        <w:autoSpaceDN/>
        <w:bidi w:val="0"/>
        <w:adjustRightInd/>
        <w:snapToGrid/>
        <w:spacing w:after="0" w:line="594" w:lineRule="exact"/>
        <w:ind w:left="0" w:firstLineChars="200" w:firstLine="640"/>
        <w:jc w:val="both"/>
        <w:textAlignment w:val="auto"/>
        <w:rPr>
          <w:rFonts w:ascii="Times New Roman" w:eastAsia="方正黑体_GBK" w:cs="Times New Roman" w:hAnsi="Times New Roman"/>
          <w:color w:val="auto"/>
          <w:kern w:val="2"/>
          <w:sz w:val="32"/>
          <w:szCs w:val="32"/>
          <w:lang w:val="en-US" w:eastAsia="zh-CN"/>
        </w:rPr>
      </w:pPr>
      <w:r>
        <w:rPr>
          <w:rFonts w:ascii="Times New Roman" w:eastAsia="方正仿宋_GBK" w:cs="Times New Roman" w:hAnsi="Times New Roman" w:hint="eastAsia"/>
          <w:color w:val="auto"/>
          <w:sz w:val="32"/>
          <w:szCs w:val="32"/>
          <w:lang w:val="en-US" w:eastAsia="zh-CN"/>
        </w:rPr>
        <w:t>《渝中区促进算力经济高质量发展（试行）》由重庆市渝中区大数据应用发展管理局负责政策解读。联系人：杜森，联系电话：023-63768099。</w:t>
      </w:r>
    </w:p>
    <w:sectPr>
      <w:footerReference w:type="default" r:id="rId2"/>
      <w:pgSz w:w="11906" w:h="16838"/>
      <w:pgMar w:top="1984" w:right="1446" w:bottom="1644" w:left="1446"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0"/>
    <w:family w:val="auto"/>
    <w:pitch w:val="variable"/>
    <w:sig w:usb0="00000003" w:usb1="288F0000" w:usb2="00000006" w:usb3="00000000" w:csb0="00040001" w:csb1="00000000"/>
  </w:font>
  <w:font w:name="Times New Roman">
    <w:altName w:val="DejaVu Sans"/>
    <w:panose1 w:val="02020603050405020304"/>
    <w:charset w:val="CC"/>
    <w:family w:val="roman"/>
    <w:pitch w:val="variable"/>
    <w:sig w:usb0="E0002AFF" w:usb1="C0007841" w:usb2="00000009" w:usb3="00000000" w:csb0="400001FF" w:csb1="FFFF0000"/>
  </w:font>
  <w:font w:name="方正小标宋_GBK">
    <w:panose1 w:val="03000509000000000000"/>
    <w:charset w:val="86"/>
    <w:family w:val="auto"/>
    <w:pitch w:val="variable"/>
    <w:sig w:usb0="00000001" w:usb1="080E0000" w:usb2="00000000" w:usb3="00000000" w:csb0="00040000" w:csb1="00000000"/>
  </w:font>
  <w:font w:name="方正仿宋_GBK">
    <w:altName w:val="永中宋体"/>
    <w:panose1 w:val="03000509000000000000"/>
    <w:charset w:val="86"/>
    <w:family w:val="auto"/>
    <w:pitch w:val="variable"/>
    <w:sig w:usb0="00000001" w:usb1="080E0000" w:usb2="00000000" w:usb3="00000000" w:csb0="00040000" w:csb1="00000000"/>
  </w:font>
  <w:font w:name="方正黑体_GBK">
    <w:altName w:val="永中宋体"/>
    <w:panose1 w:val="03000509000000000000"/>
    <w:charset w:val="86"/>
    <w:family w:val="script"/>
    <w:pitch w:val="variable"/>
    <w:sig w:usb0="00000001" w:usb1="080E0000" w:usb2="0000000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Cambria">
    <w:altName w:val="DejaVu Sans"/>
    <w:panose1 w:val="02040503050406030204"/>
    <w:charset w:val="00"/>
    <w:family w:val="roman"/>
    <w:pitch w:val="variable"/>
    <w:sig w:usb0="E00002FF" w:usb1="400004FF" w:usb2="00000000" w:usb3="00000000" w:csb0="2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pPr>
    <w:r>
      <w:rPr>
        <w:sz w:val="18"/>
      </w:rPr>
      <mc:AlternateContent>
        <mc:Choice Requires="wps">
          <w:drawing>
            <wp:anchor distT="0" distB="0" distL="114298" distR="114298" simplePos="0" relativeHeight="10" behindDoc="0" locked="0" layoutInCell="1" hidden="0" allowOverlap="1">
              <wp:simplePos x="0" y="0"/>
              <wp:positionH relativeFrom="margin">
                <wp:align>outside</wp:align>
              </wp:positionH>
              <wp:positionV relativeFrom="paragraph">
                <wp:posOffset>0</wp:posOffset>
              </wp:positionV>
              <wp:extent cx="554126" cy="198546"/>
              <wp:effectExtent l="0" t="0" r="0" b="0"/>
              <wp:wrapNone/>
              <wp:docPr id="1" name="文本框 1"/>
              <wp:cNvGraphicFramePr>
                <a:graphicFrameLocks noChangeAspect="0"/>
              </wp:cNvGraphicFramePr>
              <a:graphic>
                <a:graphicData uri="http://schemas.microsoft.com/office/word/2010/wordprocessingShape">
                  <wps:wsp>
                    <wps:cNvSpPr/>
                    <wps:spPr>
                      <a:xfrm rot="0">
                        <a:off x="0" y="0"/>
                        <a:ext cx="554126" cy="198546"/>
                      </a:xfrm>
                      <a:prstGeom prst="rect"/>
                      <a:noFill/>
                      <a:ln w="6350" cmpd="sng" cap="flat">
                        <a:noFill/>
                        <a:prstDash val="solid"/>
                        <a:round/>
                      </a:ln>
                    </wps:spPr>
                    <wps:txbx id="2">
                      <w:txbxContent>
                        <w:p>
                          <w:pPr>
                            <w:pStyle w:val="18"/>
                            <w:tabs>
                              <w:tab w:val="center" w:pos="4153"/>
                              <w:tab w:val="right" w:pos="8306"/>
                            </w:tabs>
                            <w:rPr>
                              <w:rFonts w:eastAsia="宋体" w:hint="eastAsia"/>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43.632008pt;height:15.633604pt;z-index:10;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rPr>
                        <w:rFonts w:eastAsia="宋体" w:hint="eastAsia"/>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A949C986"/>
    <w:multiLevelType w:val="singleLevel"/>
    <w:tmpl w:val="A949C986"/>
    <w:lvl w:ilvl="0">
      <w:start w:val="6"/>
      <w:numFmt w:val="chineseCounting"/>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useAltKinsokuLineBreakRules/>
    <w:compatSetting w:name="compatibilityMode" w:uri="http://schemas.microsoft.com/office/word" w:val="14"/>
  </w:compat>
  <w:docVars>
    <w:docVar w:name="commondata" w:val="eyJoZGlkIjoiNTNmOTMxZWJmZWQ2MDUzMTJjZDU1Y2RjZWE0NTM2N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4"/>
      <w:lang w:val="en-US" w:eastAsia="zh-CN" w:bidi="ar-SA"/>
    </w:rPr>
  </w:style>
  <w:style w:type="paragraph" w:styleId="2">
    <w:name w:val="heading 2"/>
    <w:basedOn w:val="0"/>
    <w:next w:val="0"/>
    <w:pPr>
      <w:spacing w:before="0" w:beforeAutospacing="1" w:after="0" w:afterAutospacing="1"/>
      <w:jc w:val="left"/>
      <w:outlineLvl w:val="1"/>
    </w:pPr>
    <w:rPr>
      <w:rFonts w:ascii="宋体" w:eastAsia="宋体" w:cs="宋体"/>
      <w:b/>
      <w:bCs/>
      <w:kern w:val="0"/>
      <w:sz w:val="36"/>
      <w:szCs w:val="36"/>
      <w:lang w:val="en-US" w:eastAsia="zh-CN"/>
    </w:rPr>
  </w:style>
  <w:style w:type="character" w:default="1" w:styleId="10">
    <w:name w:val="Default Paragraph Font"/>
  </w:style>
  <w:style w:type="paragraph" w:styleId="15">
    <w:name w:val="Message Header"/>
    <w:basedOn w:val="0"/>
    <w:pPr>
      <w:widowControl w:val="0"/>
      <w:pBdr>
        <w:top w:val="single" w:sz="6" w:space="1" w:color="auto"/>
        <w:left w:val="single" w:sz="6" w:space="1" w:color="auto"/>
        <w:bottom w:val="single" w:sz="6" w:space="1" w:color="auto"/>
        <w:right w:val="single" w:sz="6" w:space="1" w:color="auto"/>
      </w:pBdr>
      <w:shd w:val="pct20" w:color="auto" w:fill="auto"/>
      <w:ind w:leftChars="500" w:left="1000" w:hangingChars="500" w:hanging="500"/>
      <w:jc w:val="both"/>
    </w:pPr>
    <w:rPr>
      <w:rFonts w:ascii="Cambria" w:eastAsia="宋体" w:cs="Times New Roman" w:hAnsi="Cambria"/>
      <w:kern w:val="2"/>
      <w:sz w:val="24"/>
      <w:szCs w:val="24"/>
      <w:lang w:val="en-US" w:eastAsia="zh-CN" w:bidi="ar-SA"/>
    </w:rPr>
  </w:style>
  <w:style w:type="paragraph" w:styleId="16">
    <w:name w:val="Body Text"/>
    <w:basedOn w:val="0"/>
    <w:next w:val="0"/>
    <w:pPr>
      <w:spacing w:after="120"/>
    </w:pPr>
  </w:style>
  <w:style w:type="paragraph" w:styleId="17">
    <w:name w:val="toc 5"/>
    <w:basedOn w:val="0"/>
    <w:next w:val="0"/>
    <w:pPr>
      <w:ind w:leftChars="800" w:left="800"/>
      <w:jc w:val="both"/>
    </w:pPr>
    <w:rPr>
      <w:rFonts w:ascii="Calibri" w:eastAsia="方正仿宋_GBK" w:cs="Times New Roman" w:hAnsi="Calibri"/>
      <w:kern w:val="2"/>
      <w:sz w:val="32"/>
      <w:lang w:eastAsia="zh-CN" w:bidi="ar-SA"/>
    </w:r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0">
    <w:name w:val="Normal (Web)"/>
    <w:basedOn w:val="0"/>
    <w:pPr>
      <w:spacing w:before="0" w:beforeAutospacing="1" w:after="0" w:afterAutospacing="1"/>
      <w:ind w:left="0" w:right="0"/>
      <w:jc w:val="left"/>
    </w:pPr>
    <w:rPr>
      <w:kern w:val="0"/>
      <w:sz w:val="24"/>
      <w:lang w:val="en-US" w:eastAsia="zh-CN"/>
    </w:rPr>
  </w:style>
  <w:style w:type="paragraph" w:styleId="21">
    <w:name w:val="Body Text First Indent"/>
    <w:basedOn w:val="16"/>
    <w:next w:val="0"/>
    <w:pPr>
      <w:ind w:firstLineChars="100" w:firstLine="100"/>
    </w:pPr>
    <w:rPr>
      <w:rFonts w:ascii="Calibri" w:eastAsia="宋体" w:cs="Times New Roman" w:hAnsi="Calibri"/>
      <w:szCs w:val="24"/>
    </w:rPr>
  </w:style>
  <w:style w:type="character" w:styleId="22">
    <w:name w:val="Strong"/>
    <w:basedOn w:val="10"/>
    <w:rPr>
      <w:b/>
    </w:rPr>
  </w:style>
  <w:style w:type="character" w:styleId="23">
    <w:name w:val="Emphasis"/>
    <w:basedOn w:val="10"/>
    <w:rPr>
      <w:i/>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Application>
  <Pages>5</Pages>
  <Words>2022</Words>
  <Characters>2082</Characters>
  <Lines>91</Lines>
  <Paragraphs>27</Paragraphs>
  <CharactersWithSpaces>2087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xg</cp:lastModifiedBy>
  <cp:revision>0</cp:revision>
  <cp:lastPrinted>2025-04-21T06:51:00Z</cp:lastPrinted>
  <dcterms:created xsi:type="dcterms:W3CDTF">2023-09-13T08:43:00Z</dcterms:created>
  <dcterms:modified xsi:type="dcterms:W3CDTF">2025-08-26T01:04:42Z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235F1C494D2D4A7B83BB4E1F4C28B0F6_13</vt:lpwstr>
  </property>
  <property fmtid="{D5CDD505-2E9C-101B-9397-08002B2CF9AE}" pid="4" name="KSOTemplateDocerSaveRecord">
    <vt:lpwstr>eyJoZGlkIjoiMWI0Y2IzNDJkOGM1ZjlhNmU3OGI1ZmVlOGJmOGM0ZjQiLCJ1c2VySWQiOiI3MDA5NzU1MjIifQ==</vt:lpwstr>
  </property>
</Properties>
</file>