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D9" w:rsidRPr="007E6255" w:rsidRDefault="0094450F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E6255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《渝中区促进</w:t>
      </w:r>
      <w:r w:rsidRPr="007E6255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现代建筑业高质量发展</w:t>
      </w:r>
      <w:r w:rsidRPr="007E6255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若干政策（试行）》</w:t>
      </w:r>
      <w:r w:rsidRPr="007E6255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文字解读</w:t>
      </w:r>
    </w:p>
    <w:p w:rsidR="00785DD9" w:rsidRPr="007E6255" w:rsidRDefault="00785DD9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日前，重庆市渝中区人民政府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>办公室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印发了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《渝中区促进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现代建筑业高质量发展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若干政策（试行）》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【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以下简称《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>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（试行）》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】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。现就《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>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（试行）》内容解读如下：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一、编制背景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为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贯彻落实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《重庆市现代建筑产业发展“十四五”规划》（渝建管〔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2022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〕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19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号）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、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《重庆市推进建筑产业现代化促进建筑业高质量发展若干政策措施》（渝府办发〔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2020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〕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107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号）等市级政策文件精神</w:t>
      </w:r>
      <w:r w:rsidRPr="007E6255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结合渝中区“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4311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现代产业体系，按照区委、区政府工作要求，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为进一步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推动渝中区建筑业提质增效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制定出台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《渝中区促进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现代建筑业高质量发展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若干政策（试行）》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>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</w:t>
      </w: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编制过程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按照工作安排，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《若干政策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（试行）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》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于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10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月开始起草，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区住房城市建委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积极沟通市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住房城乡建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委相关处室、市建筑业协会，研究政策条款。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月召开了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场专题会，征求区建筑业协会会员单位、建筑施工、工程监理、造价咨询、勘察设计、房地产等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50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余家重点企业意见。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2024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12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，多次与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级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相关部门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沟通，全面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收集各方意见建议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40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余条，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前后作出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12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稿修改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同时，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（试行）》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也公开挂网进行了意见建议征集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，并通过了合法性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、公平性竞争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审核和完备性审核，经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十三届区委第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150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次常委会会议、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十四届区政府第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119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次常务会议审议通过。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5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6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日，重庆市渝中区人民政府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办公室正式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印发《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（试行）》并实施。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三、目的任务</w:t>
      </w:r>
    </w:p>
    <w:p w:rsidR="00785DD9" w:rsidRPr="007E6255" w:rsidRDefault="0094450F">
      <w:pPr>
        <w:spacing w:line="594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为深入贯彻实施现代建筑业产业发展战略，</w:t>
      </w:r>
      <w:r w:rsidRPr="007E6255">
        <w:rPr>
          <w:rFonts w:eastAsia="方正仿宋_GBK"/>
          <w:color w:val="000000" w:themeColor="text1"/>
          <w:sz w:val="32"/>
          <w:szCs w:val="32"/>
        </w:rPr>
        <w:t>发展新质生产力</w:t>
      </w:r>
      <w:r w:rsidRPr="007E6255">
        <w:rPr>
          <w:rFonts w:eastAsia="方正仿宋_GBK" w:hint="eastAsia"/>
          <w:color w:val="000000" w:themeColor="text1"/>
          <w:sz w:val="32"/>
          <w:szCs w:val="32"/>
        </w:rPr>
        <w:t>，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进一步促进建筑业发展质量和效益大幅提升，</w:t>
      </w:r>
      <w:r w:rsidRPr="007E6255">
        <w:rPr>
          <w:rFonts w:eastAsia="方正仿宋_GBK" w:hint="eastAsia"/>
          <w:color w:val="000000" w:themeColor="text1"/>
          <w:sz w:val="32"/>
          <w:szCs w:val="32"/>
        </w:rPr>
        <w:t>全面提升建筑企业整体实力和综合竞争力</w:t>
      </w:r>
      <w:r w:rsidRPr="007E6255">
        <w:rPr>
          <w:rFonts w:eastAsia="方正仿宋_GBK" w:hint="eastAsia"/>
          <w:color w:val="000000" w:themeColor="text1"/>
          <w:sz w:val="32"/>
          <w:szCs w:val="32"/>
        </w:rPr>
        <w:t>，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助推渝中区现代建筑业高质量发展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四、主要内容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该政策</w:t>
      </w:r>
      <w:r w:rsidRPr="007E625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涵盖支持升级资质、支持企业落地、支持壮大规模、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支持企业核心管理人员落户</w:t>
      </w:r>
      <w:r w:rsidRPr="007E625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、培育市场主体、推进告知承诺制等六条措施，具体内容如下：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1.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支持升级资质。为进一步促进企业资质升级，给予一定奖励。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2.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支持企业落地。一是对新引进企业具有高等级资质企业，参照存量企业资质等级设定金额，加大引进企业力度。二是对新引进的其他企业，经认定，根据其办公经营场所和拉动就业情况进行一定奖励。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3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支持壮大规模。根据营业收入、注册地产值、在地产值、研究开发费用投入，分档次给予奖励。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4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支持企业核心管理人员落户。支持渝中区规模以上企业及总部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(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重点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)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企业深耕经营和持续发展，经认定的核心管理人员在区内落户的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，支持其子女享受教育优待服务。</w:t>
      </w:r>
    </w:p>
    <w:p w:rsidR="00785DD9" w:rsidRPr="007E6255" w:rsidRDefault="0094450F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5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培育市场主体。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鼓励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建设方与总包、总包方与工程分包、劳务或材料供应商的合作。支持央企、国有企业与民营企业结对联合，发挥各自比较优势。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鼓励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建筑业企业与各级政府平台公司深度合作，提升企业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投融建管运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综合能力。鼓励企业参与抢险救灾工程及限额以下非必须招标工程项目。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支持建筑业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企业信用修复。</w:t>
      </w:r>
    </w:p>
    <w:p w:rsidR="00785DD9" w:rsidRPr="007E6255" w:rsidRDefault="0094450F">
      <w:pPr>
        <w:pStyle w:val="1"/>
        <w:widowControl w:val="0"/>
        <w:adjustRightInd w:val="0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6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.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推进告知承诺制。根据《关于试点推行部分建筑业企业资质告知承诺制审批工作的通知》（渝建管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〔</w:t>
      </w: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2025</w:t>
      </w: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〕</w:t>
      </w:r>
      <w:r w:rsidRPr="007E6255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38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kern w:val="2"/>
          <w:sz w:val="32"/>
          <w:szCs w:val="32"/>
        </w:rPr>
        <w:t>号）文件，已从事建筑业产业链相关经营活动，具有一定规模、信誉良好的企业或其子公司，可通过告知承诺制申请建筑业企业资质。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 xml:space="preserve"> 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五、核心政策问答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1.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渝中区出台现代建筑业高质量发展政策的主要考量是什么？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答：促进渝中区现代建筑业高质量发展，对于提升区域经济实力、推动城市建设、顺应行业趋势等方面具有重要意义。从经济层面看，建筑业作为支柱产业之一，其高质量发展能有力拉动区域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 xml:space="preserve"> GDP 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增长。在城市建设方面，有助于提升城市品质与形象。渝中区作为重庆母城，高质量打造地标性建筑，优化城市空间布局，完善城市功能配套，增强区域吸引力与竞争力。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2.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《若干政策（试行）》发布后，企业如何进行申报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?</w:t>
      </w:r>
    </w:p>
    <w:p w:rsidR="00785DD9" w:rsidRPr="007E6255" w:rsidRDefault="0094450F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答：实行年度申报认定制，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区住房城市建委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每年会发布政策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兑现申报通知及申报指南。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申报主体需基于上年度经营情况提交材料，经部门审核认定后兑现资金。同一项目若同时符合渝中区其他扶持政策，按“就高不重复”原则执行。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3.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政策对建筑业企业做大做强的激励措施是什么？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答：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激励措施主要包括两个方面：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一是资质激励，例如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中冶赛迪工程技术股份有限公司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通过资质升级获得建筑工程施工总承包特级资质后，按照相关政策获</w:t>
      </w:r>
      <w:bookmarkStart w:id="0" w:name="_GoBack"/>
      <w:bookmarkEnd w:id="0"/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得了区里给予的一次性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资质升级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奖励扶持，用于企业技术研发与人才培养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等方面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；二是规模激励，对年营业收入达到一定标准的建筑业企业，按行业分档给予奖励，比如某大型建筑施工企业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注册地产值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突破</w:t>
      </w:r>
      <w:r w:rsidRPr="007E6255"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  <w:t>100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 xml:space="preserve"> 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亿元，符合该行业规模奖励的最高档标准，获得了相应的资金奖励，以鼓励其进一步扩大经营规模。</w:t>
      </w:r>
    </w:p>
    <w:p w:rsidR="00785DD9" w:rsidRPr="007E6255" w:rsidRDefault="0094450F">
      <w:pPr>
        <w:spacing w:line="594" w:lineRule="exact"/>
        <w:ind w:firstLineChars="200" w:firstLine="640"/>
        <w:rPr>
          <w:color w:val="000000" w:themeColor="text1"/>
        </w:rPr>
      </w:pP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4.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政策对培育市场主体措施是什么？</w:t>
      </w:r>
    </w:p>
    <w:p w:rsidR="00785DD9" w:rsidRPr="007E6255" w:rsidRDefault="0094450F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答：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鼓励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建设方与总包、总包方与工程分包、劳务或材料供应商的合作。支持央企、国有企业与民营企业结对联合，发挥各自比较优势。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鼓励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建筑业企业与各级政府平台公司深度合作，提升企业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投融建管运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综合能力。鼓励企业参与抢险救灾工程及限额以下非必须招标工程项目。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支持建筑业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企业信用修复。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5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：扶持资金通过什么方式领取？一般需要多长时间？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答：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扶持资金通过银行转账方式拨付，原则上在申报资料提交三个月内审核通过后到账。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六、专家视角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区住房城市建委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主要负责人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表示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：《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渝中区促进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现代建筑业高质量发展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若干政策（试行）》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立足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渝中区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现代建筑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业的发展定位、发展目标、重点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任务，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会同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发展改革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委、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区财政局、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教委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等相关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，共同编制而成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渝中区作为重庆母城，肩负着城市更新和品质提升的重要任务。高质量的现代建筑业能够提供更先进的技术和更优质的服务，有助于打造更多高品质建筑项目，提升城市基础设施水平，优化城市空间布局，做亮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 xml:space="preserve"> 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“重庆母城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 xml:space="preserve"> 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品质半岛”名片。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若干政策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（试行）》从</w:t>
      </w:r>
      <w:r w:rsidRPr="007E625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支持升级资质、支持企业落地、支持壮大规模、</w:t>
      </w:r>
      <w:r w:rsidRPr="007E6255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支持企业核心管理人员落户</w:t>
      </w:r>
      <w:r w:rsidRPr="007E625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、培育市场主体、推进告知承诺制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等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40"/>
        </w:rPr>
        <w:t>6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  <w:t>个方面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支持渝中区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现代建筑业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发展，</w:t>
      </w:r>
      <w:r w:rsidRPr="007E6255"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有利于完善全区产业生态，优化产业结构，推动现代建筑业高质量发展，帮助企业提升技术水平、管理能力和服务质量，增强其市场竞争力，从而在激烈的市场竞争中稳住脚跟，拓展更广阔的市场空间。</w:t>
      </w:r>
    </w:p>
    <w:p w:rsidR="00785DD9" w:rsidRPr="007E6255" w:rsidRDefault="0094450F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 w:rsidRPr="007E6255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七、政策咨询渠道</w:t>
      </w:r>
    </w:p>
    <w:p w:rsidR="00785DD9" w:rsidRPr="007E6255" w:rsidRDefault="0094450F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《渝中区促进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现代建筑业高质量发展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若干政策（试行）》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由重庆市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渝中区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住房和城市建设委员会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负责政策解读。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联系电话：</w:t>
      </w:r>
      <w:r w:rsidRPr="007E625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023-63846181</w:t>
      </w:r>
      <w:r w:rsidRPr="007E62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sectPr w:rsidR="00785DD9" w:rsidRPr="007E6255">
      <w:footerReference w:type="default" r:id="rId7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0F" w:rsidRDefault="0094450F">
      <w:r>
        <w:separator/>
      </w:r>
    </w:p>
  </w:endnote>
  <w:endnote w:type="continuationSeparator" w:id="0">
    <w:p w:rsidR="0094450F" w:rsidRDefault="0094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D9" w:rsidRDefault="0094450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DD9" w:rsidRDefault="0094450F">
                          <w:pPr>
                            <w:pStyle w:val="a7"/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255">
                            <w:rPr>
                              <w:rFonts w:ascii="Times New Roman" w:eastAsia="方正黑体_GBK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黑体_GBK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5DD9" w:rsidRDefault="0094450F">
                    <w:pPr>
                      <w:pStyle w:val="a7"/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E6255">
                      <w:rPr>
                        <w:rFonts w:ascii="Times New Roman" w:eastAsia="方正黑体_GBK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黑体_GBK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0F" w:rsidRDefault="0094450F">
      <w:r>
        <w:separator/>
      </w:r>
    </w:p>
  </w:footnote>
  <w:footnote w:type="continuationSeparator" w:id="0">
    <w:p w:rsidR="0094450F" w:rsidRDefault="0094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jU4OTQwZmYxNDFkZDg5OWM2MmJjODNhZTc5ZmIifQ=="/>
  </w:docVars>
  <w:rsids>
    <w:rsidRoot w:val="00F64A25"/>
    <w:rsid w:val="CFBF380C"/>
    <w:rsid w:val="CFF58059"/>
    <w:rsid w:val="D777DC96"/>
    <w:rsid w:val="DCF44F7F"/>
    <w:rsid w:val="DF9B13AA"/>
    <w:rsid w:val="E5AA2082"/>
    <w:rsid w:val="E873A32A"/>
    <w:rsid w:val="EF9F0DB0"/>
    <w:rsid w:val="F7DB05D0"/>
    <w:rsid w:val="F9EFB695"/>
    <w:rsid w:val="FBDB7D3F"/>
    <w:rsid w:val="FCFFF990"/>
    <w:rsid w:val="FDF05A9D"/>
    <w:rsid w:val="002714EB"/>
    <w:rsid w:val="00785DD9"/>
    <w:rsid w:val="007E6255"/>
    <w:rsid w:val="0094450F"/>
    <w:rsid w:val="00BE7FDF"/>
    <w:rsid w:val="00F64A25"/>
    <w:rsid w:val="00FC1F0D"/>
    <w:rsid w:val="0105065A"/>
    <w:rsid w:val="01A80513"/>
    <w:rsid w:val="01EE70DE"/>
    <w:rsid w:val="06EC0482"/>
    <w:rsid w:val="06EE06AA"/>
    <w:rsid w:val="096670F4"/>
    <w:rsid w:val="0B5D1D5A"/>
    <w:rsid w:val="0B5E066F"/>
    <w:rsid w:val="0C62161A"/>
    <w:rsid w:val="0D7B050D"/>
    <w:rsid w:val="0EEB47DE"/>
    <w:rsid w:val="0F6F3994"/>
    <w:rsid w:val="0F857A57"/>
    <w:rsid w:val="0FD11AC8"/>
    <w:rsid w:val="1012498F"/>
    <w:rsid w:val="1091164F"/>
    <w:rsid w:val="12203D5A"/>
    <w:rsid w:val="12A22F6F"/>
    <w:rsid w:val="14267621"/>
    <w:rsid w:val="14573A8C"/>
    <w:rsid w:val="14750D5A"/>
    <w:rsid w:val="15625702"/>
    <w:rsid w:val="16A448E1"/>
    <w:rsid w:val="175B58E8"/>
    <w:rsid w:val="178D0A89"/>
    <w:rsid w:val="17C00638"/>
    <w:rsid w:val="1A234BDF"/>
    <w:rsid w:val="1A923324"/>
    <w:rsid w:val="1C364D72"/>
    <w:rsid w:val="1D3A5FA0"/>
    <w:rsid w:val="1E9B278F"/>
    <w:rsid w:val="1F1E3675"/>
    <w:rsid w:val="1FF12CBD"/>
    <w:rsid w:val="20333135"/>
    <w:rsid w:val="23744161"/>
    <w:rsid w:val="23B15197"/>
    <w:rsid w:val="23C16561"/>
    <w:rsid w:val="248D70EB"/>
    <w:rsid w:val="26CF3B03"/>
    <w:rsid w:val="288E4237"/>
    <w:rsid w:val="2A21317B"/>
    <w:rsid w:val="2A3247FC"/>
    <w:rsid w:val="2ABB47AF"/>
    <w:rsid w:val="2AF92A6C"/>
    <w:rsid w:val="2B502629"/>
    <w:rsid w:val="2B66552A"/>
    <w:rsid w:val="2BC55A49"/>
    <w:rsid w:val="2C2372B4"/>
    <w:rsid w:val="2C845BFF"/>
    <w:rsid w:val="2CDA730C"/>
    <w:rsid w:val="2D1548C7"/>
    <w:rsid w:val="2D475C0C"/>
    <w:rsid w:val="2D7E4499"/>
    <w:rsid w:val="2DAA0AE3"/>
    <w:rsid w:val="2E686F7B"/>
    <w:rsid w:val="2E9C7C04"/>
    <w:rsid w:val="2FF32571"/>
    <w:rsid w:val="304F2522"/>
    <w:rsid w:val="31480833"/>
    <w:rsid w:val="3252769F"/>
    <w:rsid w:val="33DF295D"/>
    <w:rsid w:val="37D03CB7"/>
    <w:rsid w:val="39A86313"/>
    <w:rsid w:val="39EE068F"/>
    <w:rsid w:val="3A215456"/>
    <w:rsid w:val="3A8328DC"/>
    <w:rsid w:val="3B8652ED"/>
    <w:rsid w:val="3BC40AEE"/>
    <w:rsid w:val="3BFD6C3B"/>
    <w:rsid w:val="3DDD1152"/>
    <w:rsid w:val="3FDEC16C"/>
    <w:rsid w:val="403326AF"/>
    <w:rsid w:val="41133E1C"/>
    <w:rsid w:val="43866F99"/>
    <w:rsid w:val="43914A7E"/>
    <w:rsid w:val="43BA0076"/>
    <w:rsid w:val="44FE14DD"/>
    <w:rsid w:val="464C282D"/>
    <w:rsid w:val="48923C5F"/>
    <w:rsid w:val="48D64ED6"/>
    <w:rsid w:val="4A8634EA"/>
    <w:rsid w:val="4AA523BC"/>
    <w:rsid w:val="4AE61BFA"/>
    <w:rsid w:val="4BEB208F"/>
    <w:rsid w:val="4C3D6D8F"/>
    <w:rsid w:val="4CCA4110"/>
    <w:rsid w:val="4CEC75AB"/>
    <w:rsid w:val="4DEA6F7F"/>
    <w:rsid w:val="4E086F29"/>
    <w:rsid w:val="50832DED"/>
    <w:rsid w:val="50A433E3"/>
    <w:rsid w:val="50D7280D"/>
    <w:rsid w:val="521129C3"/>
    <w:rsid w:val="52226E5A"/>
    <w:rsid w:val="52A73C81"/>
    <w:rsid w:val="53014374"/>
    <w:rsid w:val="53961157"/>
    <w:rsid w:val="53D10268"/>
    <w:rsid w:val="546D2CAE"/>
    <w:rsid w:val="5474719C"/>
    <w:rsid w:val="554A07EA"/>
    <w:rsid w:val="55657F75"/>
    <w:rsid w:val="557C4123"/>
    <w:rsid w:val="55C91693"/>
    <w:rsid w:val="57255B65"/>
    <w:rsid w:val="572F1107"/>
    <w:rsid w:val="584C2108"/>
    <w:rsid w:val="58A91703"/>
    <w:rsid w:val="59232E17"/>
    <w:rsid w:val="59C240AB"/>
    <w:rsid w:val="59FE5BD2"/>
    <w:rsid w:val="59FFC750"/>
    <w:rsid w:val="5A0544D6"/>
    <w:rsid w:val="5C666E48"/>
    <w:rsid w:val="5CA359EF"/>
    <w:rsid w:val="5D6E78AE"/>
    <w:rsid w:val="5E7D743D"/>
    <w:rsid w:val="5EBF3949"/>
    <w:rsid w:val="5F6B6FBB"/>
    <w:rsid w:val="618C6D57"/>
    <w:rsid w:val="6478146A"/>
    <w:rsid w:val="679C0D3D"/>
    <w:rsid w:val="680A67EB"/>
    <w:rsid w:val="690507DD"/>
    <w:rsid w:val="6AC6682F"/>
    <w:rsid w:val="6B1A5BA0"/>
    <w:rsid w:val="6B4D6F5F"/>
    <w:rsid w:val="6B8A4FC9"/>
    <w:rsid w:val="6B8E0ACA"/>
    <w:rsid w:val="6C5225CA"/>
    <w:rsid w:val="6DB84E4F"/>
    <w:rsid w:val="6E8E3022"/>
    <w:rsid w:val="70297EED"/>
    <w:rsid w:val="732C79F2"/>
    <w:rsid w:val="73F722C3"/>
    <w:rsid w:val="74051871"/>
    <w:rsid w:val="74D42813"/>
    <w:rsid w:val="75B1303A"/>
    <w:rsid w:val="76DDAB88"/>
    <w:rsid w:val="76ED4068"/>
    <w:rsid w:val="77153EFF"/>
    <w:rsid w:val="772B4074"/>
    <w:rsid w:val="77C94BFB"/>
    <w:rsid w:val="78DF1CCF"/>
    <w:rsid w:val="7949283E"/>
    <w:rsid w:val="798A71AE"/>
    <w:rsid w:val="79E5042E"/>
    <w:rsid w:val="7A826A40"/>
    <w:rsid w:val="7AB39717"/>
    <w:rsid w:val="7C3A5820"/>
    <w:rsid w:val="7D0E2473"/>
    <w:rsid w:val="7D512B7A"/>
    <w:rsid w:val="7DDA5B03"/>
    <w:rsid w:val="7DF27BFA"/>
    <w:rsid w:val="7E9909EC"/>
    <w:rsid w:val="7F19590B"/>
    <w:rsid w:val="7F572FBC"/>
    <w:rsid w:val="7FE264A8"/>
    <w:rsid w:val="9FC4FDB7"/>
    <w:rsid w:val="A7D66386"/>
    <w:rsid w:val="A7FF7EBD"/>
    <w:rsid w:val="ADAF2164"/>
    <w:rsid w:val="B97F400F"/>
    <w:rsid w:val="BF37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1B18FF-8B9B-4786-83CA-353BC35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Message Header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hAnsi="Cambria" w:cs="Times New Roman"/>
      <w:sz w:val="24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rFonts w:eastAsia="方正仿宋_GBK"/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uiPriority w:val="99"/>
    <w:unhideWhenUsed/>
    <w:qFormat/>
    <w:pPr>
      <w:ind w:firstLineChars="1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2025-06-22T16:51:00Z</cp:lastPrinted>
  <dcterms:created xsi:type="dcterms:W3CDTF">2014-11-02T12:08:00Z</dcterms:created>
  <dcterms:modified xsi:type="dcterms:W3CDTF">2025-08-06T07:48:00Z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2B2AD4780BEF4EFFB1B73BCBC8BAFF1E_13</vt:lpwstr>
  </property>
  <property fmtid="{D5CDD505-2E9C-101B-9397-08002B2CF9AE}" pid="4" name="KSOTemplateDocerSaveRecord">
    <vt:lpwstr>eyJoZGlkIjoiMmNkODZmNDRlYmQwNzAwOGRkNDk5ZGZlNDQxNmNkZGQiLCJ1c2VySWQiOiI3MzY5ODY5NzMifQ==</vt:lpwstr>
  </property>
</Properties>
</file>