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bidi w:val="0"/>
        <w:spacing w:line="600" w:lineRule="atLeast"/>
        <w:ind w:left="0" w:leftChars="0" w:right="0" w:rightChars="0"/>
        <w:jc w:val="center"/>
        <w:textAlignment w:val="auto"/>
        <w:rPr>
          <w:rFonts w:hint="eastAsia" w:ascii="方正仿宋_GBK" w:hAnsi="方正仿宋_GBK" w:eastAsia="方正仿宋_GBK" w:cs="方正仿宋_GBK"/>
          <w:sz w:val="32"/>
          <w:szCs w:val="32"/>
          <w:highlight w:val="none"/>
          <w:lang w:eastAsia="zh-CN"/>
        </w:rPr>
      </w:pPr>
    </w:p>
    <w:p>
      <w:pPr>
        <w:keepNext w:val="0"/>
        <w:keepLines w:val="0"/>
        <w:pageBreakBefore w:val="0"/>
        <w:kinsoku/>
        <w:overflowPunct/>
        <w:topLinePunct w:val="0"/>
        <w:bidi w:val="0"/>
        <w:spacing w:line="600" w:lineRule="atLeast"/>
        <w:ind w:left="0" w:leftChars="0" w:right="0" w:rightChars="0"/>
        <w:jc w:val="center"/>
        <w:textAlignment w:val="auto"/>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sz w:val="32"/>
          <w:szCs w:val="32"/>
          <w:highlight w:val="none"/>
          <w:lang w:eastAsia="zh-CN"/>
        </w:rPr>
        <w:t xml:space="preserve"> </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hint="default" w:ascii="Times New Roman" w:hAnsi="Times New Roman" w:eastAsia="方正小标宋_GBK" w:cs="Times New Roman"/>
          <w:color w:val="auto"/>
          <w:spacing w:val="0"/>
          <w:sz w:val="44"/>
          <w:szCs w:val="44"/>
          <w:highlight w:val="none"/>
          <w:lang w:eastAsia="zh-CN"/>
        </w:rPr>
      </w:pPr>
      <w:r>
        <w:rPr>
          <w:rFonts w:hint="default" w:ascii="Times New Roman" w:hAnsi="Times New Roman" w:eastAsia="方正小标宋_GBK" w:cs="Times New Roman"/>
          <w:color w:val="auto"/>
          <w:spacing w:val="0"/>
          <w:sz w:val="44"/>
          <w:szCs w:val="44"/>
          <w:highlight w:val="none"/>
          <w:lang w:eastAsia="zh-CN"/>
        </w:rPr>
        <w:t>重庆市渝中区人民政府办公室</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hint="default" w:ascii="Times New Roman" w:hAnsi="Times New Roman" w:eastAsia="方正小标宋_GBK" w:cs="Times New Roman"/>
          <w:color w:val="000000"/>
          <w:sz w:val="44"/>
          <w:szCs w:val="44"/>
          <w:highlight w:val="none"/>
        </w:rPr>
      </w:pPr>
      <w:r>
        <w:rPr>
          <w:rFonts w:hint="default" w:ascii="Times New Roman" w:hAnsi="Times New Roman" w:eastAsia="方正小标宋_GBK" w:cs="Times New Roman"/>
          <w:color w:val="auto"/>
          <w:spacing w:val="0"/>
          <w:sz w:val="44"/>
          <w:szCs w:val="44"/>
          <w:highlight w:val="none"/>
          <w:lang w:eastAsia="zh-CN"/>
        </w:rPr>
        <w:t>关于印发《渝中区促进专业服务业高质量发展若干政策（试行）》的通知</w:t>
      </w:r>
    </w:p>
    <w:p>
      <w:pPr>
        <w:keepNext w:val="0"/>
        <w:keepLines w:val="0"/>
        <w:pageBreakBefore w:val="0"/>
        <w:kinsoku/>
        <w:overflowPunct/>
        <w:topLinePunct w:val="0"/>
        <w:bidi w:val="0"/>
        <w:spacing w:line="600" w:lineRule="atLeast"/>
        <w:ind w:left="0" w:leftChars="0" w:right="0" w:rightChars="0"/>
        <w:jc w:val="center"/>
        <w:textAlignment w:val="auto"/>
        <w:rPr>
          <w:rFonts w:hint="eastAsia" w:ascii="宋体" w:hAnsi="宋体" w:eastAsia="宋体" w:cs="宋体"/>
          <w:i w:val="0"/>
          <w:caps w:val="0"/>
          <w:color w:val="auto"/>
          <w:spacing w:val="0"/>
          <w:sz w:val="44"/>
          <w:szCs w:val="44"/>
          <w:highlight w:val="none"/>
          <w:shd w:val="clear" w:fill="FFFFFF"/>
          <w:lang w:val="en-US" w:eastAsia="zh-CN"/>
        </w:rPr>
      </w:pPr>
      <w:r>
        <w:rPr>
          <w:rFonts w:hint="default" w:ascii="Times New Roman" w:hAnsi="Times New Roman" w:eastAsia="方正仿宋_GBK" w:cs="Times New Roman"/>
          <w:color w:val="000000" w:themeColor="text1"/>
          <w:spacing w:val="0"/>
          <w:sz w:val="32"/>
          <w:szCs w:val="32"/>
          <w:highlight w:val="none"/>
          <w:lang w:val="en-US" w:eastAsia="zh-CN"/>
          <w14:textFill>
            <w14:solidFill>
              <w14:schemeClr w14:val="tx1"/>
            </w14:solidFill>
          </w14:textFill>
        </w:rPr>
        <w:t>渝中府办〔2025〕</w:t>
      </w:r>
      <w:r>
        <w:rPr>
          <w:rFonts w:hint="eastAsia" w:ascii="Times New Roman" w:hAnsi="Times New Roman" w:eastAsia="方正仿宋_GBK" w:cs="Times New Roman"/>
          <w:color w:val="000000" w:themeColor="text1"/>
          <w:spacing w:val="0"/>
          <w:sz w:val="32"/>
          <w:szCs w:val="32"/>
          <w:highlight w:val="none"/>
          <w:lang w:val="en-US" w:eastAsia="zh-CN"/>
          <w14:textFill>
            <w14:solidFill>
              <w14:schemeClr w14:val="tx1"/>
            </w14:solidFill>
          </w14:textFill>
        </w:rPr>
        <w:t>48</w:t>
      </w:r>
      <w:r>
        <w:rPr>
          <w:rFonts w:hint="default" w:ascii="Times New Roman" w:hAnsi="Times New Roman" w:eastAsia="方正仿宋_GBK" w:cs="Times New Roman"/>
          <w:color w:val="000000" w:themeColor="text1"/>
          <w:spacing w:val="0"/>
          <w:sz w:val="32"/>
          <w:szCs w:val="32"/>
          <w:highlight w:val="none"/>
          <w:lang w:val="en-US" w:eastAsia="zh-CN"/>
          <w14:textFill>
            <w14:solidFill>
              <w14:schemeClr w14:val="tx1"/>
            </w14:solidFill>
          </w14:textFill>
        </w:rPr>
        <w:t>号</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jc w:val="both"/>
        <w:textAlignment w:val="auto"/>
        <w:rPr>
          <w:rFonts w:hint="default" w:ascii="Times New Roman" w:hAnsi="Times New Roman" w:eastAsia="方正仿宋_GBK" w:cs="Times New Roman"/>
          <w:snapToGrid w:val="0"/>
          <w:color w:val="000000" w:themeColor="text1"/>
          <w:spacing w:val="0"/>
          <w:w w:val="100"/>
          <w:sz w:val="32"/>
          <w:szCs w:val="32"/>
          <w:highlight w:val="none"/>
          <w:lang w:val="en-US" w:eastAsia="zh-CN"/>
          <w14:textFill>
            <w14:solidFill>
              <w14:schemeClr w14:val="tx1"/>
            </w14:solidFill>
          </w14:textFill>
        </w:rPr>
      </w:pPr>
    </w:p>
    <w:p>
      <w:pPr>
        <w:keepNext w:val="0"/>
        <w:keepLines w:val="0"/>
        <w:pageBreakBefore w:val="0"/>
        <w:widowControl w:val="0"/>
        <w:kinsoku/>
        <w:wordWrap/>
        <w:overflowPunct w:val="0"/>
        <w:topLinePunct w:val="0"/>
        <w:autoSpaceDE/>
        <w:autoSpaceDN/>
        <w:bidi w:val="0"/>
        <w:adjustRightInd/>
        <w:snapToGrid/>
        <w:spacing w:line="620" w:lineRule="exact"/>
        <w:jc w:val="both"/>
        <w:textAlignment w:val="auto"/>
        <w:rPr>
          <w:rFonts w:hint="default" w:ascii="Times New Roman" w:hAnsi="Times New Roman" w:eastAsia="方正仿宋_GBK" w:cs="Times New Roman"/>
          <w:color w:val="000000" w:themeColor="text1"/>
          <w:spacing w:val="0"/>
          <w:w w:val="100"/>
          <w:sz w:val="32"/>
          <w:szCs w:val="32"/>
          <w14:textFill>
            <w14:solidFill>
              <w14:schemeClr w14:val="tx1"/>
            </w14:solidFill>
          </w14:textFill>
        </w:rPr>
      </w:pPr>
      <w:r>
        <w:rPr>
          <w:rFonts w:hint="default" w:ascii="Times New Roman" w:hAnsi="Times New Roman" w:eastAsia="方正仿宋_GBK" w:cs="Times New Roman"/>
          <w:snapToGrid w:val="0"/>
          <w:color w:val="000000" w:themeColor="text1"/>
          <w:spacing w:val="0"/>
          <w:w w:val="100"/>
          <w:sz w:val="32"/>
          <w:szCs w:val="32"/>
          <w:lang w:eastAsia="zh-CN" w:bidi="ar-SA"/>
          <w14:textFill>
            <w14:solidFill>
              <w14:schemeClr w14:val="tx1"/>
            </w14:solidFill>
          </w14:textFill>
        </w:rPr>
        <w:t>区政府各部门、各管委会，各街道办事处，有关单位</w:t>
      </w:r>
      <w:r>
        <w:rPr>
          <w:rFonts w:hint="default" w:ascii="Times New Roman" w:hAnsi="Times New Roman" w:eastAsia="方正仿宋_GBK" w:cs="Times New Roman"/>
          <w:color w:val="000000" w:themeColor="text1"/>
          <w:spacing w:val="0"/>
          <w:w w:val="100"/>
          <w:sz w:val="32"/>
          <w:szCs w:val="32"/>
          <w:lang w:bidi="ar-SA"/>
          <w14:textFill>
            <w14:solidFill>
              <w14:schemeClr w14:val="tx1"/>
            </w14:solidFill>
          </w14:textFill>
        </w:rPr>
        <w:t>：</w:t>
      </w:r>
    </w:p>
    <w:p>
      <w:pPr>
        <w:keepNext w:val="0"/>
        <w:keepLines w:val="0"/>
        <w:pageBreakBefore w:val="0"/>
        <w:widowControl w:val="0"/>
        <w:tabs>
          <w:tab w:val="left" w:pos="7875"/>
        </w:tabs>
        <w:kinsoku/>
        <w:wordWrap/>
        <w:overflowPunct w:val="0"/>
        <w:topLinePunct w:val="0"/>
        <w:autoSpaceDE/>
        <w:autoSpaceDN/>
        <w:bidi w:val="0"/>
        <w:adjustRightInd w:val="0"/>
        <w:snapToGrid/>
        <w:spacing w:line="620" w:lineRule="exact"/>
        <w:ind w:firstLine="640" w:firstLineChars="200"/>
        <w:jc w:val="both"/>
        <w:textAlignment w:val="auto"/>
        <w:rPr>
          <w:rFonts w:hint="default" w:ascii="Times New Roman" w:hAnsi="Times New Roman" w:eastAsia="方正仿宋_GBK" w:cs="Times New Roman"/>
          <w:color w:val="000000" w:themeColor="text1"/>
          <w:spacing w:val="0"/>
          <w:w w:val="100"/>
          <w:sz w:val="32"/>
          <w:szCs w:val="32"/>
          <w14:textFill>
            <w14:solidFill>
              <w14:schemeClr w14:val="tx1"/>
            </w14:solidFill>
          </w14:textFill>
        </w:rPr>
      </w:pPr>
      <w:bookmarkStart w:id="0" w:name="OLE_LINK1"/>
      <w:r>
        <w:rPr>
          <w:rFonts w:hint="default" w:ascii="Times New Roman" w:hAnsi="Times New Roman" w:eastAsia="方正仿宋_GBK" w:cs="Times New Roman"/>
          <w:color w:val="000000" w:themeColor="text1"/>
          <w:spacing w:val="0"/>
          <w:w w:val="100"/>
          <w:sz w:val="32"/>
          <w:szCs w:val="32"/>
          <w14:textFill>
            <w14:solidFill>
              <w14:schemeClr w14:val="tx1"/>
            </w14:solidFill>
          </w14:textFill>
        </w:rPr>
        <w:t>《</w:t>
      </w:r>
      <w:r>
        <w:rPr>
          <w:rFonts w:hint="default" w:ascii="Times New Roman" w:hAnsi="Times New Roman" w:eastAsia="方正仿宋_GBK" w:cs="Times New Roman"/>
          <w:color w:val="000000" w:themeColor="text1"/>
          <w:spacing w:val="0"/>
          <w:w w:val="100"/>
          <w:sz w:val="32"/>
          <w:szCs w:val="32"/>
          <w:lang w:eastAsia="zh-CN"/>
          <w14:textFill>
            <w14:solidFill>
              <w14:schemeClr w14:val="tx1"/>
            </w14:solidFill>
          </w14:textFill>
        </w:rPr>
        <w:t>渝中区促进专业服务业高质量发展若干政策（试行）</w:t>
      </w:r>
      <w:r>
        <w:rPr>
          <w:rFonts w:hint="default" w:ascii="Times New Roman" w:hAnsi="Times New Roman" w:eastAsia="方正仿宋_GBK" w:cs="Times New Roman"/>
          <w:color w:val="000000" w:themeColor="text1"/>
          <w:spacing w:val="0"/>
          <w:w w:val="100"/>
          <w:sz w:val="32"/>
          <w:szCs w:val="32"/>
          <w14:textFill>
            <w14:solidFill>
              <w14:schemeClr w14:val="tx1"/>
            </w14:solidFill>
          </w14:textFill>
        </w:rPr>
        <w:t>》</w:t>
      </w:r>
      <w:bookmarkEnd w:id="0"/>
      <w:r>
        <w:rPr>
          <w:rFonts w:hint="default" w:ascii="Times New Roman" w:hAnsi="Times New Roman" w:eastAsia="方正仿宋_GBK" w:cs="Times New Roman"/>
          <w:color w:val="000000" w:themeColor="text1"/>
          <w:spacing w:val="0"/>
          <w:w w:val="100"/>
          <w:sz w:val="32"/>
          <w:szCs w:val="32"/>
          <w14:textFill>
            <w14:solidFill>
              <w14:schemeClr w14:val="tx1"/>
            </w14:solidFill>
          </w14:textFill>
        </w:rPr>
        <w:t>已经区政府同意，现印发给你们，请认真</w:t>
      </w:r>
      <w:r>
        <w:rPr>
          <w:rFonts w:hint="eastAsia" w:eastAsia="方正仿宋_GBK" w:cs="Times New Roman"/>
          <w:color w:val="000000" w:themeColor="text1"/>
          <w:spacing w:val="0"/>
          <w:w w:val="100"/>
          <w:sz w:val="32"/>
          <w:szCs w:val="32"/>
          <w:lang w:val="en-US" w:eastAsia="zh-CN"/>
          <w14:textFill>
            <w14:solidFill>
              <w14:schemeClr w14:val="tx1"/>
            </w14:solidFill>
          </w14:textFill>
        </w:rPr>
        <w:t>贯彻执行</w:t>
      </w:r>
      <w:r>
        <w:rPr>
          <w:rFonts w:hint="default" w:ascii="Times New Roman" w:hAnsi="Times New Roman" w:eastAsia="方正仿宋_GBK" w:cs="Times New Roman"/>
          <w:color w:val="000000" w:themeColor="text1"/>
          <w:spacing w:val="0"/>
          <w:w w:val="100"/>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20" w:lineRule="exact"/>
        <w:jc w:val="left"/>
        <w:textAlignment w:val="auto"/>
        <w:rPr>
          <w:rFonts w:hint="default" w:ascii="Times New Roman" w:hAnsi="Times New Roman" w:eastAsia="方正仿宋_GBK" w:cs="Times New Roman"/>
          <w:color w:val="000000"/>
          <w:sz w:val="32"/>
          <w:szCs w:val="32"/>
          <w:lang w:val="en-US" w:eastAsia="zh-CN"/>
        </w:rPr>
      </w:pPr>
    </w:p>
    <w:p>
      <w:pPr>
        <w:keepNext w:val="0"/>
        <w:keepLines w:val="0"/>
        <w:pageBreakBefore w:val="0"/>
        <w:widowControl w:val="0"/>
        <w:kinsoku/>
        <w:wordWrap/>
        <w:overflowPunct w:val="0"/>
        <w:topLinePunct w:val="0"/>
        <w:autoSpaceDE/>
        <w:autoSpaceDN/>
        <w:bidi w:val="0"/>
        <w:adjustRightInd/>
        <w:snapToGrid/>
        <w:spacing w:line="620" w:lineRule="exact"/>
        <w:jc w:val="right"/>
        <w:textAlignment w:val="auto"/>
        <w:rPr>
          <w:rFonts w:hint="default" w:ascii="Times New Roman" w:hAnsi="Times New Roman" w:eastAsia="方正仿宋_GBK" w:cs="Times New Roman"/>
          <w:color w:val="000000"/>
          <w:sz w:val="32"/>
          <w:szCs w:val="32"/>
          <w:lang w:eastAsia="zh-CN"/>
        </w:rPr>
      </w:pPr>
      <w:r>
        <w:rPr>
          <w:rFonts w:hint="default" w:ascii="Times New Roman" w:hAnsi="Times New Roman" w:eastAsia="方正仿宋_GBK" w:cs="Times New Roman"/>
          <w:color w:val="000000"/>
          <w:sz w:val="32"/>
          <w:szCs w:val="32"/>
        </w:rPr>
        <w:t>重庆市渝中区</w:t>
      </w:r>
      <w:r>
        <w:rPr>
          <w:rFonts w:hint="default" w:ascii="Times New Roman" w:hAnsi="Times New Roman" w:eastAsia="方正仿宋_GBK" w:cs="Times New Roman"/>
          <w:color w:val="000000"/>
          <w:sz w:val="32"/>
          <w:szCs w:val="32"/>
          <w:lang w:eastAsia="zh-CN"/>
        </w:rPr>
        <w:t>人民政府办公室</w:t>
      </w:r>
    </w:p>
    <w:p>
      <w:pPr>
        <w:keepNext w:val="0"/>
        <w:keepLines w:val="0"/>
        <w:pageBreakBefore w:val="0"/>
        <w:widowControl w:val="0"/>
        <w:kinsoku/>
        <w:wordWrap/>
        <w:overflowPunct w:val="0"/>
        <w:topLinePunct w:val="0"/>
        <w:autoSpaceDE/>
        <w:autoSpaceDN/>
        <w:bidi w:val="0"/>
        <w:adjustRightInd/>
        <w:snapToGrid/>
        <w:spacing w:line="620" w:lineRule="exact"/>
        <w:ind w:firstLine="5033" w:firstLineChars="1573"/>
        <w:jc w:val="left"/>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202</w:t>
      </w:r>
      <w:r>
        <w:rPr>
          <w:rFonts w:hint="default" w:ascii="Times New Roman" w:hAnsi="Times New Roman" w:eastAsia="方正仿宋_GBK" w:cs="Times New Roman"/>
          <w:color w:val="000000"/>
          <w:sz w:val="32"/>
          <w:szCs w:val="32"/>
          <w:lang w:val="en-US" w:eastAsia="zh-CN"/>
        </w:rPr>
        <w:t>5</w:t>
      </w:r>
      <w:r>
        <w:rPr>
          <w:rFonts w:hint="default" w:ascii="Times New Roman" w:hAnsi="Times New Roman" w:eastAsia="方正仿宋_GBK" w:cs="Times New Roman"/>
          <w:color w:val="000000"/>
          <w:sz w:val="32"/>
          <w:szCs w:val="32"/>
        </w:rPr>
        <w:t>年</w:t>
      </w:r>
      <w:r>
        <w:rPr>
          <w:rFonts w:hint="default" w:ascii="Times New Roman" w:hAnsi="Times New Roman" w:eastAsia="方正仿宋_GBK" w:cs="Times New Roman"/>
          <w:color w:val="000000"/>
          <w:sz w:val="32"/>
          <w:szCs w:val="32"/>
          <w:lang w:val="en-US" w:eastAsia="zh-CN"/>
        </w:rPr>
        <w:t>5</w:t>
      </w:r>
      <w:r>
        <w:rPr>
          <w:rFonts w:hint="default" w:ascii="Times New Roman" w:hAnsi="Times New Roman" w:eastAsia="方正仿宋_GBK" w:cs="Times New Roman"/>
          <w:color w:val="000000"/>
          <w:sz w:val="32"/>
          <w:szCs w:val="32"/>
        </w:rPr>
        <w:t>月</w:t>
      </w:r>
      <w:r>
        <w:rPr>
          <w:rFonts w:hint="default" w:ascii="Times New Roman" w:hAnsi="Times New Roman" w:eastAsia="方正仿宋_GBK" w:cs="Times New Roman"/>
          <w:color w:val="000000"/>
          <w:sz w:val="32"/>
          <w:szCs w:val="32"/>
          <w:lang w:val="en-US" w:eastAsia="zh-CN"/>
        </w:rPr>
        <w:t>27</w:t>
      </w:r>
      <w:r>
        <w:rPr>
          <w:rFonts w:hint="default" w:ascii="Times New Roman" w:hAnsi="Times New Roman" w:eastAsia="方正仿宋_GBK" w:cs="Times New Roman"/>
          <w:color w:val="000000"/>
          <w:sz w:val="32"/>
          <w:szCs w:val="32"/>
        </w:rPr>
        <w:t>日</w:t>
      </w:r>
    </w:p>
    <w:p>
      <w:pPr>
        <w:keepNext w:val="0"/>
        <w:keepLines w:val="0"/>
        <w:pageBreakBefore w:val="0"/>
        <w:widowControl w:val="0"/>
        <w:kinsoku/>
        <w:wordWrap w:val="0"/>
        <w:overflowPunct/>
        <w:topLinePunct w:val="0"/>
        <w:autoSpaceDE/>
        <w:autoSpaceDN/>
        <w:bidi w:val="0"/>
        <w:adjustRightInd/>
        <w:snapToGrid/>
        <w:spacing w:line="600" w:lineRule="exact"/>
        <w:ind w:left="0" w:leftChars="0" w:right="0" w:rightChars="0"/>
        <w:jc w:val="right"/>
        <w:textAlignment w:val="auto"/>
        <w:outlineLvl w:val="9"/>
        <w:rPr>
          <w:rFonts w:hint="eastAsia" w:ascii="方正仿宋_GBK" w:hAnsi="方正仿宋_GBK" w:eastAsia="方正仿宋_GBK" w:cs="方正仿宋_GBK"/>
          <w:kern w:val="0"/>
          <w:sz w:val="32"/>
          <w:szCs w:val="32"/>
          <w:highlight w:val="none"/>
          <w:shd w:val="clear" w:color="auto" w:fill="FFFFFF"/>
          <w:lang w:val="en-US" w:eastAsia="zh-CN" w:bidi="ar-SA"/>
        </w:rPr>
      </w:pPr>
      <w:r>
        <w:rPr>
          <w:rFonts w:hint="default" w:ascii="方正仿宋_GBK" w:hAnsi="方正仿宋_GBK" w:eastAsia="方正仿宋_GBK" w:cs="方正仿宋_GBK"/>
          <w:kern w:val="0"/>
          <w:sz w:val="32"/>
          <w:szCs w:val="32"/>
          <w:highlight w:val="none"/>
          <w:shd w:val="clear" w:color="auto" w:fill="FFFFFF"/>
          <w:lang w:eastAsia="zh-CN" w:bidi="ar-SA"/>
        </w:rPr>
        <w:t xml:space="preserve">  </w:t>
      </w:r>
      <w:r>
        <w:rPr>
          <w:rFonts w:hint="eastAsia" w:ascii="方正仿宋_GBK" w:hAnsi="方正仿宋_GBK" w:eastAsia="方正仿宋_GBK" w:cs="方正仿宋_GBK"/>
          <w:kern w:val="0"/>
          <w:sz w:val="32"/>
          <w:szCs w:val="32"/>
          <w:highlight w:val="none"/>
          <w:shd w:val="clear" w:color="auto" w:fill="FFFFFF"/>
          <w:lang w:val="en-US" w:eastAsia="zh-CN" w:bidi="ar-SA"/>
        </w:rPr>
        <w:t xml:space="preserve"> </w:t>
      </w:r>
    </w:p>
    <w:p>
      <w:pPr>
        <w:pStyle w:val="3"/>
        <w:keepNext w:val="0"/>
        <w:keepLines w:val="0"/>
        <w:pageBreakBefore w:val="0"/>
        <w:widowControl w:val="0"/>
        <w:kinsoku/>
        <w:wordWrap/>
        <w:overflowPunct w:val="0"/>
        <w:topLinePunct w:val="0"/>
        <w:autoSpaceDE/>
        <w:autoSpaceDN/>
        <w:bidi w:val="0"/>
        <w:adjustRightInd/>
        <w:snapToGrid/>
        <w:spacing w:after="0" w:line="600" w:lineRule="exact"/>
        <w:ind w:left="0" w:leftChars="0" w:right="0" w:rightChars="0" w:firstLine="640" w:firstLineChars="200"/>
        <w:jc w:val="both"/>
        <w:textAlignment w:val="auto"/>
        <w:outlineLvl w:val="9"/>
        <w:rPr>
          <w:rFonts w:hint="eastAsia" w:ascii="方正仿宋_GBK" w:hAnsi="方正仿宋_GBK" w:eastAsia="方正仿宋_GBK" w:cs="方正仿宋_GBK"/>
          <w:kern w:val="0"/>
          <w:sz w:val="32"/>
          <w:szCs w:val="32"/>
          <w:highlight w:val="none"/>
          <w:shd w:val="clear" w:color="auto" w:fill="FFFFFF"/>
          <w:lang w:val="en-US" w:eastAsia="zh-CN" w:bidi="ar-SA"/>
        </w:rPr>
      </w:pPr>
      <w:r>
        <w:rPr>
          <w:rFonts w:hint="eastAsia" w:ascii="方正仿宋_GBK" w:hAnsi="方正仿宋_GBK" w:eastAsia="方正仿宋_GBK" w:cs="方正仿宋_GBK"/>
          <w:kern w:val="0"/>
          <w:sz w:val="32"/>
          <w:szCs w:val="32"/>
          <w:highlight w:val="none"/>
          <w:shd w:val="clear" w:color="auto" w:fill="FFFFFF"/>
          <w:lang w:val="en-US" w:eastAsia="zh-CN" w:bidi="ar-SA"/>
        </w:rPr>
        <w:t>（此件公开发布）</w:t>
      </w:r>
    </w:p>
    <w:p>
      <w:pPr>
        <w:pStyle w:val="3"/>
        <w:keepNext w:val="0"/>
        <w:keepLines w:val="0"/>
        <w:pageBreakBefore w:val="0"/>
        <w:widowControl w:val="0"/>
        <w:kinsoku/>
        <w:wordWrap/>
        <w:overflowPunct w:val="0"/>
        <w:topLinePunct w:val="0"/>
        <w:autoSpaceDE/>
        <w:autoSpaceDN/>
        <w:bidi w:val="0"/>
        <w:adjustRightInd/>
        <w:snapToGrid/>
        <w:spacing w:after="0" w:line="600" w:lineRule="exact"/>
        <w:ind w:left="0" w:leftChars="0" w:right="0" w:rightChars="0" w:firstLine="640" w:firstLineChars="200"/>
        <w:jc w:val="both"/>
        <w:textAlignment w:val="auto"/>
        <w:outlineLvl w:val="9"/>
        <w:rPr>
          <w:rFonts w:hint="eastAsia" w:ascii="方正仿宋_GBK" w:hAnsi="方正仿宋_GBK" w:eastAsia="方正仿宋_GBK" w:cs="方正仿宋_GBK"/>
          <w:kern w:val="0"/>
          <w:sz w:val="32"/>
          <w:szCs w:val="32"/>
          <w:highlight w:val="none"/>
          <w:shd w:val="clear" w:color="auto" w:fill="FFFFFF"/>
          <w:lang w:val="en-US" w:eastAsia="zh-CN" w:bidi="ar-SA"/>
        </w:rPr>
      </w:pPr>
      <w:r>
        <w:rPr>
          <w:rFonts w:hint="eastAsia" w:ascii="方正仿宋_GBK" w:hAnsi="方正仿宋_GBK" w:eastAsia="方正仿宋_GBK" w:cs="方正仿宋_GBK"/>
          <w:kern w:val="0"/>
          <w:sz w:val="32"/>
          <w:szCs w:val="32"/>
          <w:highlight w:val="none"/>
          <w:shd w:val="clear" w:color="auto" w:fill="FFFFFF"/>
          <w:lang w:val="en-US" w:eastAsia="zh-CN" w:bidi="ar-SA"/>
        </w:rPr>
        <w:br w:type="page"/>
      </w:r>
    </w:p>
    <w:p>
      <w:pPr>
        <w:pStyle w:val="14"/>
        <w:rPr>
          <w:rFonts w:hint="eastAsia"/>
          <w:highlight w:val="none"/>
          <w:lang w:val="en-US" w:eastAsia="zh-CN"/>
        </w:rPr>
      </w:pPr>
    </w:p>
    <w:p>
      <w:pPr>
        <w:keepNext w:val="0"/>
        <w:keepLines w:val="0"/>
        <w:pageBreakBefore w:val="0"/>
        <w:widowControl w:val="0"/>
        <w:kinsoku/>
        <w:wordWrap/>
        <w:overflowPunct w:val="0"/>
        <w:topLinePunct w:val="0"/>
        <w:autoSpaceDE/>
        <w:autoSpaceDN/>
        <w:bidi w:val="0"/>
        <w:adjustRightInd/>
        <w:snapToGrid/>
        <w:spacing w:after="0" w:line="620" w:lineRule="exact"/>
        <w:jc w:val="center"/>
        <w:textAlignment w:val="auto"/>
        <w:rPr>
          <w:rFonts w:hint="default" w:ascii="Times New Roman" w:hAnsi="Times New Roman" w:eastAsia="方正小标宋_GBK" w:cs="Times New Roman"/>
          <w:color w:val="auto"/>
          <w:kern w:val="2"/>
          <w:sz w:val="44"/>
          <w:szCs w:val="44"/>
          <w:highlight w:val="none"/>
        </w:rPr>
      </w:pPr>
    </w:p>
    <w:p>
      <w:pPr>
        <w:keepNext w:val="0"/>
        <w:keepLines w:val="0"/>
        <w:pageBreakBefore w:val="0"/>
        <w:widowControl w:val="0"/>
        <w:kinsoku/>
        <w:wordWrap/>
        <w:overflowPunct w:val="0"/>
        <w:topLinePunct w:val="0"/>
        <w:autoSpaceDE/>
        <w:autoSpaceDN/>
        <w:bidi w:val="0"/>
        <w:adjustRightInd/>
        <w:snapToGrid/>
        <w:spacing w:after="0" w:line="620" w:lineRule="exact"/>
        <w:jc w:val="center"/>
        <w:textAlignment w:val="auto"/>
        <w:rPr>
          <w:rFonts w:hint="default" w:ascii="Times New Roman" w:hAnsi="Times New Roman" w:eastAsia="方正小标宋_GBK" w:cs="Times New Roman"/>
          <w:color w:val="auto"/>
          <w:kern w:val="2"/>
          <w:sz w:val="44"/>
          <w:szCs w:val="44"/>
          <w:highlight w:val="none"/>
        </w:rPr>
      </w:pPr>
    </w:p>
    <w:p>
      <w:pPr>
        <w:keepNext w:val="0"/>
        <w:keepLines w:val="0"/>
        <w:pageBreakBefore w:val="0"/>
        <w:widowControl w:val="0"/>
        <w:shd w:val="clear" w:color="auto" w:fill="auto"/>
        <w:kinsoku/>
        <w:wordWrap/>
        <w:overflowPunct w:val="0"/>
        <w:topLinePunct w:val="0"/>
        <w:autoSpaceDE/>
        <w:autoSpaceDN/>
        <w:bidi w:val="0"/>
        <w:adjustRightInd/>
        <w:snapToGrid w:val="0"/>
        <w:spacing w:line="620" w:lineRule="exact"/>
        <w:jc w:val="center"/>
        <w:textAlignment w:val="auto"/>
        <w:rPr>
          <w:rFonts w:hint="default" w:ascii="Times New Roman" w:hAnsi="Times New Roman" w:eastAsia="方正小标宋_GBK" w:cs="Times New Roman"/>
          <w:color w:val="000000" w:themeColor="text1"/>
          <w:sz w:val="44"/>
          <w:szCs w:val="44"/>
          <w:u w:val="none"/>
          <w:lang w:eastAsia="zh-CN"/>
          <w14:textFill>
            <w14:solidFill>
              <w14:schemeClr w14:val="tx1"/>
            </w14:solidFill>
          </w14:textFill>
        </w:rPr>
      </w:pPr>
      <w:r>
        <w:rPr>
          <w:rFonts w:hint="default" w:ascii="Times New Roman" w:hAnsi="Times New Roman" w:eastAsia="方正小标宋_GBK" w:cs="Times New Roman"/>
          <w:color w:val="000000" w:themeColor="text1"/>
          <w:sz w:val="44"/>
          <w:szCs w:val="44"/>
          <w:u w:val="none"/>
          <w:lang w:eastAsia="zh-CN"/>
          <w14:textFill>
            <w14:solidFill>
              <w14:schemeClr w14:val="tx1"/>
            </w14:solidFill>
          </w14:textFill>
        </w:rPr>
        <w:t>渝中区促进专业服务业高质量发展</w:t>
      </w:r>
    </w:p>
    <w:p>
      <w:pPr>
        <w:keepNext w:val="0"/>
        <w:keepLines w:val="0"/>
        <w:pageBreakBefore w:val="0"/>
        <w:widowControl w:val="0"/>
        <w:shd w:val="clear" w:color="auto" w:fill="auto"/>
        <w:kinsoku/>
        <w:wordWrap/>
        <w:overflowPunct w:val="0"/>
        <w:topLinePunct w:val="0"/>
        <w:autoSpaceDE/>
        <w:autoSpaceDN/>
        <w:bidi w:val="0"/>
        <w:adjustRightInd/>
        <w:snapToGrid w:val="0"/>
        <w:spacing w:line="620" w:lineRule="exact"/>
        <w:jc w:val="center"/>
        <w:textAlignment w:val="auto"/>
        <w:rPr>
          <w:rFonts w:hint="default" w:ascii="Times New Roman" w:hAnsi="Times New Roman" w:eastAsia="方正小标宋_GBK" w:cs="Times New Roman"/>
          <w:color w:val="000000" w:themeColor="text1"/>
          <w:sz w:val="44"/>
          <w:szCs w:val="44"/>
          <w:u w:val="none"/>
          <w:lang w:val="en-US" w:eastAsia="zh-CN"/>
          <w14:textFill>
            <w14:solidFill>
              <w14:schemeClr w14:val="tx1"/>
            </w14:solidFill>
          </w14:textFill>
        </w:rPr>
      </w:pPr>
      <w:r>
        <w:rPr>
          <w:rFonts w:hint="default" w:ascii="Times New Roman" w:hAnsi="Times New Roman" w:eastAsia="方正小标宋_GBK" w:cs="Times New Roman"/>
          <w:color w:val="000000" w:themeColor="text1"/>
          <w:sz w:val="44"/>
          <w:szCs w:val="44"/>
          <w:u w:val="none"/>
          <w:lang w:eastAsia="zh-CN"/>
          <w14:textFill>
            <w14:solidFill>
              <w14:schemeClr w14:val="tx1"/>
            </w14:solidFill>
          </w14:textFill>
        </w:rPr>
        <w:t>若干政策（试行）</w:t>
      </w:r>
    </w:p>
    <w:p>
      <w:pPr>
        <w:keepNext w:val="0"/>
        <w:keepLines w:val="0"/>
        <w:pageBreakBefore w:val="0"/>
        <w:widowControl w:val="0"/>
        <w:shd w:val="clear" w:color="auto" w:fill="auto"/>
        <w:kinsoku/>
        <w:wordWrap/>
        <w:overflowPunct w:val="0"/>
        <w:topLinePunct w:val="0"/>
        <w:autoSpaceDE/>
        <w:autoSpaceDN/>
        <w:bidi w:val="0"/>
        <w:adjustRightInd/>
        <w:snapToGrid/>
        <w:spacing w:line="620" w:lineRule="exact"/>
        <w:ind w:firstLine="640" w:firstLineChars="200"/>
        <w:textAlignment w:val="auto"/>
        <w:rPr>
          <w:rFonts w:hint="default" w:ascii="Times New Roman" w:hAnsi="Times New Roman" w:eastAsia="方正仿宋_GBK" w:cs="Times New Roman"/>
          <w:b w:val="0"/>
          <w:bCs w:val="0"/>
          <w:color w:val="000000" w:themeColor="text1"/>
          <w:sz w:val="32"/>
          <w:szCs w:val="32"/>
          <w:u w:val="none"/>
          <w:lang w:val="en-US" w:eastAsia="zh-CN"/>
          <w14:textFill>
            <w14:solidFill>
              <w14:schemeClr w14:val="tx1"/>
            </w14:solidFill>
          </w14:textFill>
        </w:rPr>
      </w:pPr>
    </w:p>
    <w:p>
      <w:pPr>
        <w:keepNext w:val="0"/>
        <w:keepLines w:val="0"/>
        <w:pageBreakBefore w:val="0"/>
        <w:widowControl w:val="0"/>
        <w:shd w:val="clear" w:color="auto" w:fill="auto"/>
        <w:kinsoku/>
        <w:wordWrap/>
        <w:overflowPunct w:val="0"/>
        <w:topLinePunct w:val="0"/>
        <w:autoSpaceDE/>
        <w:autoSpaceDN/>
        <w:bidi w:val="0"/>
        <w:adjustRightInd/>
        <w:snapToGrid/>
        <w:spacing w:line="620" w:lineRule="exact"/>
        <w:ind w:firstLine="640" w:firstLineChars="200"/>
        <w:jc w:val="both"/>
        <w:textAlignment w:val="auto"/>
        <w:rPr>
          <w:rFonts w:hint="default" w:ascii="Times New Roman" w:hAnsi="Times New Roman" w:eastAsia="方正仿宋_GBK" w:cs="Times New Roman"/>
          <w:b w:val="0"/>
          <w:bCs w:val="0"/>
          <w:snapToGrid w:val="0"/>
          <w:color w:val="000000" w:themeColor="text1"/>
          <w:sz w:val="32"/>
          <w:szCs w:val="32"/>
          <w:u w:val="none"/>
          <w14:textFill>
            <w14:solidFill>
              <w14:schemeClr w14:val="tx1"/>
            </w14:solidFill>
          </w14:textFill>
        </w:rPr>
      </w:pPr>
      <w:r>
        <w:rPr>
          <w:rFonts w:hint="default" w:ascii="Times New Roman" w:hAnsi="Times New Roman" w:eastAsia="方正仿宋_GBK" w:cs="Times New Roman"/>
          <w:b w:val="0"/>
          <w:bCs w:val="0"/>
          <w:color w:val="000000" w:themeColor="text1"/>
          <w:sz w:val="32"/>
          <w:szCs w:val="32"/>
          <w:u w:val="none"/>
          <w:lang w:val="en-US" w:eastAsia="zh-CN"/>
          <w14:textFill>
            <w14:solidFill>
              <w14:schemeClr w14:val="tx1"/>
            </w14:solidFill>
          </w14:textFill>
        </w:rPr>
        <w:t>为深入推进</w:t>
      </w:r>
      <w:r>
        <w:rPr>
          <w:rFonts w:hint="default" w:ascii="Times New Roman" w:hAnsi="Times New Roman" w:eastAsia="方正仿宋_GBK" w:cs="Times New Roman"/>
          <w:b w:val="0"/>
          <w:bCs w:val="0"/>
          <w:color w:val="000000" w:themeColor="text1"/>
          <w:sz w:val="32"/>
          <w:u w:val="none"/>
          <w14:textFill>
            <w14:solidFill>
              <w14:schemeClr w14:val="tx1"/>
            </w14:solidFill>
          </w14:textFill>
        </w:rPr>
        <w:t>西部高端专业服务中心</w:t>
      </w:r>
      <w:r>
        <w:rPr>
          <w:rFonts w:hint="default" w:ascii="Times New Roman" w:hAnsi="Times New Roman" w:eastAsia="方正仿宋_GBK" w:cs="Times New Roman"/>
          <w:b w:val="0"/>
          <w:bCs w:val="0"/>
          <w:color w:val="000000" w:themeColor="text1"/>
          <w:sz w:val="32"/>
          <w:u w:val="none"/>
          <w:lang w:val="en-US" w:eastAsia="zh-CN"/>
          <w14:textFill>
            <w14:solidFill>
              <w14:schemeClr w14:val="tx1"/>
            </w14:solidFill>
          </w14:textFill>
        </w:rPr>
        <w:t>建设工作</w:t>
      </w:r>
      <w:r>
        <w:rPr>
          <w:rFonts w:hint="default" w:ascii="Times New Roman" w:hAnsi="Times New Roman" w:eastAsia="方正仿宋_GBK" w:cs="Times New Roman"/>
          <w:b w:val="0"/>
          <w:bCs w:val="0"/>
          <w:color w:val="000000" w:themeColor="text1"/>
          <w:sz w:val="32"/>
          <w:u w:val="none"/>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u w:val="none"/>
          <w:lang w:val="en-US" w:eastAsia="zh-CN"/>
          <w14:textFill>
            <w14:solidFill>
              <w14:schemeClr w14:val="tx1"/>
            </w14:solidFill>
          </w14:textFill>
        </w:rPr>
        <w:t>根据《</w:t>
      </w:r>
      <w:r>
        <w:rPr>
          <w:rFonts w:hint="default" w:ascii="Times New Roman" w:hAnsi="Times New Roman" w:eastAsia="方正仿宋_GBK" w:cs="Times New Roman"/>
          <w:color w:val="000000" w:themeColor="text1"/>
          <w:kern w:val="0"/>
          <w:sz w:val="32"/>
          <w:szCs w:val="32"/>
          <w:u w:val="none"/>
          <w:shd w:val="clear" w:color="auto" w:fill="FFFFFF"/>
          <w:lang w:val="en-US" w:eastAsia="zh-CN" w:bidi="ar-SA"/>
          <w14:textFill>
            <w14:solidFill>
              <w14:schemeClr w14:val="tx1"/>
            </w14:solidFill>
          </w14:textFill>
        </w:rPr>
        <w:t>重庆市生产性服务业高质量发展行动计划（2024—2027年）</w:t>
      </w:r>
      <w:r>
        <w:rPr>
          <w:rFonts w:hint="default" w:ascii="Times New Roman" w:hAnsi="Times New Roman" w:eastAsia="方正仿宋_GBK" w:cs="Times New Roman"/>
          <w:b w:val="0"/>
          <w:bCs w:val="0"/>
          <w:color w:val="000000" w:themeColor="text1"/>
          <w:sz w:val="32"/>
          <w:szCs w:val="32"/>
          <w:u w:val="none"/>
          <w:lang w:val="en-US" w:eastAsia="zh-CN"/>
          <w14:textFill>
            <w14:solidFill>
              <w14:schemeClr w14:val="tx1"/>
            </w14:solidFill>
          </w14:textFill>
        </w:rPr>
        <w:t>》，特</w:t>
      </w:r>
      <w:r>
        <w:rPr>
          <w:rFonts w:hint="default" w:ascii="Times New Roman" w:hAnsi="Times New Roman" w:eastAsia="方正仿宋_GBK" w:cs="Times New Roman"/>
          <w:b w:val="0"/>
          <w:bCs w:val="0"/>
          <w:snapToGrid w:val="0"/>
          <w:color w:val="000000" w:themeColor="text1"/>
          <w:sz w:val="32"/>
          <w:szCs w:val="32"/>
          <w:u w:val="none"/>
          <w14:textFill>
            <w14:solidFill>
              <w14:schemeClr w14:val="tx1"/>
            </w14:solidFill>
          </w14:textFill>
        </w:rPr>
        <w:t>制定本</w:t>
      </w:r>
      <w:r>
        <w:rPr>
          <w:rFonts w:hint="default" w:ascii="Times New Roman" w:hAnsi="Times New Roman" w:eastAsia="方正仿宋_GBK" w:cs="Times New Roman"/>
          <w:b w:val="0"/>
          <w:bCs w:val="0"/>
          <w:snapToGrid w:val="0"/>
          <w:color w:val="000000" w:themeColor="text1"/>
          <w:sz w:val="32"/>
          <w:szCs w:val="32"/>
          <w:u w:val="none"/>
          <w:lang w:eastAsia="zh-CN"/>
          <w14:textFill>
            <w14:solidFill>
              <w14:schemeClr w14:val="tx1"/>
            </w14:solidFill>
          </w14:textFill>
        </w:rPr>
        <w:t>政策</w:t>
      </w:r>
      <w:r>
        <w:rPr>
          <w:rFonts w:hint="default" w:ascii="Times New Roman" w:hAnsi="Times New Roman" w:eastAsia="方正仿宋_GBK" w:cs="Times New Roman"/>
          <w:b w:val="0"/>
          <w:bCs w:val="0"/>
          <w:snapToGrid w:val="0"/>
          <w:color w:val="000000" w:themeColor="text1"/>
          <w:sz w:val="32"/>
          <w:szCs w:val="32"/>
          <w:u w:val="none"/>
          <w14:textFill>
            <w14:solidFill>
              <w14:schemeClr w14:val="tx1"/>
            </w14:solidFill>
          </w14:textFill>
        </w:rPr>
        <w:t>。</w:t>
      </w:r>
    </w:p>
    <w:p>
      <w:pPr>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line="620" w:lineRule="exact"/>
        <w:ind w:firstLine="640" w:firstLineChars="200"/>
        <w:jc w:val="both"/>
        <w:textAlignment w:val="auto"/>
        <w:rPr>
          <w:rFonts w:hint="default" w:ascii="Times New Roman" w:hAnsi="Times New Roman" w:eastAsia="方正仿宋_GBK" w:cs="Times New Roman"/>
          <w:b w:val="0"/>
          <w:bCs w:val="0"/>
          <w:color w:val="000000" w:themeColor="text1"/>
          <w:sz w:val="32"/>
          <w:szCs w:val="32"/>
          <w:u w:val="none"/>
          <w:shd w:val="clear" w:color="auto" w:fill="FFFF00"/>
          <w:lang w:val="en-US" w:eastAsia="zh-CN"/>
          <w14:textFill>
            <w14:solidFill>
              <w14:schemeClr w14:val="tx1"/>
            </w14:solidFill>
          </w14:textFill>
        </w:rPr>
      </w:pPr>
      <w:r>
        <w:rPr>
          <w:rFonts w:hint="default" w:ascii="Times New Roman" w:hAnsi="Times New Roman" w:eastAsia="方正黑体_GBK" w:cs="Times New Roman"/>
          <w:b w:val="0"/>
          <w:bCs w:val="0"/>
          <w:color w:val="000000" w:themeColor="text1"/>
          <w:sz w:val="32"/>
          <w:szCs w:val="32"/>
          <w:u w:val="none"/>
          <w:lang w:val="en-US" w:eastAsia="zh-CN"/>
          <w14:textFill>
            <w14:solidFill>
              <w14:schemeClr w14:val="tx1"/>
            </w14:solidFill>
          </w14:textFill>
        </w:rPr>
        <w:t>第一条  适用范围。</w:t>
      </w:r>
      <w:r>
        <w:rPr>
          <w:rFonts w:hint="default" w:ascii="Times New Roman" w:hAnsi="Times New Roman" w:eastAsia="方正仿宋_GBK" w:cs="Times New Roman"/>
          <w:b w:val="0"/>
          <w:bCs w:val="0"/>
          <w:color w:val="000000" w:themeColor="text1"/>
          <w:sz w:val="32"/>
          <w:szCs w:val="32"/>
          <w:u w:val="none"/>
          <w:lang w:val="en-US" w:eastAsia="zh-CN"/>
          <w14:textFill>
            <w14:solidFill>
              <w14:schemeClr w14:val="tx1"/>
            </w14:solidFill>
          </w14:textFill>
        </w:rPr>
        <w:t>本政策适用于财务制度健全，实行独立核算的</w:t>
      </w: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会计审计、税务、资产评估、法律、人力资源、</w:t>
      </w:r>
      <w:r>
        <w:rPr>
          <w:rFonts w:hint="default" w:ascii="Times New Roman" w:hAnsi="Times New Roman" w:eastAsia="方正仿宋_GBK" w:cs="Times New Roman"/>
          <w:color w:val="000000" w:themeColor="text1"/>
          <w:kern w:val="0"/>
          <w:sz w:val="32"/>
          <w:szCs w:val="32"/>
          <w:u w:val="none"/>
          <w:shd w:val="clear" w:color="auto" w:fill="FFFFFF"/>
          <w:lang w:val="en-US" w:eastAsia="zh-CN" w:bidi="ar-SA"/>
          <w14:textFill>
            <w14:solidFill>
              <w14:schemeClr w14:val="tx1"/>
            </w14:solidFill>
          </w14:textFill>
        </w:rPr>
        <w:t>检验检测认证认可</w:t>
      </w: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、知识产权、咨询、保险中介、信用服务</w:t>
      </w:r>
      <w:r>
        <w:rPr>
          <w:rFonts w:hint="default" w:ascii="Times New Roman" w:hAnsi="Times New Roman" w:eastAsia="方正仿宋_GBK" w:cs="Times New Roman"/>
          <w:b w:val="0"/>
          <w:bCs w:val="0"/>
          <w:color w:val="000000" w:themeColor="text1"/>
          <w:sz w:val="32"/>
          <w:szCs w:val="32"/>
          <w:u w:val="none"/>
          <w:lang w:val="en-US" w:eastAsia="zh-CN"/>
          <w14:textFill>
            <w14:solidFill>
              <w14:schemeClr w14:val="tx1"/>
            </w14:solidFill>
          </w14:textFill>
        </w:rPr>
        <w:t>等领域专业服务企业</w:t>
      </w:r>
      <w:r>
        <w:rPr>
          <w:rFonts w:hint="default" w:ascii="Times New Roman" w:hAnsi="Times New Roman" w:eastAsia="方正仿宋_GBK" w:cs="Times New Roman"/>
          <w:color w:val="000000" w:themeColor="text1"/>
          <w:sz w:val="32"/>
          <w:szCs w:val="32"/>
          <w:u w:val="none"/>
          <w:shd w:val="clear" w:color="auto" w:fill="auto"/>
          <w:lang w:val="en-US" w:eastAsia="zh-CN"/>
          <w14:textFill>
            <w14:solidFill>
              <w14:schemeClr w14:val="tx1"/>
            </w14:solidFill>
          </w14:textFill>
        </w:rPr>
        <w:t>。</w:t>
      </w:r>
    </w:p>
    <w:p>
      <w:pPr>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line="620" w:lineRule="exact"/>
        <w:ind w:firstLine="640" w:firstLineChars="200"/>
        <w:jc w:val="both"/>
        <w:textAlignment w:val="auto"/>
        <w:rPr>
          <w:rFonts w:hint="default" w:ascii="Times New Roman" w:hAnsi="Times New Roman" w:eastAsia="方正黑体_GBK" w:cs="Times New Roman"/>
          <w:b w:val="0"/>
          <w:bCs w:val="0"/>
          <w:color w:val="000000" w:themeColor="text1"/>
          <w:sz w:val="32"/>
          <w:szCs w:val="32"/>
          <w:u w:val="none"/>
          <w:lang w:val="en-US" w:eastAsia="zh-CN"/>
          <w14:textFill>
            <w14:solidFill>
              <w14:schemeClr w14:val="tx1"/>
            </w14:solidFill>
          </w14:textFill>
        </w:rPr>
      </w:pPr>
      <w:r>
        <w:rPr>
          <w:rFonts w:hint="default" w:ascii="Times New Roman" w:hAnsi="Times New Roman" w:eastAsia="方正黑体_GBK" w:cs="Times New Roman"/>
          <w:b w:val="0"/>
          <w:bCs w:val="0"/>
          <w:color w:val="000000" w:themeColor="text1"/>
          <w:sz w:val="32"/>
          <w:szCs w:val="32"/>
          <w:u w:val="none"/>
          <w:lang w:val="en-US" w:eastAsia="zh-CN"/>
          <w14:textFill>
            <w14:solidFill>
              <w14:schemeClr w14:val="tx1"/>
            </w14:solidFill>
          </w14:textFill>
        </w:rPr>
        <w:t>第二条  鼓励项目新建。</w:t>
      </w:r>
    </w:p>
    <w:p>
      <w:pPr>
        <w:keepNext w:val="0"/>
        <w:keepLines w:val="0"/>
        <w:pageBreakBefore w:val="0"/>
        <w:widowControl w:val="0"/>
        <w:shd w:val="clear" w:color="auto" w:fill="auto"/>
        <w:kinsoku/>
        <w:wordWrap/>
        <w:overflowPunct w:val="0"/>
        <w:topLinePunct w:val="0"/>
        <w:autoSpaceDE/>
        <w:autoSpaceDN/>
        <w:bidi w:val="0"/>
        <w:adjustRightInd/>
        <w:snapToGrid/>
        <w:spacing w:line="620" w:lineRule="exact"/>
        <w:ind w:firstLine="640" w:firstLineChars="200"/>
        <w:jc w:val="both"/>
        <w:textAlignment w:val="auto"/>
        <w:rPr>
          <w:rFonts w:hint="default" w:ascii="Times New Roman" w:hAnsi="Times New Roman" w:eastAsia="方正仿宋_GBK" w:cs="Times New Roman"/>
          <w:color w:val="000000" w:themeColor="text1"/>
          <w:sz w:val="32"/>
          <w:szCs w:val="32"/>
          <w:u w:val="none"/>
          <w:shd w:val="clear" w:color="auto" w:fill="auto"/>
          <w:lang w:val="en-US" w:eastAsia="zh-CN"/>
          <w14:textFill>
            <w14:solidFill>
              <w14:schemeClr w14:val="tx1"/>
            </w14:solidFill>
          </w14:textFill>
        </w:rPr>
      </w:pPr>
      <w:r>
        <w:rPr>
          <w:rFonts w:hint="default" w:ascii="Times New Roman" w:hAnsi="Times New Roman" w:eastAsia="方正仿宋_GBK" w:cs="Times New Roman"/>
          <w:b w:val="0"/>
          <w:bCs w:val="0"/>
          <w:color w:val="000000" w:themeColor="text1"/>
          <w:sz w:val="32"/>
          <w:szCs w:val="32"/>
          <w:u w:val="none"/>
          <w:lang w:val="en-US" w:eastAsia="zh-CN"/>
          <w14:textFill>
            <w14:solidFill>
              <w14:schemeClr w14:val="tx1"/>
            </w14:solidFill>
          </w14:textFill>
        </w:rPr>
        <w:t>（一）</w:t>
      </w:r>
      <w:bookmarkStart w:id="1" w:name="OLE_LINK6"/>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对新引进注册资本金</w:t>
      </w:r>
      <w:r>
        <w:rPr>
          <w:rFonts w:hint="default" w:ascii="Times New Roman" w:hAnsi="Times New Roman" w:eastAsia="方正仿宋_GBK" w:cs="Times New Roman"/>
          <w:color w:val="000000" w:themeColor="text1"/>
          <w:sz w:val="32"/>
          <w:szCs w:val="32"/>
          <w:u w:val="none"/>
          <w:shd w:val="clear" w:color="auto" w:fill="auto"/>
          <w:lang w:val="en-US" w:eastAsia="zh-CN"/>
          <w14:textFill>
            <w14:solidFill>
              <w14:schemeClr w14:val="tx1"/>
            </w14:solidFill>
          </w14:textFill>
        </w:rPr>
        <w:t>（或出资额）达1000万元及以上经营稳定的企业，经认定，按其首次注册资本金（或出资额）实缴部分的2‰给予扶持，最高不超过500万元。</w:t>
      </w:r>
    </w:p>
    <w:bookmarkEnd w:id="1"/>
    <w:p>
      <w:pPr>
        <w:keepNext w:val="0"/>
        <w:keepLines w:val="0"/>
        <w:pageBreakBefore w:val="0"/>
        <w:widowControl w:val="0"/>
        <w:shd w:val="clear" w:color="auto" w:fill="auto"/>
        <w:kinsoku/>
        <w:wordWrap/>
        <w:overflowPunct w:val="0"/>
        <w:topLinePunct w:val="0"/>
        <w:autoSpaceDE/>
        <w:autoSpaceDN/>
        <w:bidi w:val="0"/>
        <w:adjustRightInd/>
        <w:snapToGrid/>
        <w:spacing w:line="620" w:lineRule="exact"/>
        <w:ind w:firstLine="640" w:firstLineChars="200"/>
        <w:jc w:val="both"/>
        <w:textAlignment w:val="auto"/>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（二）对新引进的企业，自注册之日起三年内，对年营业收入首次突破一定标准的，经认定，给予最高不超过1000万元市场开拓扶持。</w:t>
      </w:r>
    </w:p>
    <w:p>
      <w:pPr>
        <w:keepNext w:val="0"/>
        <w:keepLines w:val="0"/>
        <w:pageBreakBefore w:val="0"/>
        <w:widowControl w:val="0"/>
        <w:shd w:val="clear" w:color="auto" w:fill="auto"/>
        <w:kinsoku/>
        <w:wordWrap/>
        <w:overflowPunct w:val="0"/>
        <w:topLinePunct w:val="0"/>
        <w:autoSpaceDE/>
        <w:autoSpaceDN/>
        <w:bidi w:val="0"/>
        <w:adjustRightInd/>
        <w:snapToGrid/>
        <w:spacing w:line="620" w:lineRule="exact"/>
        <w:ind w:firstLine="640" w:firstLineChars="200"/>
        <w:jc w:val="both"/>
        <w:textAlignment w:val="auto"/>
        <w:rPr>
          <w:rFonts w:hint="default" w:ascii="Times New Roman" w:hAnsi="Times New Roman" w:eastAsia="方正仿宋_GBK" w:cs="Times New Roman"/>
          <w:color w:val="000000" w:themeColor="text1"/>
          <w:sz w:val="32"/>
          <w:szCs w:val="32"/>
          <w:u w:val="none"/>
          <w:shd w:val="clear" w:color="auto" w:fill="FFFF00"/>
          <w:lang w:val="en-US" w:eastAsia="zh-CN"/>
          <w14:textFill>
            <w14:solidFill>
              <w14:schemeClr w14:val="tx1"/>
            </w14:solidFill>
          </w14:textFill>
        </w:rPr>
      </w:pPr>
      <w:r>
        <w:rPr>
          <w:rFonts w:hint="default" w:ascii="Times New Roman" w:hAnsi="Times New Roman" w:eastAsia="方正黑体_GBK" w:cs="Times New Roman"/>
          <w:b w:val="0"/>
          <w:bCs w:val="0"/>
          <w:color w:val="000000" w:themeColor="text1"/>
          <w:sz w:val="32"/>
          <w:szCs w:val="32"/>
          <w:u w:val="none"/>
          <w:lang w:val="en-US" w:eastAsia="zh-CN"/>
          <w14:textFill>
            <w14:solidFill>
              <w14:schemeClr w14:val="tx1"/>
            </w14:solidFill>
          </w14:textFill>
        </w:rPr>
        <w:t>第三条  鼓励企业发展。</w:t>
      </w: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对年营业收入及增速、办公职场面积、参保职工人数达到一定标准的企业，经认定，给予</w:t>
      </w:r>
      <w:r>
        <w:rPr>
          <w:rFonts w:hint="default" w:ascii="Times New Roman" w:hAnsi="Times New Roman" w:eastAsia="方正仿宋_GBK" w:cs="Times New Roman"/>
          <w:color w:val="000000" w:themeColor="text1"/>
          <w:sz w:val="32"/>
          <w:szCs w:val="32"/>
          <w:u w:val="none"/>
          <w:shd w:val="clear" w:color="auto" w:fill="auto"/>
          <w:lang w:val="en-US" w:eastAsia="zh-CN"/>
          <w14:textFill>
            <w14:solidFill>
              <w14:schemeClr w14:val="tx1"/>
            </w14:solidFill>
          </w14:textFill>
        </w:rPr>
        <w:t>最高不超过1500万元扶持</w:t>
      </w: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w:t>
      </w:r>
      <w:r>
        <w:rPr>
          <w:rFonts w:hint="default" w:ascii="Times New Roman" w:hAnsi="Times New Roman" w:eastAsia="方正仿宋_GBK" w:cs="Times New Roman"/>
          <w:color w:val="000000" w:themeColor="text1"/>
          <w:sz w:val="32"/>
          <w:szCs w:val="32"/>
          <w:u w:val="none"/>
          <w:shd w:val="clear" w:color="auto" w:fill="auto"/>
          <w:lang w:val="en-US" w:eastAsia="zh-CN"/>
          <w14:textFill>
            <w14:solidFill>
              <w14:schemeClr w14:val="tx1"/>
            </w14:solidFill>
          </w14:textFill>
        </w:rPr>
        <w:t>本条政策不能与</w:t>
      </w:r>
      <w:r>
        <w:rPr>
          <w:rFonts w:hint="eastAsia" w:ascii="Times New Roman" w:hAnsi="Times New Roman" w:eastAsia="方正仿宋_GBK" w:cs="Times New Roman"/>
          <w:color w:val="000000" w:themeColor="text1"/>
          <w:sz w:val="32"/>
          <w:szCs w:val="32"/>
          <w:u w:val="none"/>
          <w:shd w:val="clear" w:color="auto" w:fill="auto"/>
          <w:lang w:val="en-US" w:eastAsia="zh-CN"/>
          <w14:textFill>
            <w14:solidFill>
              <w14:schemeClr w14:val="tx1"/>
            </w14:solidFill>
          </w14:textFill>
        </w:rPr>
        <w:t>“</w:t>
      </w:r>
      <w:r>
        <w:rPr>
          <w:rFonts w:hint="default" w:ascii="Times New Roman" w:hAnsi="Times New Roman" w:eastAsia="方正仿宋_GBK" w:cs="Times New Roman"/>
          <w:color w:val="000000" w:themeColor="text1"/>
          <w:sz w:val="32"/>
          <w:szCs w:val="32"/>
          <w:u w:val="none"/>
          <w:shd w:val="clear" w:color="auto" w:fill="auto"/>
          <w:lang w:val="en-US" w:eastAsia="zh-CN"/>
          <w14:textFill>
            <w14:solidFill>
              <w14:schemeClr w14:val="tx1"/>
            </w14:solidFill>
          </w14:textFill>
        </w:rPr>
        <w:t>第二条鼓励项目新建</w:t>
      </w:r>
      <w:r>
        <w:rPr>
          <w:rFonts w:hint="eastAsia" w:ascii="Times New Roman" w:hAnsi="Times New Roman" w:eastAsia="方正仿宋_GBK" w:cs="Times New Roman"/>
          <w:color w:val="000000" w:themeColor="text1"/>
          <w:sz w:val="32"/>
          <w:szCs w:val="32"/>
          <w:u w:val="none"/>
          <w:shd w:val="clear" w:color="auto" w:fill="auto"/>
          <w:lang w:val="en-US" w:eastAsia="zh-CN"/>
          <w14:textFill>
            <w14:solidFill>
              <w14:schemeClr w14:val="tx1"/>
            </w14:solidFill>
          </w14:textFill>
        </w:rPr>
        <w:t>”</w:t>
      </w:r>
      <w:r>
        <w:rPr>
          <w:rFonts w:hint="default" w:ascii="Times New Roman" w:hAnsi="Times New Roman" w:eastAsia="方正仿宋_GBK" w:cs="Times New Roman"/>
          <w:color w:val="000000" w:themeColor="text1"/>
          <w:sz w:val="32"/>
          <w:szCs w:val="32"/>
          <w:u w:val="none"/>
          <w:shd w:val="clear" w:color="auto" w:fill="auto"/>
          <w:lang w:val="en-US" w:eastAsia="zh-CN"/>
          <w14:textFill>
            <w14:solidFill>
              <w14:schemeClr w14:val="tx1"/>
            </w14:solidFill>
          </w14:textFill>
        </w:rPr>
        <w:t>政策同时享受。</w:t>
      </w:r>
    </w:p>
    <w:p>
      <w:pPr>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line="620" w:lineRule="exact"/>
        <w:ind w:firstLine="640" w:firstLineChars="200"/>
        <w:jc w:val="both"/>
        <w:textAlignment w:val="auto"/>
        <w:rPr>
          <w:rFonts w:hint="default" w:ascii="Times New Roman" w:hAnsi="Times New Roman" w:eastAsia="方正仿宋_GBK" w:cs="Times New Roman"/>
          <w:color w:val="000000" w:themeColor="text1"/>
          <w:sz w:val="32"/>
          <w:szCs w:val="32"/>
          <w:u w:val="none"/>
          <w:shd w:val="clear" w:color="auto" w:fill="auto"/>
          <w:lang w:val="en-US" w:eastAsia="zh-CN"/>
          <w14:textFill>
            <w14:solidFill>
              <w14:schemeClr w14:val="tx1"/>
            </w14:solidFill>
          </w14:textFill>
        </w:rPr>
      </w:pPr>
      <w:r>
        <w:rPr>
          <w:rFonts w:hint="default" w:ascii="Times New Roman" w:hAnsi="Times New Roman" w:eastAsia="方正黑体_GBK" w:cs="Times New Roman"/>
          <w:b w:val="0"/>
          <w:bCs w:val="0"/>
          <w:color w:val="000000" w:themeColor="text1"/>
          <w:sz w:val="32"/>
          <w:szCs w:val="32"/>
          <w:u w:val="none"/>
          <w:lang w:val="en-US" w:eastAsia="zh-CN"/>
          <w14:textFill>
            <w14:solidFill>
              <w14:schemeClr w14:val="tx1"/>
            </w14:solidFill>
          </w14:textFill>
        </w:rPr>
        <w:t>第四条  鼓励企业争先创优。</w:t>
      </w:r>
      <w:r>
        <w:rPr>
          <w:rFonts w:hint="default" w:ascii="Times New Roman" w:hAnsi="Times New Roman" w:eastAsia="方正仿宋_GBK" w:cs="Times New Roman"/>
          <w:color w:val="000000" w:themeColor="text1"/>
          <w:sz w:val="32"/>
          <w:szCs w:val="32"/>
          <w:u w:val="none"/>
          <w:shd w:val="clear" w:color="auto" w:fill="auto"/>
          <w:lang w:val="en-US" w:eastAsia="zh-CN"/>
          <w14:textFill>
            <w14:solidFill>
              <w14:schemeClr w14:val="tx1"/>
            </w14:solidFill>
          </w14:textFill>
        </w:rPr>
        <w:t>对获得国家部委、市委、市政府表彰，且达到一定经营规模的企业，给予适量一次性扶持。</w:t>
      </w:r>
    </w:p>
    <w:p>
      <w:pPr>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line="620" w:lineRule="exact"/>
        <w:ind w:firstLine="640" w:firstLineChars="200"/>
        <w:jc w:val="both"/>
        <w:textAlignment w:val="auto"/>
        <w:rPr>
          <w:rFonts w:hint="default" w:ascii="Times New Roman" w:hAnsi="Times New Roman" w:eastAsia="方正仿宋_GBK" w:cs="Times New Roman"/>
          <w:color w:val="000000" w:themeColor="text1"/>
          <w:sz w:val="32"/>
          <w:szCs w:val="32"/>
          <w:u w:val="none"/>
          <w:shd w:val="clear" w:color="auto" w:fill="auto"/>
          <w:lang w:val="en-US" w:eastAsia="zh-CN"/>
          <w14:textFill>
            <w14:solidFill>
              <w14:schemeClr w14:val="tx1"/>
            </w14:solidFill>
          </w14:textFill>
        </w:rPr>
      </w:pPr>
      <w:r>
        <w:rPr>
          <w:rFonts w:hint="default" w:ascii="Times New Roman" w:hAnsi="Times New Roman" w:eastAsia="方正黑体_GBK" w:cs="Times New Roman"/>
          <w:b w:val="0"/>
          <w:bCs w:val="0"/>
          <w:color w:val="000000" w:themeColor="text1"/>
          <w:sz w:val="32"/>
          <w:szCs w:val="32"/>
          <w:u w:val="none"/>
          <w:lang w:val="en-US" w:eastAsia="zh-CN"/>
          <w14:textFill>
            <w14:solidFill>
              <w14:schemeClr w14:val="tx1"/>
            </w14:solidFill>
          </w14:textFill>
        </w:rPr>
        <w:t>第五条  鼓励信息化转型。</w:t>
      </w:r>
      <w:r>
        <w:rPr>
          <w:rFonts w:hint="default" w:ascii="Times New Roman" w:hAnsi="Times New Roman" w:eastAsia="方正仿宋_GBK" w:cs="Times New Roman"/>
          <w:color w:val="000000" w:themeColor="text1"/>
          <w:sz w:val="32"/>
          <w:szCs w:val="32"/>
          <w:u w:val="none"/>
          <w:shd w:val="clear" w:color="auto" w:fill="auto"/>
          <w:lang w:val="en-US" w:eastAsia="zh-CN"/>
          <w14:textFill>
            <w14:solidFill>
              <w14:schemeClr w14:val="tx1"/>
            </w14:solidFill>
          </w14:textFill>
        </w:rPr>
        <w:t>支持企业开展信息化建设，对软硬件、5G网络、</w:t>
      </w:r>
      <w:r>
        <w:rPr>
          <w:rFonts w:hint="eastAsia" w:ascii="Times New Roman" w:hAnsi="Times New Roman" w:eastAsia="方正仿宋_GBK" w:cs="Times New Roman"/>
          <w:color w:val="000000" w:themeColor="text1"/>
          <w:sz w:val="32"/>
          <w:szCs w:val="32"/>
          <w:u w:val="none"/>
          <w:shd w:val="clear" w:color="auto" w:fill="auto"/>
          <w:lang w:val="en-US" w:eastAsia="zh-CN"/>
          <w14:textFill>
            <w14:solidFill>
              <w14:schemeClr w14:val="tx1"/>
            </w14:solidFill>
          </w14:textFill>
        </w:rPr>
        <w:t>“</w:t>
      </w:r>
      <w:r>
        <w:rPr>
          <w:rFonts w:hint="default" w:ascii="Times New Roman" w:hAnsi="Times New Roman" w:eastAsia="方正仿宋_GBK" w:cs="Times New Roman"/>
          <w:color w:val="000000" w:themeColor="text1"/>
          <w:sz w:val="32"/>
          <w:szCs w:val="32"/>
          <w:u w:val="none"/>
          <w:shd w:val="clear" w:color="auto" w:fill="auto"/>
          <w:lang w:val="en-US" w:eastAsia="zh-CN"/>
          <w14:textFill>
            <w14:solidFill>
              <w14:schemeClr w14:val="tx1"/>
            </w14:solidFill>
          </w14:textFill>
        </w:rPr>
        <w:t>上云</w:t>
      </w:r>
      <w:r>
        <w:rPr>
          <w:rFonts w:hint="eastAsia" w:ascii="Times New Roman" w:hAnsi="Times New Roman" w:eastAsia="方正仿宋_GBK" w:cs="Times New Roman"/>
          <w:color w:val="000000" w:themeColor="text1"/>
          <w:sz w:val="32"/>
          <w:szCs w:val="32"/>
          <w:u w:val="none"/>
          <w:shd w:val="clear" w:color="auto" w:fill="auto"/>
          <w:lang w:val="en-US" w:eastAsia="zh-CN"/>
          <w14:textFill>
            <w14:solidFill>
              <w14:schemeClr w14:val="tx1"/>
            </w14:solidFill>
          </w14:textFill>
        </w:rPr>
        <w:t>”</w:t>
      </w:r>
      <w:r>
        <w:rPr>
          <w:rFonts w:hint="default" w:ascii="Times New Roman" w:hAnsi="Times New Roman" w:eastAsia="方正仿宋_GBK" w:cs="Times New Roman"/>
          <w:color w:val="000000" w:themeColor="text1"/>
          <w:sz w:val="32"/>
          <w:szCs w:val="32"/>
          <w:u w:val="none"/>
          <w:shd w:val="clear" w:color="auto" w:fill="auto"/>
          <w:lang w:val="en-US" w:eastAsia="zh-CN"/>
          <w14:textFill>
            <w14:solidFill>
              <w14:schemeClr w14:val="tx1"/>
            </w14:solidFill>
          </w14:textFill>
        </w:rPr>
        <w:t>、信息技术开发等投入达到一定标准的信息化项目，经认定，给予10万元一次性扶持。</w:t>
      </w:r>
    </w:p>
    <w:p>
      <w:pPr>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line="620" w:lineRule="exact"/>
        <w:ind w:firstLine="640" w:firstLineChars="200"/>
        <w:jc w:val="both"/>
        <w:textAlignment w:val="auto"/>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pPr>
      <w:r>
        <w:rPr>
          <w:rFonts w:hint="default" w:ascii="Times New Roman" w:hAnsi="Times New Roman" w:eastAsia="方正黑体_GBK" w:cs="Times New Roman"/>
          <w:b w:val="0"/>
          <w:bCs w:val="0"/>
          <w:color w:val="000000" w:themeColor="text1"/>
          <w:sz w:val="32"/>
          <w:szCs w:val="32"/>
          <w:u w:val="none"/>
          <w:lang w:val="en-US" w:eastAsia="zh-CN"/>
          <w14:textFill>
            <w14:solidFill>
              <w14:schemeClr w14:val="tx1"/>
            </w14:solidFill>
          </w14:textFill>
        </w:rPr>
        <w:t>第六条  鼓励企业品牌打造。</w:t>
      </w:r>
      <w:r>
        <w:rPr>
          <w:rFonts w:hint="default" w:ascii="Times New Roman" w:hAnsi="Times New Roman" w:eastAsia="方正仿宋_GBK" w:cs="Times New Roman"/>
          <w:color w:val="000000" w:themeColor="text1"/>
          <w:sz w:val="32"/>
          <w:szCs w:val="32"/>
          <w:u w:val="none"/>
          <w:shd w:val="clear" w:color="auto" w:fill="FFFFFF"/>
          <w:lang w:val="en-US" w:eastAsia="zh-CN"/>
          <w14:textFill>
            <w14:solidFill>
              <w14:schemeClr w14:val="tx1"/>
            </w14:solidFill>
          </w14:textFill>
        </w:rPr>
        <w:t>对会计师事务所、律师事务所、税务师事务所、人力资源企业、资产评估企业首次入</w:t>
      </w: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选国家部委或国家行业协会发布的全国综合评价榜单的，给予50万元一次性扶持；对首次入选重庆市级部门或市级行业协会发布的地方综合评价榜单的，给予10万元一次性扶持。</w:t>
      </w:r>
    </w:p>
    <w:p>
      <w:pPr>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line="620" w:lineRule="exact"/>
        <w:ind w:leftChars="0" w:firstLine="640" w:firstLineChars="200"/>
        <w:jc w:val="both"/>
        <w:textAlignment w:val="auto"/>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pPr>
      <w:r>
        <w:rPr>
          <w:rFonts w:hint="default" w:ascii="Times New Roman" w:hAnsi="Times New Roman" w:eastAsia="方正黑体_GBK" w:cs="Times New Roman"/>
          <w:b w:val="0"/>
          <w:bCs w:val="0"/>
          <w:color w:val="000000" w:themeColor="text1"/>
          <w:sz w:val="32"/>
          <w:szCs w:val="32"/>
          <w:u w:val="none"/>
          <w:lang w:val="en-US" w:eastAsia="zh-CN"/>
          <w14:textFill>
            <w14:solidFill>
              <w14:schemeClr w14:val="tx1"/>
            </w14:solidFill>
          </w14:textFill>
        </w:rPr>
        <w:t xml:space="preserve">第七条  </w:t>
      </w:r>
      <w:bookmarkStart w:id="2" w:name="OLE_LINK9"/>
      <w:r>
        <w:rPr>
          <w:rFonts w:hint="default" w:ascii="Times New Roman" w:hAnsi="Times New Roman" w:eastAsia="方正黑体_GBK" w:cs="Times New Roman"/>
          <w:b w:val="0"/>
          <w:bCs w:val="0"/>
          <w:color w:val="000000" w:themeColor="text1"/>
          <w:sz w:val="32"/>
          <w:szCs w:val="32"/>
          <w:u w:val="none"/>
          <w:lang w:val="en-US" w:eastAsia="zh-CN"/>
          <w14:textFill>
            <w14:solidFill>
              <w14:schemeClr w14:val="tx1"/>
            </w14:solidFill>
          </w14:textFill>
        </w:rPr>
        <w:t>鼓励企业办会办展</w:t>
      </w:r>
      <w:bookmarkEnd w:id="2"/>
      <w:r>
        <w:rPr>
          <w:rFonts w:hint="default" w:ascii="Times New Roman" w:hAnsi="Times New Roman" w:eastAsia="方正黑体_GBK" w:cs="Times New Roman"/>
          <w:b w:val="0"/>
          <w:bCs w:val="0"/>
          <w:color w:val="000000" w:themeColor="text1"/>
          <w:sz w:val="32"/>
          <w:szCs w:val="32"/>
          <w:u w:val="none"/>
          <w:lang w:val="en-US" w:eastAsia="zh-CN"/>
          <w14:textFill>
            <w14:solidFill>
              <w14:schemeClr w14:val="tx1"/>
            </w14:solidFill>
          </w14:textFill>
        </w:rPr>
        <w:t>。</w:t>
      </w: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支持专业服务头部企业发挥示范带动效应和资源优势，在渝中区主办或联合举办高层次、具有较大社会影响力、有效提升渝中专业服务品牌能级的各类交流、培训、宣传活动。经在区的主办或联办企业申请，行业主管部门根据活动规模、嘉宾层次、行业影响力和持续性综合评定，</w:t>
      </w:r>
      <w:bookmarkStart w:id="3" w:name="OLE_LINK10"/>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可按实际投入费用的一定比例给予经费支持，原则上单次活动支持不超过50万元，企业每年申请经费支持不超过一次。</w:t>
      </w:r>
    </w:p>
    <w:bookmarkEnd w:id="3"/>
    <w:p>
      <w:pPr>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line="620" w:lineRule="exact"/>
        <w:ind w:leftChars="0" w:firstLine="640" w:firstLineChars="200"/>
        <w:jc w:val="both"/>
        <w:textAlignment w:val="auto"/>
        <w:rPr>
          <w:rFonts w:hint="default" w:ascii="Times New Roman" w:hAnsi="Times New Roman" w:eastAsia="方正仿宋_GBK" w:cs="Times New Roman"/>
          <w:b w:val="0"/>
          <w:bCs w:val="0"/>
          <w:color w:val="000000" w:themeColor="text1"/>
          <w:sz w:val="32"/>
          <w:szCs w:val="32"/>
          <w:u w:val="none"/>
          <w:lang w:val="en-US" w:eastAsia="zh-CN"/>
          <w14:textFill>
            <w14:solidFill>
              <w14:schemeClr w14:val="tx1"/>
            </w14:solidFill>
          </w14:textFill>
        </w:rPr>
      </w:pPr>
      <w:r>
        <w:rPr>
          <w:rFonts w:hint="default" w:ascii="Times New Roman" w:hAnsi="Times New Roman" w:eastAsia="方正黑体_GBK" w:cs="Times New Roman"/>
          <w:b w:val="0"/>
          <w:bCs w:val="0"/>
          <w:color w:val="000000" w:themeColor="text1"/>
          <w:sz w:val="32"/>
          <w:szCs w:val="32"/>
          <w:u w:val="none"/>
          <w:lang w:val="en-US" w:eastAsia="zh-CN"/>
          <w14:textFill>
            <w14:solidFill>
              <w14:schemeClr w14:val="tx1"/>
            </w14:solidFill>
          </w14:textFill>
        </w:rPr>
        <w:t>第八条  鼓励企业集团化发展。</w:t>
      </w: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对以</w:t>
      </w:r>
      <w:r>
        <w:rPr>
          <w:rFonts w:hint="eastAsia" w:ascii="Times New Roman" w:hAnsi="Times New Roman" w:eastAsia="方正仿宋_GBK" w:cs="Times New Roman"/>
          <w:color w:val="000000" w:themeColor="text1"/>
          <w:sz w:val="32"/>
          <w:szCs w:val="32"/>
          <w:u w:val="none"/>
          <w:lang w:val="en-US" w:eastAsia="zh-CN"/>
          <w14:textFill>
            <w14:solidFill>
              <w14:schemeClr w14:val="tx1"/>
            </w14:solidFill>
          </w14:textFill>
        </w:rPr>
        <w:t>“</w:t>
      </w: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几块牌子，一套班子</w:t>
      </w:r>
      <w:r>
        <w:rPr>
          <w:rFonts w:hint="eastAsia" w:ascii="Times New Roman" w:hAnsi="Times New Roman" w:eastAsia="方正仿宋_GBK" w:cs="Times New Roman"/>
          <w:color w:val="000000" w:themeColor="text1"/>
          <w:sz w:val="32"/>
          <w:szCs w:val="32"/>
          <w:u w:val="none"/>
          <w:lang w:val="en-US" w:eastAsia="zh-CN"/>
          <w14:textFill>
            <w14:solidFill>
              <w14:schemeClr w14:val="tx1"/>
            </w14:solidFill>
          </w14:textFill>
        </w:rPr>
        <w:t>”</w:t>
      </w: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模式进行集团化经营管理的专业服务企业，可将集团旗下全部企业汇总为一个整体的方式申报上述各项扶持政策，并不再享受区内其他同类政策。</w:t>
      </w:r>
    </w:p>
    <w:p>
      <w:pPr>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line="620" w:lineRule="exact"/>
        <w:ind w:firstLine="640" w:firstLineChars="200"/>
        <w:jc w:val="both"/>
        <w:textAlignment w:val="auto"/>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pPr>
      <w:r>
        <w:rPr>
          <w:rFonts w:hint="default" w:ascii="Times New Roman" w:hAnsi="Times New Roman" w:eastAsia="方正黑体_GBK" w:cs="Times New Roman"/>
          <w:b w:val="0"/>
          <w:bCs w:val="0"/>
          <w:color w:val="000000" w:themeColor="text1"/>
          <w:sz w:val="32"/>
          <w:szCs w:val="32"/>
          <w:u w:val="none"/>
          <w:lang w:val="en-US" w:eastAsia="zh-CN"/>
          <w14:textFill>
            <w14:solidFill>
              <w14:schemeClr w14:val="tx1"/>
            </w14:solidFill>
          </w14:textFill>
        </w:rPr>
        <w:t>第九条  服务企业区内拓展市场。</w:t>
      </w:r>
      <w:bookmarkStart w:id="4" w:name="OLE_LINK7"/>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帮助企业对接区级部门、管委会、街道、平台公司以及辖区市场主体，搭建交流平台；充分利用辖区资源，推荐企业参展西洽会、智博会、中新金融峰会等知名展会。</w:t>
      </w:r>
    </w:p>
    <w:bookmarkEnd w:id="4"/>
    <w:p>
      <w:pPr>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line="620" w:lineRule="exact"/>
        <w:ind w:firstLine="640" w:firstLineChars="200"/>
        <w:jc w:val="both"/>
        <w:textAlignment w:val="auto"/>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pPr>
      <w:r>
        <w:rPr>
          <w:rFonts w:hint="default" w:ascii="Times New Roman" w:hAnsi="Times New Roman" w:eastAsia="方正黑体_GBK" w:cs="Times New Roman"/>
          <w:b w:val="0"/>
          <w:bCs w:val="0"/>
          <w:color w:val="000000" w:themeColor="text1"/>
          <w:sz w:val="32"/>
          <w:szCs w:val="32"/>
          <w:u w:val="none"/>
          <w:lang w:val="en-US" w:eastAsia="zh-CN"/>
          <w14:textFill>
            <w14:solidFill>
              <w14:schemeClr w14:val="tx1"/>
            </w14:solidFill>
          </w14:textFill>
        </w:rPr>
        <w:t>第十条  加强保障服务。</w:t>
      </w: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对经认定的总部重点企业高管人员，参照有关政策提供保障服务。</w:t>
      </w:r>
    </w:p>
    <w:p>
      <w:pPr>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line="620" w:lineRule="exact"/>
        <w:ind w:firstLine="640" w:firstLineChars="200"/>
        <w:jc w:val="both"/>
        <w:textAlignment w:val="auto"/>
        <w:rPr>
          <w:rFonts w:hint="default" w:ascii="Times New Roman" w:hAnsi="Times New Roman" w:eastAsia="方正黑体_GBK" w:cs="Times New Roman"/>
          <w:b w:val="0"/>
          <w:bCs w:val="0"/>
          <w:color w:val="000000" w:themeColor="text1"/>
          <w:sz w:val="32"/>
          <w:szCs w:val="32"/>
          <w:u w:val="none"/>
          <w:lang w:val="en-US" w:eastAsia="zh-CN"/>
          <w14:textFill>
            <w14:solidFill>
              <w14:schemeClr w14:val="tx1"/>
            </w14:solidFill>
          </w14:textFill>
        </w:rPr>
      </w:pPr>
      <w:r>
        <w:rPr>
          <w:rFonts w:hint="default" w:ascii="Times New Roman" w:hAnsi="Times New Roman" w:eastAsia="方正黑体_GBK" w:cs="Times New Roman"/>
          <w:b w:val="0"/>
          <w:bCs w:val="0"/>
          <w:color w:val="000000" w:themeColor="text1"/>
          <w:sz w:val="32"/>
          <w:szCs w:val="32"/>
          <w:u w:val="none"/>
          <w:lang w:val="en-US" w:eastAsia="zh-CN"/>
          <w14:textFill>
            <w14:solidFill>
              <w14:schemeClr w14:val="tx1"/>
            </w14:solidFill>
          </w14:textFill>
        </w:rPr>
        <w:t>第十一条  附则。</w:t>
      </w:r>
    </w:p>
    <w:p>
      <w:pPr>
        <w:keepNext w:val="0"/>
        <w:keepLines w:val="0"/>
        <w:pageBreakBefore w:val="0"/>
        <w:widowControl w:val="0"/>
        <w:shd w:val="clear" w:color="auto" w:fill="auto"/>
        <w:kinsoku/>
        <w:wordWrap/>
        <w:overflowPunct w:val="0"/>
        <w:topLinePunct w:val="0"/>
        <w:autoSpaceDE/>
        <w:autoSpaceDN/>
        <w:bidi w:val="0"/>
        <w:adjustRightInd/>
        <w:snapToGrid w:val="0"/>
        <w:spacing w:line="620" w:lineRule="exact"/>
        <w:ind w:firstLine="640" w:firstLineChars="200"/>
        <w:jc w:val="both"/>
        <w:textAlignment w:val="auto"/>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（一）本政策自公布之日起施行。</w:t>
      </w:r>
    </w:p>
    <w:p>
      <w:pPr>
        <w:keepNext w:val="0"/>
        <w:keepLines w:val="0"/>
        <w:pageBreakBefore w:val="0"/>
        <w:widowControl w:val="0"/>
        <w:shd w:val="clear" w:color="auto" w:fill="auto"/>
        <w:kinsoku/>
        <w:wordWrap/>
        <w:overflowPunct w:val="0"/>
        <w:topLinePunct w:val="0"/>
        <w:autoSpaceDE/>
        <w:autoSpaceDN/>
        <w:bidi w:val="0"/>
        <w:adjustRightInd/>
        <w:snapToGrid w:val="0"/>
        <w:spacing w:line="620" w:lineRule="exact"/>
        <w:ind w:firstLine="640" w:firstLineChars="200"/>
        <w:jc w:val="both"/>
        <w:textAlignment w:val="auto"/>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（二）本政策实行申报认定制，申报认定工作按年度开展，区产业发展促进局应每年明确申报指南及相关规则。申报主体需基于上年度经营发展情况提交申报材料，经有关部门综合审核认定后予以兑现。</w:t>
      </w:r>
    </w:p>
    <w:p>
      <w:pPr>
        <w:keepNext w:val="0"/>
        <w:keepLines w:val="0"/>
        <w:pageBreakBefore w:val="0"/>
        <w:widowControl w:val="0"/>
        <w:shd w:val="clear" w:color="auto" w:fill="auto"/>
        <w:kinsoku/>
        <w:wordWrap/>
        <w:overflowPunct w:val="0"/>
        <w:topLinePunct w:val="0"/>
        <w:autoSpaceDE/>
        <w:autoSpaceDN/>
        <w:bidi w:val="0"/>
        <w:adjustRightInd/>
        <w:snapToGrid w:val="0"/>
        <w:spacing w:line="620" w:lineRule="exact"/>
        <w:ind w:firstLine="640" w:firstLineChars="200"/>
        <w:jc w:val="both"/>
        <w:textAlignment w:val="auto"/>
        <w:rPr>
          <w:rFonts w:hint="default" w:ascii="Times New Roman" w:hAnsi="Times New Roman" w:eastAsia="方正黑体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（三）申报政策的企业，同一项目同时满足本政策多个条款或渝中区其他扶持政策扶持条件的，按照</w:t>
      </w:r>
      <w:r>
        <w:rPr>
          <w:rFonts w:hint="eastAsia" w:ascii="Times New Roman" w:hAnsi="Times New Roman" w:eastAsia="方正仿宋_GBK" w:cs="Times New Roman"/>
          <w:color w:val="000000" w:themeColor="text1"/>
          <w:sz w:val="32"/>
          <w:szCs w:val="32"/>
          <w:u w:val="none"/>
          <w:lang w:val="en-US" w:eastAsia="zh-CN"/>
          <w14:textFill>
            <w14:solidFill>
              <w14:schemeClr w14:val="tx1"/>
            </w14:solidFill>
          </w14:textFill>
        </w:rPr>
        <w:t>“</w:t>
      </w: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就高不重复</w:t>
      </w:r>
      <w:r>
        <w:rPr>
          <w:rFonts w:hint="eastAsia" w:ascii="Times New Roman" w:hAnsi="Times New Roman" w:eastAsia="方正仿宋_GBK" w:cs="Times New Roman"/>
          <w:color w:val="000000" w:themeColor="text1"/>
          <w:sz w:val="32"/>
          <w:szCs w:val="32"/>
          <w:u w:val="none"/>
          <w:lang w:val="en-US" w:eastAsia="zh-CN"/>
          <w14:textFill>
            <w14:solidFill>
              <w14:schemeClr w14:val="tx1"/>
            </w14:solidFill>
          </w14:textFill>
        </w:rPr>
        <w:t>”</w:t>
      </w: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原则执行。原则上扶持资金可兑现给企业或经营团队。</w:t>
      </w:r>
    </w:p>
    <w:p>
      <w:pPr>
        <w:keepNext w:val="0"/>
        <w:keepLines w:val="0"/>
        <w:pageBreakBefore w:val="0"/>
        <w:widowControl w:val="0"/>
        <w:shd w:val="clear" w:color="auto" w:fill="auto"/>
        <w:kinsoku/>
        <w:wordWrap/>
        <w:overflowPunct w:val="0"/>
        <w:topLinePunct w:val="0"/>
        <w:autoSpaceDE/>
        <w:autoSpaceDN/>
        <w:bidi w:val="0"/>
        <w:adjustRightInd/>
        <w:snapToGrid w:val="0"/>
        <w:spacing w:line="620" w:lineRule="exact"/>
        <w:ind w:firstLine="640" w:firstLineChars="200"/>
        <w:jc w:val="both"/>
        <w:textAlignment w:val="auto"/>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（四）</w:t>
      </w:r>
      <w:bookmarkStart w:id="5" w:name="OLE_LINK14"/>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实施细则将根据专业服务业各领域不同特点，差异化制定。</w:t>
      </w:r>
      <w:bookmarkEnd w:id="5"/>
    </w:p>
    <w:p>
      <w:pPr>
        <w:pStyle w:val="3"/>
        <w:keepNext w:val="0"/>
        <w:keepLines w:val="0"/>
        <w:pageBreakBefore w:val="0"/>
        <w:widowControl w:val="0"/>
        <w:kinsoku/>
        <w:wordWrap/>
        <w:overflowPunct w:val="0"/>
        <w:topLinePunct w:val="0"/>
        <w:autoSpaceDE/>
        <w:autoSpaceDN/>
        <w:bidi w:val="0"/>
        <w:adjustRightInd/>
        <w:snapToGrid/>
        <w:spacing w:after="0" w:line="600" w:lineRule="exact"/>
        <w:ind w:left="0" w:leftChars="0" w:right="0" w:rightChars="0" w:firstLine="640" w:firstLineChars="200"/>
        <w:textAlignment w:val="auto"/>
        <w:rPr>
          <w:rFonts w:hint="eastAsia" w:ascii="Times New Roman" w:hAnsi="Times New Roman" w:eastAsia="方正仿宋_GBK" w:cs="Times New Roman"/>
          <w:kern w:val="0"/>
          <w:sz w:val="32"/>
          <w:szCs w:val="32"/>
          <w:highlight w:val="none"/>
          <w:shd w:val="clear" w:color="auto" w:fill="FFFFFF"/>
          <w:lang w:eastAsia="zh-CN" w:bidi="ar-SA"/>
        </w:rPr>
      </w:pPr>
      <w:bookmarkStart w:id="6" w:name="_GoBack"/>
      <w:bookmarkEnd w:id="6"/>
    </w:p>
    <w:sectPr>
      <w:headerReference r:id="rId3" w:type="default"/>
      <w:footerReference r:id="rId4" w:type="default"/>
      <w:pgSz w:w="11906" w:h="16838"/>
      <w:pgMar w:top="1474" w:right="1848" w:bottom="1587" w:left="1962" w:header="851" w:footer="992" w:gutter="0"/>
      <w:pgNumType w:fmt="numberInDash"/>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Times New Roman Regular">
    <w:altName w:val="Times New Roman"/>
    <w:panose1 w:val="02020603050405020304"/>
    <w:charset w:val="00"/>
    <w:family w:val="auto"/>
    <w:pitch w:val="default"/>
    <w:sig w:usb0="00000000" w:usb1="00000000" w:usb2="00000009" w:usb3="00000000" w:csb0="400001FF" w:csb1="FFFF0000"/>
  </w:font>
  <w:font w:name="方正楷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等线">
    <w:altName w:val="微软雅黑"/>
    <w:panose1 w:val="02010600030101010101"/>
    <w:charset w:val="86"/>
    <w:family w:val="auto"/>
    <w:pitch w:val="default"/>
    <w:sig w:usb0="00000000" w:usb1="00000000" w:usb2="00000016" w:usb3="00000000" w:csb0="0004000F" w:csb1="00000000"/>
  </w:font>
  <w:font w:name="华文新魏">
    <w:altName w:val="宋体"/>
    <w:panose1 w:val="0201080004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永中宋体">
    <w:altName w:val="宋体"/>
    <w:panose1 w:val="02010600030101010101"/>
    <w:charset w:val="86"/>
    <w:family w:val="auto"/>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Helvetica Neue">
    <w:altName w:val="Times New Roman"/>
    <w:panose1 w:val="00000000000000000000"/>
    <w:charset w:val="00"/>
    <w:family w:val="auto"/>
    <w:pitch w:val="default"/>
    <w:sig w:usb0="00000000" w:usb1="00000000" w:usb2="00000000" w:usb3="00000000" w:csb0="00040001" w:csb1="00000000"/>
  </w:font>
  <w:font w:name="MS PGothic">
    <w:panose1 w:val="020B0600070205080204"/>
    <w:charset w:val="80"/>
    <w:family w:val="swiss"/>
    <w:pitch w:val="default"/>
    <w:sig w:usb0="E00002FF" w:usb1="6AC7FDFB" w:usb2="00000012" w:usb3="00000000" w:csb0="4002009F" w:csb1="DFD70000"/>
  </w:font>
  <w:font w:name="方正楷体_GB2312">
    <w:altName w:val="宋体"/>
    <w:panose1 w:val="02000000000000000000"/>
    <w:charset w:val="86"/>
    <w:family w:val="auto"/>
    <w:pitch w:val="default"/>
    <w:sig w:usb0="00000000" w:usb1="00000000" w:usb2="00000012" w:usb3="00000000" w:csb0="00040001" w:csb1="00000000"/>
  </w:font>
  <w:font w:name="LinTimes">
    <w:altName w:val="Segoe Print"/>
    <w:panose1 w:val="00000000000000000000"/>
    <w:charset w:val="00"/>
    <w:family w:val="auto"/>
    <w:pitch w:val="default"/>
    <w:sig w:usb0="00000000" w:usb1="00000000" w:usb2="00000008" w:usb3="00000000" w:csb0="400001FF" w:csb1="FFFF0000"/>
  </w:font>
  <w:font w:name="华文楷体">
    <w:altName w:val="宋体"/>
    <w:panose1 w:val="02010600040101010101"/>
    <w:charset w:val="86"/>
    <w:family w:val="auto"/>
    <w:pitch w:val="default"/>
    <w:sig w:usb0="00000000" w:usb1="00000000" w:usb2="00000000" w:usb3="00000000" w:csb0="0004009F" w:csb1="DFD70000"/>
  </w:font>
  <w:font w:name="Segoe Print">
    <w:panose1 w:val="02000600000000000000"/>
    <w:charset w:val="00"/>
    <w:family w:val="auto"/>
    <w:pitch w:val="default"/>
    <w:sig w:usb0="0000028F" w:usb1="00000000" w:usb2="00000000" w:usb3="00000000" w:csb0="2000009F" w:csb1="47010000"/>
  </w:font>
  <w:font w:name="仿宋_GB2312">
    <w:altName w:val="仿宋"/>
    <w:panose1 w:val="00000000000000000000"/>
    <w:charset w:val="00"/>
    <w:family w:val="auto"/>
    <w:pitch w:val="default"/>
    <w:sig w:usb0="00000000" w:usb1="00000000" w:usb2="00000000" w:usb3="00000000" w:csb0="00040001" w:csb1="00000000"/>
  </w:font>
  <w:font w:name="Helvetica">
    <w:altName w:val="Arial"/>
    <w:panose1 w:val="020B0504020202020204"/>
    <w:charset w:val="00"/>
    <w:family w:val="swiss"/>
    <w:pitch w:val="default"/>
    <w:sig w:usb0="00000000" w:usb1="00000000" w:usb2="00000000" w:usb3="00000000" w:csb0="00000001" w:csb1="00000000"/>
  </w:font>
  <w:font w:name="Arial">
    <w:panose1 w:val="020B0604020202020204"/>
    <w:charset w:val="00"/>
    <w:family w:val="swiss"/>
    <w:pitch w:val="default"/>
    <w:sig w:usb0="E0002AFF" w:usb1="C0007843" w:usb2="00000009" w:usb3="00000000" w:csb0="400001FF" w:csb1="FFFF0000"/>
  </w:font>
  <w:font w:name="方正隶书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4788" w:leftChars="2280" w:firstLine="6400" w:firstLineChars="2000"/>
      <w:rPr>
        <w:sz w:val="32"/>
      </w:rPr>
    </w:pPr>
  </w:p>
  <w:p>
    <w:pPr>
      <w:pStyle w:val="9"/>
      <w:ind w:left="4788" w:leftChars="2280" w:firstLine="6400" w:firstLineChars="2000"/>
      <w:rPr>
        <w:sz w:val="32"/>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140335</wp:posOffset>
              </wp:positionV>
              <wp:extent cx="8288020" cy="0"/>
              <wp:effectExtent l="0" t="10795" r="17780" b="17780"/>
              <wp:wrapNone/>
              <wp:docPr id="8" name="直接连接符 8"/>
              <wp:cNvGraphicFramePr/>
              <a:graphic xmlns:a="http://schemas.openxmlformats.org/drawingml/2006/main">
                <a:graphicData uri="http://schemas.microsoft.com/office/word/2010/wordprocessingShape">
                  <wps:wsp>
                    <wps:cNvCnPr/>
                    <wps:spPr>
                      <a:xfrm>
                        <a:off x="0" y="0"/>
                        <a:ext cx="8288020"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5pt;margin-top:11.05pt;height:0pt;width:652.6pt;z-index:251660288;mso-width-relative:page;mso-height-relative:page;" filled="f" stroked="t" coordsize="21600,21600" o:gfxdata="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tyYMd9QAAAAJAQAADwAAAAAAAAABACAAAAAiAAAAZHJzL2Rvd25y&#10;ZXYueG1sUEsBAhQAFAAAAAgAh07iQG9Om5/JAQAAZAMAAA4AAAAAAAAAAQAgAAAAIwEAAGRycy9l&#10;Mm9Eb2MueG1sUEsFBgAAAAAGAAYAWQEAAF4FAAAAAA==&#10;">
              <v:fill on="f" focussize="0,0"/>
              <v:stroke weight="1.75pt" color="#005192 [3204]" miterlimit="8" joinstyle="miter"/>
              <v:imagedata o:title=""/>
              <o:lock v:ext="edit" aspectratio="f"/>
            </v:line>
          </w:pict>
        </mc:Fallback>
      </mc:AlternateContent>
    </w:r>
  </w:p>
  <w:p>
    <w:pPr>
      <w:pStyle w:val="9"/>
      <w:wordWrap w:val="0"/>
      <w:jc w:val="right"/>
      <w:rPr>
        <w:rFonts w:hint="eastAsia" w:ascii="宋体" w:hAnsi="宋体" w:eastAsia="宋体" w:cs="宋体"/>
        <w:b/>
        <w:bCs/>
        <w:color w:val="005192"/>
        <w:sz w:val="28"/>
        <w:szCs w:val="44"/>
        <w:lang w:val="en-US" w:eastAsia="zh-CN"/>
      </w:rPr>
    </w:pPr>
    <w:r>
      <w:rPr>
        <w:rFonts w:hint="eastAsia" w:ascii="宋体" w:hAnsi="宋体" w:eastAsia="宋体" w:cs="宋体"/>
        <w:b/>
        <w:bCs/>
        <w:color w:val="005192"/>
        <w:sz w:val="28"/>
        <w:szCs w:val="44"/>
        <w:lang w:eastAsia="zh-CN"/>
      </w:rPr>
      <w:t>重庆市渝中区人民政府</w:t>
    </w:r>
    <w:r>
      <w:rPr>
        <w:rFonts w:hint="eastAsia" w:ascii="宋体" w:hAnsi="宋体" w:eastAsia="宋体" w:cs="宋体"/>
        <w:b/>
        <w:bCs/>
        <w:color w:val="005192"/>
        <w:sz w:val="28"/>
        <w:szCs w:val="44"/>
        <w:lang w:val="en-US" w:eastAsia="zh-CN"/>
      </w:rPr>
      <w:t>发布</w:t>
    </w:r>
    <w:r>
      <w:rPr>
        <w:rFonts w:hint="default" w:ascii="宋体" w:hAnsi="宋体" w:eastAsia="宋体" w:cs="宋体"/>
        <w:b/>
        <w:bCs/>
        <w:color w:val="005192"/>
        <w:sz w:val="28"/>
        <w:szCs w:val="44"/>
        <w:lang w:eastAsia="zh-CN"/>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-10160</wp:posOffset>
              </wp:positionH>
              <wp:positionV relativeFrom="paragraph">
                <wp:posOffset>363220</wp:posOffset>
              </wp:positionV>
              <wp:extent cx="8269605" cy="0"/>
              <wp:effectExtent l="0" t="0" r="0" b="0"/>
              <wp:wrapNone/>
              <wp:docPr id="2" name="直接连接符 2"/>
              <wp:cNvGraphicFramePr/>
              <a:graphic xmlns:a="http://schemas.openxmlformats.org/drawingml/2006/main">
                <a:graphicData uri="http://schemas.microsoft.com/office/word/2010/wordprocessingShape">
                  <wps:wsp>
                    <wps:cNvCnPr/>
                    <wps:spPr>
                      <a:xfrm>
                        <a:off x="4133850" y="864870"/>
                        <a:ext cx="826960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8pt;margin-top:28.6pt;height:0pt;width:651.15pt;z-index:251659264;mso-width-relative:page;mso-height-relative:page;" filled="f" stroked="t" coordsize="21600,21600" o:gfxdata="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Ly9A6TVAAAACQEAAA8AAAAAAAAAAQAg&#10;AAAAIgAAAGRycy9kb3ducmV2LnhtbFBLAQIUABQAAAAIAIdO4kAFsJvr2AEAAG8DAAAOAAAAAAAA&#10;AAEAIAAAACQBAABkcnMvZTJvRG9jLnhtbFBLBQYAAAAABgAGAFkBAABuBQAAAAA=&#10;">
              <v:fill on="f" focussize="0,0"/>
              <v:stroke weight="1.75pt" color="#005192 [3204]" miterlimit="8" joinstyle="miter"/>
              <v:imagedata o:title=""/>
              <o:lock v:ext="edit" aspectratio="f"/>
            </v:line>
          </w:pict>
        </mc:Fallback>
      </mc:AlternateContent>
    </w:r>
    <w:r>
      <w:rPr>
        <w:rFonts w:hint="eastAsia" w:ascii="宋体" w:hAnsi="宋体" w:eastAsia="宋体" w:cs="宋体"/>
        <w:b/>
        <w:bCs/>
        <w:color w:val="005192"/>
        <w:sz w:val="32"/>
      </w:rPr>
      <w:drawing>
        <wp:inline distT="0" distB="0" distL="114300" distR="114300">
          <wp:extent cx="308610" cy="308610"/>
          <wp:effectExtent l="0" t="0" r="21590" b="21590"/>
          <wp:docPr id="3" name="图片 3"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重庆市渝中区人民政府行政</w:t>
    </w:r>
    <w:r>
      <w:rPr>
        <w:rFonts w:hint="eastAsia" w:ascii="宋体" w:hAnsi="宋体" w:eastAsia="宋体" w:cs="宋体"/>
        <w:b/>
        <w:bCs/>
        <w:color w:val="005192"/>
        <w:sz w:val="32"/>
        <w:szCs w:val="32"/>
        <w:lang w:val="en-US" w:eastAsia="zh-Hans"/>
      </w:rPr>
      <w:t>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0Y2IzNDJkOGM1ZjlhNmU3OGI1ZmVlOGJmOGM0ZjQifQ=="/>
  </w:docVars>
  <w:rsids>
    <w:rsidRoot w:val="00172A27"/>
    <w:rsid w:val="019E71BD"/>
    <w:rsid w:val="01E93D58"/>
    <w:rsid w:val="04B679C3"/>
    <w:rsid w:val="05F07036"/>
    <w:rsid w:val="06E00104"/>
    <w:rsid w:val="080F63D8"/>
    <w:rsid w:val="08B50549"/>
    <w:rsid w:val="09341458"/>
    <w:rsid w:val="098254C2"/>
    <w:rsid w:val="0A766EDE"/>
    <w:rsid w:val="0AD64BE8"/>
    <w:rsid w:val="0B0912D7"/>
    <w:rsid w:val="0E025194"/>
    <w:rsid w:val="0EEF0855"/>
    <w:rsid w:val="117428AF"/>
    <w:rsid w:val="11DB7C71"/>
    <w:rsid w:val="14353156"/>
    <w:rsid w:val="152D2DCA"/>
    <w:rsid w:val="187168EA"/>
    <w:rsid w:val="187C1EEF"/>
    <w:rsid w:val="196673CA"/>
    <w:rsid w:val="1B8C1136"/>
    <w:rsid w:val="1CF734C9"/>
    <w:rsid w:val="1DEC284C"/>
    <w:rsid w:val="1E6523AC"/>
    <w:rsid w:val="206407AA"/>
    <w:rsid w:val="22440422"/>
    <w:rsid w:val="22BB4BBB"/>
    <w:rsid w:val="25EB1AF4"/>
    <w:rsid w:val="28B12CB8"/>
    <w:rsid w:val="29036482"/>
    <w:rsid w:val="2DD05FE1"/>
    <w:rsid w:val="2EAE3447"/>
    <w:rsid w:val="31A15F24"/>
    <w:rsid w:val="36197A9F"/>
    <w:rsid w:val="36FB1DF0"/>
    <w:rsid w:val="3893700E"/>
    <w:rsid w:val="395347B5"/>
    <w:rsid w:val="39A232A0"/>
    <w:rsid w:val="39E745AA"/>
    <w:rsid w:val="39EF1CBC"/>
    <w:rsid w:val="3B5A6BBB"/>
    <w:rsid w:val="3BFB67A7"/>
    <w:rsid w:val="3CA154E3"/>
    <w:rsid w:val="3EDA13A6"/>
    <w:rsid w:val="3FF56C14"/>
    <w:rsid w:val="417B75E9"/>
    <w:rsid w:val="42430A63"/>
    <w:rsid w:val="42753B93"/>
    <w:rsid w:val="42F058B7"/>
    <w:rsid w:val="436109F6"/>
    <w:rsid w:val="441A38D4"/>
    <w:rsid w:val="448C7E2C"/>
    <w:rsid w:val="4504239D"/>
    <w:rsid w:val="497A3843"/>
    <w:rsid w:val="4B62462D"/>
    <w:rsid w:val="4BC77339"/>
    <w:rsid w:val="4BFF3ECF"/>
    <w:rsid w:val="4C9236C5"/>
    <w:rsid w:val="4E250A85"/>
    <w:rsid w:val="4FC706E9"/>
    <w:rsid w:val="4FFD4925"/>
    <w:rsid w:val="505C172E"/>
    <w:rsid w:val="506405EA"/>
    <w:rsid w:val="52441F2D"/>
    <w:rsid w:val="52F46F0B"/>
    <w:rsid w:val="532B6A10"/>
    <w:rsid w:val="539E4E99"/>
    <w:rsid w:val="53D8014D"/>
    <w:rsid w:val="54261C93"/>
    <w:rsid w:val="550C209A"/>
    <w:rsid w:val="55E064E0"/>
    <w:rsid w:val="572C6D10"/>
    <w:rsid w:val="5B005C27"/>
    <w:rsid w:val="5DC34279"/>
    <w:rsid w:val="5E2239F7"/>
    <w:rsid w:val="5FCD688E"/>
    <w:rsid w:val="5FF9BDAA"/>
    <w:rsid w:val="608816D1"/>
    <w:rsid w:val="60EF4E7F"/>
    <w:rsid w:val="630F57C9"/>
    <w:rsid w:val="631A0CE7"/>
    <w:rsid w:val="64366C42"/>
    <w:rsid w:val="648B0A32"/>
    <w:rsid w:val="658F6764"/>
    <w:rsid w:val="665233C1"/>
    <w:rsid w:val="68407889"/>
    <w:rsid w:val="69AC0D42"/>
    <w:rsid w:val="6AD9688B"/>
    <w:rsid w:val="6B68303F"/>
    <w:rsid w:val="6D0E3F22"/>
    <w:rsid w:val="6F594875"/>
    <w:rsid w:val="72B427CB"/>
    <w:rsid w:val="744E4660"/>
    <w:rsid w:val="753355A2"/>
    <w:rsid w:val="759F1C61"/>
    <w:rsid w:val="769F2DE8"/>
    <w:rsid w:val="76FDEB7C"/>
    <w:rsid w:val="780345E7"/>
    <w:rsid w:val="79C65162"/>
    <w:rsid w:val="79EE7E31"/>
    <w:rsid w:val="7C9011D9"/>
    <w:rsid w:val="7C9377A5"/>
    <w:rsid w:val="7DC651C5"/>
    <w:rsid w:val="7FCC2834"/>
    <w:rsid w:val="92DD1CEF"/>
    <w:rsid w:val="BD9D1569"/>
    <w:rsid w:val="EBDDA9D0"/>
    <w:rsid w:val="F05B4F69"/>
    <w:rsid w:val="F7F902F6"/>
    <w:rsid w:val="F97D9566"/>
    <w:rsid w:val="FDFF41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3"/>
    <w:basedOn w:val="1"/>
    <w:next w:val="1"/>
    <w:unhideWhenUsed/>
    <w:qFormat/>
    <w:uiPriority w:val="0"/>
    <w:pPr>
      <w:keepNext/>
      <w:keepLines/>
      <w:spacing w:before="260" w:after="260" w:line="415" w:lineRule="auto"/>
      <w:outlineLvl w:val="2"/>
    </w:pPr>
    <w:rPr>
      <w:b/>
      <w:bCs/>
      <w:sz w:val="32"/>
      <w:szCs w:val="32"/>
    </w:rPr>
  </w:style>
  <w:style w:type="paragraph" w:styleId="5">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1">
    <w:name w:val="Default Paragraph Font"/>
    <w:semiHidden/>
    <w:qFormat/>
    <w:uiPriority w:val="0"/>
  </w:style>
  <w:style w:type="table" w:default="1" w:styleId="13">
    <w:name w:val="Normal Table"/>
    <w:semiHidden/>
    <w:qFormat/>
    <w:uiPriority w:val="0"/>
    <w:tblPr>
      <w:tblLayout w:type="fixed"/>
      <w:tblCellMar>
        <w:top w:w="0" w:type="dxa"/>
        <w:left w:w="108" w:type="dxa"/>
        <w:bottom w:w="0" w:type="dxa"/>
        <w:right w:w="108" w:type="dxa"/>
      </w:tblCellMar>
    </w:tblPr>
  </w:style>
  <w:style w:type="paragraph" w:styleId="2">
    <w:name w:val="Message Header"/>
    <w:basedOn w:val="1"/>
    <w:next w:val="3"/>
    <w:qFormat/>
    <w:uiPriority w:val="0"/>
    <w:pPr>
      <w:pBdr>
        <w:top w:val="single" w:color="auto" w:sz="6" w:space="1"/>
        <w:left w:val="single" w:color="auto" w:sz="6" w:space="1"/>
        <w:bottom w:val="single" w:color="auto" w:sz="6" w:space="1"/>
        <w:right w:val="single" w:color="auto" w:sz="6" w:space="1"/>
      </w:pBdr>
      <w:shd w:val="pct20" w:color="auto" w:fill="auto"/>
      <w:ind w:left="1000" w:leftChars="500" w:hanging="500" w:hangingChars="500"/>
    </w:pPr>
    <w:rPr>
      <w:rFonts w:ascii="Cambria" w:hAnsi="Cambria"/>
      <w:sz w:val="24"/>
      <w:szCs w:val="24"/>
    </w:rPr>
  </w:style>
  <w:style w:type="paragraph" w:styleId="3">
    <w:name w:val="Body Text"/>
    <w:basedOn w:val="1"/>
    <w:next w:val="1"/>
    <w:qFormat/>
    <w:uiPriority w:val="0"/>
    <w:pPr>
      <w:spacing w:after="120"/>
    </w:pPr>
    <w:rPr>
      <w:rFonts w:ascii="等线" w:hAnsi="等线" w:eastAsia="等线"/>
      <w:szCs w:val="22"/>
    </w:rPr>
  </w:style>
  <w:style w:type="paragraph" w:styleId="6">
    <w:name w:val="annotation text"/>
    <w:basedOn w:val="1"/>
    <w:qFormat/>
    <w:uiPriority w:val="0"/>
    <w:pPr>
      <w:jc w:val="left"/>
    </w:pPr>
  </w:style>
  <w:style w:type="paragraph" w:styleId="7">
    <w:name w:val="Body Text Indent 2"/>
    <w:next w:val="1"/>
    <w:uiPriority w:val="0"/>
    <w:pPr>
      <w:widowControl w:val="0"/>
      <w:spacing w:after="120" w:afterLines="0" w:afterAutospacing="0" w:line="480" w:lineRule="auto"/>
      <w:ind w:left="420" w:leftChars="200"/>
      <w:jc w:val="both"/>
    </w:pPr>
    <w:rPr>
      <w:rFonts w:ascii="仿宋_GB2312" w:hAnsi="仿宋_GB2312" w:eastAsia="仿宋_GB2312" w:cs="Times New Roman"/>
      <w:kern w:val="2"/>
      <w:sz w:val="32"/>
      <w:szCs w:val="24"/>
      <w:lang w:val="en-US" w:eastAsia="zh-CN" w:bidi="ar-SA"/>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2">
    <w:name w:val="Strong"/>
    <w:basedOn w:val="11"/>
    <w:qFormat/>
    <w:uiPriority w:val="0"/>
    <w:rPr>
      <w:b/>
      <w:bCs/>
    </w:rPr>
  </w:style>
  <w:style w:type="paragraph" w:customStyle="1" w:styleId="14">
    <w:name w:val="默认"/>
    <w:qFormat/>
    <w:uiPriority w:val="0"/>
    <w:rPr>
      <w:rFonts w:hint="eastAsia" w:ascii="Arial Unicode MS" w:hAnsi="Arial Unicode MS" w:eastAsia="Helvetica Neue" w:cs="Arial Unicode MS"/>
      <w:color w:val="000000"/>
      <w:sz w:val="22"/>
      <w:szCs w:val="22"/>
      <w:lang w:val="zh-CN" w:eastAsia="zh-CN" w:bidi="ar-SA"/>
    </w:rPr>
  </w:style>
  <w:style w:type="paragraph" w:customStyle="1" w:styleId="15">
    <w:name w:val="p0"/>
    <w:basedOn w:val="1"/>
    <w:qFormat/>
    <w:uiPriority w:val="0"/>
    <w:pPr>
      <w:widowControl/>
    </w:pPr>
    <w:rPr>
      <w:rFonts w:ascii="Calibri" w:hAnsi="Calibri" w:eastAsia="宋体" w:cs="宋体"/>
      <w:kern w:val="0"/>
      <w:szCs w:val="32"/>
    </w:rPr>
  </w:style>
  <w:style w:type="paragraph" w:customStyle="1" w:styleId="16">
    <w:name w:val="样式 1 小三"/>
    <w:qFormat/>
    <w:uiPriority w:val="0"/>
    <w:pPr>
      <w:widowControl w:val="0"/>
      <w:jc w:val="both"/>
    </w:pPr>
    <w:rPr>
      <w:rFonts w:ascii="Times New Roman" w:hAnsi="Times New Roman" w:eastAsia="仿宋_GB2312" w:cs="Times New Roman"/>
      <w:kern w:val="2"/>
      <w:sz w:val="30"/>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576</Words>
  <Characters>621</Characters>
  <Lines>1</Lines>
  <Paragraphs>1</Paragraphs>
  <ScaleCrop>false</ScaleCrop>
  <LinksUpToDate>false</LinksUpToDate>
  <CharactersWithSpaces>629</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2021-09-11T02:41:00Z</dcterms:created>
  <dc:creator>t</dc:creator>
  <cp:lastModifiedBy>Administrator</cp:lastModifiedBy>
  <cp:lastPrinted>2022-06-06T16:09:00Z</cp:lastPrinted>
  <dcterms:modified xsi:type="dcterms:W3CDTF">2025-06-04T01:40:07Z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48C61CB29D3F4D9384F5922CF0F7FFB4</vt:lpwstr>
  </property>
</Properties>
</file>