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D5077" w14:textId="77777777" w:rsidR="002D0D6D" w:rsidRDefault="002D0D6D">
      <w:pPr>
        <w:spacing w:line="660" w:lineRule="exact"/>
        <w:jc w:val="center"/>
        <w:rPr>
          <w:rFonts w:ascii="Times New Roman" w:eastAsia="方正仿宋_GBK" w:hAnsi="Times New Roman" w:cs="Times New Roman"/>
          <w:sz w:val="32"/>
          <w:szCs w:val="32"/>
        </w:rPr>
      </w:pPr>
    </w:p>
    <w:p w14:paraId="3D54EBE1" w14:textId="77777777" w:rsidR="002D0D6D" w:rsidRDefault="002D0D6D">
      <w:pPr>
        <w:spacing w:line="660" w:lineRule="exact"/>
        <w:jc w:val="center"/>
        <w:rPr>
          <w:rFonts w:ascii="Times New Roman" w:eastAsia="方正仿宋_GBK" w:hAnsi="Times New Roman" w:cs="Times New Roman"/>
          <w:sz w:val="32"/>
          <w:szCs w:val="32"/>
        </w:rPr>
      </w:pPr>
      <w:bookmarkStart w:id="0" w:name="fh"/>
      <w:bookmarkEnd w:id="0"/>
    </w:p>
    <w:p w14:paraId="7DE9D9F2" w14:textId="77777777" w:rsidR="002D0D6D" w:rsidRDefault="002D0D6D">
      <w:pPr>
        <w:spacing w:line="660" w:lineRule="exact"/>
        <w:jc w:val="center"/>
        <w:rPr>
          <w:rFonts w:ascii="Times New Roman" w:eastAsia="方正仿宋_GBK" w:hAnsi="Times New Roman" w:cs="Times New Roman"/>
          <w:sz w:val="32"/>
          <w:szCs w:val="32"/>
        </w:rPr>
      </w:pPr>
      <w:bookmarkStart w:id="1" w:name="hj"/>
      <w:bookmarkStart w:id="2" w:name="mj"/>
      <w:bookmarkEnd w:id="1"/>
      <w:bookmarkEnd w:id="2"/>
    </w:p>
    <w:p w14:paraId="0F5B167F" w14:textId="77777777" w:rsidR="002D0D6D" w:rsidRDefault="00000000">
      <w:pPr>
        <w:spacing w:line="660" w:lineRule="exact"/>
        <w:jc w:val="center"/>
        <w:rPr>
          <w:rFonts w:ascii="Times New Roman" w:eastAsia="方正仿宋_GBK" w:hAnsi="Times New Roman" w:cs="Times New Roman"/>
          <w:sz w:val="32"/>
          <w:szCs w:val="32"/>
        </w:rPr>
      </w:pPr>
      <w:bookmarkStart w:id="3" w:name="remove_shape1"/>
      <w:r>
        <w:rPr>
          <w:rFonts w:ascii="方正仿宋_GBK" w:eastAsia="方正仿宋_GBK"/>
          <w:color w:val="FF0000"/>
          <w:sz w:val="32"/>
          <w:szCs w:val="32"/>
        </w:rPr>
        <w:pict w14:anchorId="4AAAE1D6">
          <v:group id="_x0000_s2050" style="position:absolute;left:0;text-align:left;margin-left:0;margin-top:31.05pt;width:441pt;height:140.6pt;z-index:251659264" coordorigin="1588,4377" coordsize="8820,2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816;top:4377;width:8277;height:1078" fillcolor="red" strokecolor="red">
              <v:textpath style="font-family:&quot;方正小标宋_GBK&quot;;font-size:40pt" trim="t" fitpath="t" string="重庆市渝中区人民政府办公室文件"/>
            </v:shape>
            <v:line id="直线 10" o:spid="_x0000_s2052" style="position:absolute" from="1588,7189" to="10408,7190" strokecolor="red" strokeweight="2pt"/>
          </v:group>
        </w:pict>
      </w:r>
      <w:bookmarkEnd w:id="3"/>
    </w:p>
    <w:p w14:paraId="347ACA19" w14:textId="77777777" w:rsidR="002D0D6D" w:rsidRDefault="00000000">
      <w:pPr>
        <w:tabs>
          <w:tab w:val="left" w:pos="7148"/>
        </w:tabs>
        <w:spacing w:line="6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b/>
      </w:r>
    </w:p>
    <w:p w14:paraId="65A7F141" w14:textId="77777777" w:rsidR="002D0D6D" w:rsidRDefault="002D0D6D">
      <w:pPr>
        <w:spacing w:line="660" w:lineRule="exact"/>
        <w:jc w:val="center"/>
        <w:rPr>
          <w:rFonts w:ascii="Times New Roman" w:eastAsia="方正仿宋_GBK" w:hAnsi="Times New Roman" w:cs="Times New Roman"/>
          <w:sz w:val="32"/>
          <w:szCs w:val="32"/>
        </w:rPr>
      </w:pPr>
    </w:p>
    <w:p w14:paraId="76DF3216" w14:textId="77777777" w:rsidR="002D0D6D" w:rsidRDefault="002D0D6D">
      <w:pPr>
        <w:spacing w:line="660" w:lineRule="exact"/>
        <w:jc w:val="center"/>
        <w:rPr>
          <w:rFonts w:ascii="Times New Roman" w:eastAsia="方正仿宋_GBK" w:hAnsi="Times New Roman" w:cs="Times New Roman"/>
          <w:sz w:val="32"/>
          <w:szCs w:val="32"/>
        </w:rPr>
      </w:pPr>
    </w:p>
    <w:p w14:paraId="6B917046" w14:textId="77777777" w:rsidR="002D0D6D" w:rsidRDefault="00000000">
      <w:pPr>
        <w:spacing w:line="660" w:lineRule="exact"/>
        <w:jc w:val="center"/>
        <w:rPr>
          <w:rFonts w:ascii="Times New Roman" w:eastAsia="方正仿宋_GBK" w:hAnsi="Times New Roman" w:cs="Times New Roman"/>
          <w:sz w:val="32"/>
          <w:szCs w:val="32"/>
        </w:rPr>
      </w:pPr>
      <w:bookmarkStart w:id="4" w:name="fwz"/>
      <w:bookmarkStart w:id="5" w:name="bh"/>
      <w:bookmarkStart w:id="6" w:name="nd"/>
      <w:bookmarkEnd w:id="4"/>
      <w:bookmarkEnd w:id="5"/>
      <w:bookmarkEnd w:id="6"/>
      <w:r>
        <w:rPr>
          <w:rFonts w:ascii="Times New Roman" w:eastAsia="方正仿宋_GBK" w:hAnsi="Times New Roman" w:cs="Times New Roman"/>
          <w:bCs/>
          <w:color w:val="000000"/>
          <w:sz w:val="32"/>
          <w:szCs w:val="32"/>
        </w:rPr>
        <w:t>渝中府办〔</w:t>
      </w:r>
      <w:r>
        <w:rPr>
          <w:rFonts w:ascii="Times New Roman" w:eastAsia="方正仿宋_GBK" w:hAnsi="Times New Roman" w:cs="Times New Roman"/>
          <w:bCs/>
          <w:color w:val="000000"/>
          <w:sz w:val="32"/>
          <w:szCs w:val="32"/>
        </w:rPr>
        <w:t>202</w:t>
      </w:r>
      <w:r>
        <w:rPr>
          <w:rFonts w:ascii="Times New Roman" w:hAnsi="Times New Roman" w:cs="Times New Roman"/>
          <w:bCs/>
          <w:color w:val="000000"/>
          <w:sz w:val="32"/>
          <w:szCs w:val="32"/>
        </w:rPr>
        <w:t>2</w:t>
      </w:r>
      <w:r>
        <w:rPr>
          <w:rFonts w:ascii="Times New Roman" w:eastAsia="方正仿宋_GBK" w:hAnsi="Times New Roman" w:cs="Times New Roman"/>
          <w:bCs/>
          <w:color w:val="000000"/>
          <w:sz w:val="32"/>
          <w:szCs w:val="32"/>
        </w:rPr>
        <w:t>〕</w:t>
      </w:r>
      <w:r>
        <w:rPr>
          <w:rFonts w:ascii="Times New Roman" w:hAnsi="Times New Roman" w:cs="Times New Roman" w:hint="eastAsia"/>
          <w:bCs/>
          <w:color w:val="000000"/>
          <w:sz w:val="32"/>
          <w:szCs w:val="32"/>
        </w:rPr>
        <w:t>5</w:t>
      </w:r>
      <w:r>
        <w:rPr>
          <w:rFonts w:ascii="Times New Roman" w:eastAsia="方正仿宋_GBK" w:hAnsi="Times New Roman" w:cs="Times New Roman"/>
          <w:bCs/>
          <w:color w:val="000000"/>
          <w:sz w:val="32"/>
          <w:szCs w:val="32"/>
        </w:rPr>
        <w:t>号</w:t>
      </w:r>
    </w:p>
    <w:p w14:paraId="458D180D" w14:textId="77777777" w:rsidR="002D0D6D" w:rsidRDefault="002D0D6D">
      <w:pPr>
        <w:spacing w:line="660" w:lineRule="exact"/>
        <w:jc w:val="center"/>
        <w:rPr>
          <w:rFonts w:ascii="Times New Roman" w:eastAsia="方正仿宋_GBK" w:hAnsi="Times New Roman" w:cs="Times New Roman"/>
          <w:sz w:val="32"/>
          <w:szCs w:val="32"/>
        </w:rPr>
      </w:pPr>
    </w:p>
    <w:p w14:paraId="50E096D8" w14:textId="77777777" w:rsidR="002D0D6D"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重庆市渝中区人民政府办公室</w:t>
      </w:r>
    </w:p>
    <w:p w14:paraId="5307BA6E" w14:textId="77777777" w:rsidR="002D0D6D"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关于印发《重庆市渝中区卫生健康事业发展</w:t>
      </w:r>
    </w:p>
    <w:p w14:paraId="6A87DF42" w14:textId="77777777" w:rsidR="002D0D6D"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规划》的通知</w:t>
      </w:r>
    </w:p>
    <w:p w14:paraId="798CC3E2" w14:textId="77777777" w:rsidR="002D0D6D" w:rsidRDefault="002D0D6D">
      <w:pPr>
        <w:spacing w:line="620" w:lineRule="exact"/>
        <w:rPr>
          <w:rFonts w:ascii="Times New Roman" w:eastAsia="方正楷体_GBK" w:hAnsi="Times New Roman" w:cs="Times New Roman"/>
          <w:sz w:val="32"/>
          <w:szCs w:val="32"/>
        </w:rPr>
      </w:pPr>
    </w:p>
    <w:p w14:paraId="2843BE4C" w14:textId="77777777" w:rsidR="002D0D6D" w:rsidRDefault="00000000">
      <w:pPr>
        <w:pStyle w:val="13"/>
        <w:spacing w:line="620" w:lineRule="exact"/>
        <w:jc w:val="left"/>
        <w:rPr>
          <w:rFonts w:eastAsia="方正仿宋_GBK"/>
          <w:color w:val="000000"/>
          <w:sz w:val="32"/>
          <w:szCs w:val="32"/>
          <w:shd w:val="clear" w:color="auto" w:fill="FFFFFF"/>
        </w:rPr>
      </w:pPr>
      <w:r>
        <w:rPr>
          <w:rFonts w:eastAsia="方正仿宋_GBK"/>
          <w:color w:val="000000"/>
          <w:sz w:val="32"/>
          <w:szCs w:val="32"/>
          <w:shd w:val="clear" w:color="auto" w:fill="FFFFFF"/>
        </w:rPr>
        <w:t>区级国家机关各部门，各管委会、街道办事处，有关单位：</w:t>
      </w:r>
    </w:p>
    <w:p w14:paraId="49E83390" w14:textId="77777777" w:rsidR="002D0D6D" w:rsidRDefault="00000000">
      <w:pPr>
        <w:pStyle w:val="13"/>
        <w:spacing w:line="620" w:lineRule="exact"/>
        <w:ind w:firstLineChars="200" w:firstLine="640"/>
        <w:jc w:val="left"/>
        <w:rPr>
          <w:rFonts w:eastAsia="方正仿宋_GBK"/>
          <w:color w:val="000000"/>
          <w:sz w:val="32"/>
          <w:szCs w:val="32"/>
          <w:shd w:val="clear" w:color="auto" w:fill="FFFFFF"/>
        </w:rPr>
      </w:pPr>
      <w:r>
        <w:rPr>
          <w:rFonts w:eastAsia="方正仿宋_GBK"/>
          <w:color w:val="000000"/>
          <w:sz w:val="32"/>
          <w:szCs w:val="32"/>
          <w:shd w:val="clear" w:color="auto" w:fill="FFFFFF"/>
        </w:rPr>
        <w:t>现将《重庆市渝中区卫生健康事业发展</w:t>
      </w:r>
      <w:r>
        <w:rPr>
          <w:rFonts w:eastAsia="方正仿宋_GBK"/>
          <w:color w:val="000000"/>
          <w:sz w:val="32"/>
          <w:szCs w:val="32"/>
          <w:shd w:val="clear" w:color="auto" w:fill="FFFFFF"/>
        </w:rPr>
        <w:t>“</w:t>
      </w:r>
      <w:r>
        <w:rPr>
          <w:rFonts w:eastAsia="方正仿宋_GBK"/>
          <w:color w:val="000000"/>
          <w:sz w:val="32"/>
          <w:szCs w:val="32"/>
          <w:shd w:val="clear" w:color="auto" w:fill="FFFFFF"/>
        </w:rPr>
        <w:t>十四五</w:t>
      </w:r>
      <w:r>
        <w:rPr>
          <w:rFonts w:eastAsia="方正仿宋_GBK"/>
          <w:color w:val="000000"/>
          <w:sz w:val="32"/>
          <w:szCs w:val="32"/>
          <w:shd w:val="clear" w:color="auto" w:fill="FFFFFF"/>
        </w:rPr>
        <w:t>”</w:t>
      </w:r>
      <w:r>
        <w:rPr>
          <w:rFonts w:eastAsia="方正仿宋_GBK"/>
          <w:color w:val="000000"/>
          <w:sz w:val="32"/>
          <w:szCs w:val="32"/>
          <w:shd w:val="clear" w:color="auto" w:fill="FFFFFF"/>
        </w:rPr>
        <w:t>规划》印发给你们，请认真抓好贯彻落实。</w:t>
      </w:r>
    </w:p>
    <w:p w14:paraId="6C0EFFDD" w14:textId="77777777" w:rsidR="002D0D6D" w:rsidRDefault="002D0D6D">
      <w:pPr>
        <w:pStyle w:val="13"/>
        <w:spacing w:line="620" w:lineRule="exact"/>
        <w:jc w:val="left"/>
        <w:rPr>
          <w:rFonts w:eastAsia="方正仿宋_GBK"/>
          <w:color w:val="000000"/>
          <w:sz w:val="32"/>
          <w:szCs w:val="32"/>
          <w:shd w:val="clear" w:color="auto" w:fill="FFFFFF"/>
        </w:rPr>
      </w:pPr>
    </w:p>
    <w:p w14:paraId="167AB859" w14:textId="77777777" w:rsidR="002D0D6D" w:rsidRDefault="002D0D6D">
      <w:pPr>
        <w:pStyle w:val="13"/>
        <w:spacing w:line="620" w:lineRule="exact"/>
        <w:jc w:val="left"/>
        <w:rPr>
          <w:rFonts w:eastAsia="方正仿宋_GBK"/>
          <w:color w:val="000000"/>
          <w:sz w:val="32"/>
          <w:szCs w:val="32"/>
          <w:shd w:val="clear" w:color="auto" w:fill="FFFFFF"/>
        </w:rPr>
      </w:pPr>
    </w:p>
    <w:p w14:paraId="7CFEF9EE" w14:textId="77777777" w:rsidR="002D0D6D" w:rsidRDefault="00000000">
      <w:pPr>
        <w:pStyle w:val="13"/>
        <w:spacing w:line="620" w:lineRule="exact"/>
        <w:ind w:firstLineChars="1380" w:firstLine="4416"/>
        <w:jc w:val="left"/>
        <w:rPr>
          <w:rFonts w:eastAsia="方正仿宋_GBK"/>
          <w:color w:val="000000"/>
          <w:sz w:val="32"/>
          <w:szCs w:val="32"/>
          <w:shd w:val="clear" w:color="auto" w:fill="FFFFFF"/>
        </w:rPr>
      </w:pPr>
      <w:r>
        <w:rPr>
          <w:rFonts w:eastAsia="方正仿宋_GBK"/>
          <w:color w:val="000000"/>
          <w:sz w:val="32"/>
          <w:szCs w:val="32"/>
          <w:shd w:val="clear" w:color="auto" w:fill="FFFFFF"/>
        </w:rPr>
        <w:t>重庆市渝中区人民政府办公室</w:t>
      </w:r>
    </w:p>
    <w:p w14:paraId="5CC72A3A" w14:textId="77777777" w:rsidR="002D0D6D" w:rsidRDefault="00000000">
      <w:pPr>
        <w:pStyle w:val="13"/>
        <w:spacing w:line="620" w:lineRule="exact"/>
        <w:ind w:firstLineChars="1660" w:firstLine="5312"/>
        <w:jc w:val="left"/>
        <w:rPr>
          <w:rFonts w:eastAsia="方正仿宋_GBK"/>
          <w:color w:val="000000"/>
          <w:sz w:val="32"/>
          <w:szCs w:val="32"/>
          <w:shd w:val="clear" w:color="auto" w:fill="FFFFFF"/>
        </w:rPr>
      </w:pPr>
      <w:r>
        <w:rPr>
          <w:rFonts w:eastAsia="方正仿宋_GBK"/>
          <w:color w:val="000000"/>
          <w:sz w:val="32"/>
          <w:szCs w:val="32"/>
          <w:shd w:val="clear" w:color="auto" w:fill="FFFFFF"/>
        </w:rPr>
        <w:t>2022</w:t>
      </w:r>
      <w:r>
        <w:rPr>
          <w:rFonts w:eastAsia="方正仿宋_GBK"/>
          <w:color w:val="000000"/>
          <w:sz w:val="32"/>
          <w:szCs w:val="32"/>
          <w:shd w:val="clear" w:color="auto" w:fill="FFFFFF"/>
        </w:rPr>
        <w:t>年</w:t>
      </w:r>
      <w:r>
        <w:rPr>
          <w:rFonts w:eastAsia="方正仿宋_GBK"/>
          <w:color w:val="000000"/>
          <w:sz w:val="32"/>
          <w:szCs w:val="32"/>
          <w:shd w:val="clear" w:color="auto" w:fill="FFFFFF"/>
        </w:rPr>
        <w:t>3</w:t>
      </w:r>
      <w:r>
        <w:rPr>
          <w:rFonts w:eastAsia="方正仿宋_GBK"/>
          <w:color w:val="000000"/>
          <w:sz w:val="32"/>
          <w:szCs w:val="32"/>
          <w:shd w:val="clear" w:color="auto" w:fill="FFFFFF"/>
        </w:rPr>
        <w:t>月</w:t>
      </w:r>
      <w:r>
        <w:rPr>
          <w:rFonts w:eastAsia="方正仿宋_GBK"/>
          <w:color w:val="000000"/>
          <w:sz w:val="32"/>
          <w:szCs w:val="32"/>
          <w:shd w:val="clear" w:color="auto" w:fill="FFFFFF"/>
        </w:rPr>
        <w:t>30</w:t>
      </w:r>
      <w:r>
        <w:rPr>
          <w:rFonts w:eastAsia="方正仿宋_GBK"/>
          <w:color w:val="000000"/>
          <w:sz w:val="32"/>
          <w:szCs w:val="32"/>
          <w:shd w:val="clear" w:color="auto" w:fill="FFFFFF"/>
        </w:rPr>
        <w:t>日</w:t>
      </w:r>
    </w:p>
    <w:p w14:paraId="5FABDC31" w14:textId="77777777" w:rsidR="002D0D6D" w:rsidRDefault="00000000">
      <w:pPr>
        <w:snapToGrid w:val="0"/>
        <w:spacing w:line="620" w:lineRule="exact"/>
        <w:ind w:firstLineChars="200" w:firstLine="640"/>
        <w:rPr>
          <w:rFonts w:ascii="Times New Roman" w:eastAsia="方正仿宋_GBK" w:hAnsi="Times New Roman" w:cs="Times New Roman"/>
          <w:snapToGrid w:val="0"/>
          <w:sz w:val="32"/>
          <w:szCs w:val="24"/>
        </w:rPr>
      </w:pPr>
      <w:r>
        <w:rPr>
          <w:rFonts w:ascii="Times New Roman" w:eastAsia="方正仿宋_GBK" w:hAnsi="Times New Roman" w:cs="Times New Roman"/>
          <w:snapToGrid w:val="0"/>
          <w:sz w:val="32"/>
          <w:szCs w:val="24"/>
        </w:rPr>
        <w:t>（此件公开发布）</w:t>
      </w:r>
    </w:p>
    <w:p w14:paraId="5F2B3DEF" w14:textId="77777777" w:rsidR="002D0D6D" w:rsidRDefault="00000000">
      <w:pPr>
        <w:rPr>
          <w:rFonts w:ascii="Times New Roman" w:eastAsia="方正小标宋_GBK" w:hAnsi="Times New Roman" w:cs="Times New Roman"/>
          <w:spacing w:val="-6"/>
          <w:sz w:val="44"/>
          <w:szCs w:val="44"/>
        </w:rPr>
      </w:pPr>
      <w:r>
        <w:rPr>
          <w:rFonts w:ascii="Times New Roman" w:eastAsia="方正小标宋_GBK" w:hAnsi="Times New Roman" w:cs="Times New Roman"/>
          <w:spacing w:val="-6"/>
          <w:sz w:val="44"/>
          <w:szCs w:val="44"/>
        </w:rPr>
        <w:br w:type="page"/>
      </w:r>
    </w:p>
    <w:p w14:paraId="18F3D683" w14:textId="77777777" w:rsidR="002D0D6D" w:rsidRDefault="002D0D6D">
      <w:pPr>
        <w:spacing w:line="660" w:lineRule="exact"/>
        <w:jc w:val="center"/>
        <w:rPr>
          <w:rFonts w:ascii="Times New Roman" w:eastAsia="方正小标宋_GBK" w:hAnsi="Times New Roman" w:cs="Times New Roman"/>
          <w:spacing w:val="-6"/>
          <w:sz w:val="44"/>
          <w:szCs w:val="44"/>
        </w:rPr>
      </w:pPr>
    </w:p>
    <w:p w14:paraId="5D792D84" w14:textId="77777777" w:rsidR="002D0D6D" w:rsidRDefault="002D0D6D">
      <w:pPr>
        <w:spacing w:line="660" w:lineRule="exact"/>
        <w:jc w:val="center"/>
        <w:rPr>
          <w:rFonts w:ascii="Times New Roman" w:eastAsia="方正小标宋_GBK" w:hAnsi="Times New Roman" w:cs="Times New Roman"/>
          <w:spacing w:val="-6"/>
          <w:sz w:val="44"/>
          <w:szCs w:val="44"/>
        </w:rPr>
      </w:pPr>
    </w:p>
    <w:p w14:paraId="0CD3F733" w14:textId="77777777" w:rsidR="002D0D6D"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重庆市渝中区卫生健康事业发展</w:t>
      </w:r>
    </w:p>
    <w:p w14:paraId="3ABF15A0" w14:textId="77777777" w:rsidR="002D0D6D" w:rsidRDefault="00000000">
      <w:pPr>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十四五</w:t>
      </w:r>
      <w:r>
        <w:rPr>
          <w:rFonts w:ascii="Times New Roman" w:eastAsia="方正小标宋_GBK" w:hAnsi="Times New Roman" w:cs="Times New Roman"/>
          <w:sz w:val="44"/>
          <w:szCs w:val="44"/>
        </w:rPr>
        <w:t>”</w:t>
      </w:r>
      <w:r>
        <w:rPr>
          <w:rFonts w:ascii="Times New Roman" w:eastAsia="方正小标宋_GBK" w:hAnsi="Times New Roman" w:cs="Times New Roman"/>
          <w:sz w:val="44"/>
          <w:szCs w:val="44"/>
        </w:rPr>
        <w:t>规划</w:t>
      </w:r>
    </w:p>
    <w:p w14:paraId="4FAD7A82" w14:textId="77777777" w:rsidR="002D0D6D" w:rsidRDefault="002D0D6D">
      <w:pPr>
        <w:spacing w:line="720" w:lineRule="exact"/>
        <w:jc w:val="center"/>
        <w:rPr>
          <w:rFonts w:ascii="Times New Roman" w:eastAsia="方正楷体_GBK" w:hAnsi="Times New Roman" w:cs="Times New Roman"/>
          <w:sz w:val="32"/>
          <w:szCs w:val="32"/>
        </w:rPr>
      </w:pPr>
    </w:p>
    <w:p w14:paraId="4D41AFD5" w14:textId="77777777" w:rsidR="002D0D6D" w:rsidRDefault="002D0D6D">
      <w:pPr>
        <w:spacing w:line="720" w:lineRule="exact"/>
        <w:jc w:val="center"/>
        <w:rPr>
          <w:rFonts w:ascii="Times New Roman" w:eastAsia="方正楷体_GBK" w:hAnsi="Times New Roman" w:cs="Times New Roman"/>
          <w:sz w:val="32"/>
          <w:szCs w:val="32"/>
        </w:rPr>
      </w:pPr>
    </w:p>
    <w:p w14:paraId="6C0359B7" w14:textId="77777777" w:rsidR="002D0D6D" w:rsidRDefault="002D0D6D">
      <w:pPr>
        <w:pStyle w:val="a4"/>
        <w:spacing w:after="0" w:line="720" w:lineRule="exact"/>
        <w:jc w:val="center"/>
        <w:rPr>
          <w:rFonts w:ascii="Times New Roman" w:hAnsi="Times New Roman"/>
        </w:rPr>
      </w:pPr>
    </w:p>
    <w:p w14:paraId="5795AB6E" w14:textId="77777777" w:rsidR="002D0D6D" w:rsidRDefault="002D0D6D">
      <w:pPr>
        <w:spacing w:line="720" w:lineRule="exact"/>
        <w:jc w:val="center"/>
        <w:rPr>
          <w:rFonts w:ascii="Times New Roman" w:eastAsia="黑体" w:hAnsi="Times New Roman" w:cs="Times New Roman"/>
          <w:sz w:val="32"/>
          <w:szCs w:val="32"/>
        </w:rPr>
      </w:pPr>
    </w:p>
    <w:p w14:paraId="23DE6ECF" w14:textId="77777777" w:rsidR="002D0D6D" w:rsidRDefault="002D0D6D">
      <w:pPr>
        <w:spacing w:line="720" w:lineRule="exact"/>
        <w:jc w:val="center"/>
        <w:rPr>
          <w:rFonts w:ascii="Times New Roman" w:eastAsia="黑体" w:hAnsi="Times New Roman" w:cs="Times New Roman"/>
          <w:sz w:val="32"/>
          <w:szCs w:val="32"/>
        </w:rPr>
      </w:pPr>
    </w:p>
    <w:p w14:paraId="274DB87E" w14:textId="77777777" w:rsidR="002D0D6D" w:rsidRDefault="002D0D6D">
      <w:pPr>
        <w:spacing w:line="720" w:lineRule="exact"/>
        <w:jc w:val="center"/>
        <w:rPr>
          <w:rFonts w:ascii="Times New Roman" w:eastAsia="黑体" w:hAnsi="Times New Roman" w:cs="Times New Roman"/>
          <w:sz w:val="32"/>
          <w:szCs w:val="32"/>
        </w:rPr>
      </w:pPr>
    </w:p>
    <w:p w14:paraId="6BAB8393" w14:textId="77777777" w:rsidR="002D0D6D" w:rsidRDefault="002D0D6D">
      <w:pPr>
        <w:spacing w:line="720" w:lineRule="exact"/>
        <w:jc w:val="center"/>
        <w:rPr>
          <w:rFonts w:ascii="Times New Roman" w:eastAsia="黑体" w:hAnsi="Times New Roman" w:cs="Times New Roman"/>
          <w:sz w:val="32"/>
          <w:szCs w:val="32"/>
        </w:rPr>
      </w:pPr>
    </w:p>
    <w:p w14:paraId="2DE39B62" w14:textId="77777777" w:rsidR="002D0D6D" w:rsidRDefault="002D0D6D">
      <w:pPr>
        <w:spacing w:line="720" w:lineRule="exact"/>
        <w:jc w:val="center"/>
        <w:rPr>
          <w:rFonts w:ascii="Times New Roman" w:eastAsia="黑体" w:hAnsi="Times New Roman" w:cs="Times New Roman"/>
          <w:sz w:val="32"/>
          <w:szCs w:val="32"/>
        </w:rPr>
      </w:pPr>
    </w:p>
    <w:p w14:paraId="0FCCD78B" w14:textId="77777777" w:rsidR="002D0D6D" w:rsidRDefault="002D0D6D">
      <w:pPr>
        <w:spacing w:line="720" w:lineRule="exact"/>
        <w:jc w:val="center"/>
        <w:rPr>
          <w:rFonts w:ascii="Times New Roman" w:eastAsia="黑体" w:hAnsi="Times New Roman" w:cs="Times New Roman"/>
          <w:sz w:val="32"/>
          <w:szCs w:val="32"/>
        </w:rPr>
      </w:pPr>
    </w:p>
    <w:p w14:paraId="4075BA46" w14:textId="77777777" w:rsidR="002D0D6D" w:rsidRDefault="002D0D6D">
      <w:pPr>
        <w:spacing w:line="720" w:lineRule="exact"/>
        <w:jc w:val="center"/>
        <w:rPr>
          <w:rFonts w:ascii="Times New Roman" w:eastAsia="黑体" w:hAnsi="Times New Roman" w:cs="Times New Roman"/>
          <w:sz w:val="32"/>
          <w:szCs w:val="32"/>
        </w:rPr>
      </w:pPr>
    </w:p>
    <w:p w14:paraId="7F77F3E8" w14:textId="77777777" w:rsidR="002D0D6D" w:rsidRDefault="002D0D6D">
      <w:pPr>
        <w:spacing w:line="720" w:lineRule="exact"/>
        <w:jc w:val="center"/>
        <w:rPr>
          <w:rFonts w:ascii="Times New Roman" w:eastAsia="黑体" w:hAnsi="Times New Roman" w:cs="Times New Roman"/>
          <w:sz w:val="32"/>
          <w:szCs w:val="32"/>
        </w:rPr>
      </w:pPr>
    </w:p>
    <w:p w14:paraId="37D4FB60" w14:textId="77777777" w:rsidR="002D0D6D" w:rsidRDefault="002D0D6D">
      <w:pPr>
        <w:spacing w:line="720" w:lineRule="exact"/>
        <w:jc w:val="center"/>
        <w:rPr>
          <w:rFonts w:ascii="Times New Roman" w:eastAsia="黑体" w:hAnsi="Times New Roman" w:cs="Times New Roman"/>
          <w:sz w:val="32"/>
          <w:szCs w:val="32"/>
        </w:rPr>
      </w:pPr>
    </w:p>
    <w:p w14:paraId="00BC6187" w14:textId="77777777" w:rsidR="002D0D6D" w:rsidRDefault="002D0D6D">
      <w:pPr>
        <w:spacing w:line="720" w:lineRule="exact"/>
        <w:jc w:val="center"/>
        <w:rPr>
          <w:rFonts w:ascii="Times New Roman" w:eastAsia="黑体" w:hAnsi="Times New Roman" w:cs="Times New Roman"/>
          <w:sz w:val="32"/>
          <w:szCs w:val="32"/>
        </w:rPr>
      </w:pPr>
    </w:p>
    <w:p w14:paraId="55F62EBD" w14:textId="77777777" w:rsidR="002D0D6D" w:rsidRDefault="00000000">
      <w:pPr>
        <w:spacing w:line="620" w:lineRule="exact"/>
        <w:jc w:val="center"/>
        <w:rPr>
          <w:rFonts w:ascii="Times New Roman" w:eastAsia="黑体" w:hAnsi="Times New Roman" w:cs="Times New Roman"/>
          <w:sz w:val="32"/>
          <w:szCs w:val="32"/>
        </w:rPr>
      </w:pPr>
      <w:r>
        <w:rPr>
          <w:rFonts w:ascii="Times New Roman" w:eastAsia="方正楷体_GBK" w:hAnsi="Times New Roman" w:cs="Times New Roman"/>
          <w:sz w:val="32"/>
          <w:szCs w:val="32"/>
        </w:rPr>
        <w:t>渝中区卫生健康委员会</w:t>
      </w:r>
    </w:p>
    <w:p w14:paraId="606BF96D" w14:textId="77777777" w:rsidR="002D0D6D" w:rsidRDefault="00000000">
      <w:pPr>
        <w:spacing w:line="620" w:lineRule="exact"/>
        <w:jc w:val="center"/>
        <w:rPr>
          <w:rFonts w:ascii="Times New Roman" w:eastAsia="方正小标宋_GBK" w:hAnsi="Times New Roman" w:cs="Times New Roman"/>
          <w:b/>
          <w:sz w:val="44"/>
          <w:szCs w:val="44"/>
        </w:rPr>
        <w:sectPr w:rsidR="002D0D6D">
          <w:headerReference w:type="default" r:id="rId9"/>
          <w:footerReference w:type="even" r:id="rId10"/>
          <w:footerReference w:type="default" r:id="rId11"/>
          <w:footerReference w:type="first" r:id="rId12"/>
          <w:pgSz w:w="11906" w:h="16838"/>
          <w:pgMar w:top="1417" w:right="1587" w:bottom="1417" w:left="1587" w:header="850" w:footer="992" w:gutter="0"/>
          <w:cols w:space="0"/>
          <w:titlePg/>
          <w:docGrid w:type="lines" w:linePitch="312"/>
        </w:sectPr>
      </w:pPr>
      <w:r>
        <w:rPr>
          <w:rFonts w:ascii="Times New Roman" w:eastAsia="方正楷体_GBK" w:hAnsi="Times New Roman" w:cs="Times New Roman"/>
          <w:sz w:val="32"/>
          <w:szCs w:val="32"/>
        </w:rPr>
        <w:t>2022</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月</w:t>
      </w:r>
      <w:r>
        <w:rPr>
          <w:rFonts w:ascii="Times New Roman" w:eastAsia="方正小标宋_GBK" w:hAnsi="Times New Roman" w:cs="Times New Roman"/>
          <w:b/>
          <w:sz w:val="44"/>
          <w:szCs w:val="44"/>
        </w:rPr>
        <w:br w:type="page"/>
      </w:r>
    </w:p>
    <w:p w14:paraId="294CBE10" w14:textId="77777777" w:rsidR="002D0D6D" w:rsidRDefault="00000000">
      <w:pPr>
        <w:spacing w:line="620" w:lineRule="exact"/>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lastRenderedPageBreak/>
        <w:t>目</w:t>
      </w:r>
      <w:r>
        <w:rPr>
          <w:rFonts w:ascii="Times New Roman" w:eastAsia="方正小标宋_GBK" w:hAnsi="Times New Roman" w:cs="Times New Roman"/>
          <w:bCs/>
          <w:sz w:val="44"/>
          <w:szCs w:val="44"/>
        </w:rPr>
        <w:t xml:space="preserve">    </w:t>
      </w:r>
      <w:r>
        <w:rPr>
          <w:rFonts w:ascii="Times New Roman" w:eastAsia="方正小标宋_GBK" w:hAnsi="Times New Roman" w:cs="Times New Roman"/>
          <w:bCs/>
          <w:sz w:val="44"/>
          <w:szCs w:val="44"/>
        </w:rPr>
        <w:t>录</w:t>
      </w:r>
    </w:p>
    <w:p w14:paraId="00244222" w14:textId="77777777" w:rsidR="002D0D6D" w:rsidRDefault="002D0D6D">
      <w:pPr>
        <w:spacing w:line="620" w:lineRule="exact"/>
        <w:rPr>
          <w:rFonts w:ascii="Times New Roman" w:eastAsia="黑体" w:hAnsi="Times New Roman" w:cs="Times New Roman"/>
          <w:sz w:val="32"/>
          <w:szCs w:val="32"/>
        </w:rPr>
      </w:pPr>
    </w:p>
    <w:p w14:paraId="0A09CF6C"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前</w:t>
      </w:r>
      <w:r>
        <w:rPr>
          <w:rFonts w:ascii="Times New Roman" w:eastAsia="方正黑体_GBK" w:hAnsi="Times New Roman" w:cs="Times New Roman"/>
          <w:sz w:val="32"/>
          <w:szCs w:val="32"/>
        </w:rPr>
        <w:t xml:space="preserve"> </w:t>
      </w:r>
      <w:r>
        <w:rPr>
          <w:rFonts w:ascii="Times New Roman" w:eastAsia="方正黑体_GBK" w:hAnsi="Times New Roman" w:cs="Times New Roman" w:hint="eastAsia"/>
          <w:sz w:val="32"/>
          <w:szCs w:val="32"/>
        </w:rPr>
        <w:t xml:space="preserve">   </w:t>
      </w:r>
      <w:r>
        <w:rPr>
          <w:rFonts w:ascii="Times New Roman" w:eastAsia="方正黑体_GBK" w:hAnsi="Times New Roman" w:cs="Times New Roman"/>
          <w:sz w:val="32"/>
          <w:szCs w:val="32"/>
        </w:rPr>
        <w:t>言</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4</w:t>
      </w:r>
    </w:p>
    <w:p w14:paraId="35671723"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第一部分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发展基础：站在一个新的起点</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4</w:t>
      </w:r>
    </w:p>
    <w:p w14:paraId="4EEF64B5"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第二部分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面临形势：在挑战中把握机遇</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11</w:t>
      </w:r>
    </w:p>
    <w:p w14:paraId="50F75DDA"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第三部分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总体思路：全方位全周期高品质保障人民健康</w:t>
      </w:r>
      <w:r>
        <w:rPr>
          <w:rFonts w:ascii="Times New Roman" w:eastAsia="方正黑体_GBK" w:hAnsi="Times New Roman" w:cs="Times New Roman"/>
          <w:sz w:val="32"/>
          <w:szCs w:val="32"/>
        </w:rPr>
        <w:t>……1</w:t>
      </w:r>
      <w:r>
        <w:rPr>
          <w:rFonts w:ascii="Times New Roman" w:eastAsia="方正黑体_GBK" w:hAnsi="Times New Roman" w:cs="Times New Roman" w:hint="eastAsia"/>
          <w:sz w:val="32"/>
          <w:szCs w:val="32"/>
        </w:rPr>
        <w:t>7</w:t>
      </w:r>
    </w:p>
    <w:p w14:paraId="3CD855D4"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一、指导思想</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17</w:t>
      </w:r>
    </w:p>
    <w:p w14:paraId="5261737E"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二、基本原则</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17</w:t>
      </w:r>
    </w:p>
    <w:p w14:paraId="7F987B91"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三、发展目标</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18</w:t>
      </w:r>
    </w:p>
    <w:p w14:paraId="17C95EDE"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渝中区卫生健康事业十四五发展规划指标表</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黑体_GBK" w:hAnsi="Times New Roman" w:cs="Times New Roman" w:hint="eastAsia"/>
          <w:sz w:val="32"/>
          <w:szCs w:val="32"/>
        </w:rPr>
        <w:t>21</w:t>
      </w:r>
    </w:p>
    <w:p w14:paraId="2349216C"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第四部分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主要任务：推进卫生健康事业高质量发展</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22</w:t>
      </w:r>
      <w:r>
        <w:rPr>
          <w:rFonts w:ascii="Times New Roman" w:eastAsia="方正黑体_GBK" w:hAnsi="Times New Roman" w:cs="Times New Roman"/>
          <w:sz w:val="32"/>
          <w:szCs w:val="32"/>
        </w:rPr>
        <w:t xml:space="preserve"> </w:t>
      </w:r>
    </w:p>
    <w:p w14:paraId="4793FD9B"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一、打造公共卫生安全放心区</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22</w:t>
      </w:r>
    </w:p>
    <w:p w14:paraId="13750731" w14:textId="77777777" w:rsidR="002D0D6D" w:rsidRDefault="00000000">
      <w:pPr>
        <w:spacing w:line="620" w:lineRule="exact"/>
        <w:ind w:firstLineChars="100" w:firstLine="320"/>
        <w:jc w:val="distribute"/>
        <w:rPr>
          <w:rFonts w:ascii="Times New Roman" w:eastAsia="方正黑体_GBK" w:hAnsi="Times New Roman" w:cs="Times New Roman"/>
          <w:sz w:val="32"/>
          <w:szCs w:val="32"/>
        </w:rPr>
      </w:pPr>
      <w:r>
        <w:rPr>
          <w:rFonts w:ascii="Times New Roman" w:eastAsia="方正仿宋_GBK" w:hAnsi="Times New Roman" w:cs="Times New Roman"/>
          <w:sz w:val="32"/>
          <w:szCs w:val="32"/>
        </w:rPr>
        <w:t>二、</w:t>
      </w:r>
      <w:r>
        <w:rPr>
          <w:rFonts w:ascii="Times New Roman" w:eastAsia="方正仿宋_GBK" w:hAnsi="Times New Roman" w:cs="Times New Roman"/>
          <w:spacing w:val="-11"/>
          <w:sz w:val="32"/>
          <w:szCs w:val="32"/>
        </w:rPr>
        <w:t>打造全市国家医学中心、国家区域医疗中心核心区</w:t>
      </w:r>
      <w:r>
        <w:rPr>
          <w:rFonts w:ascii="Times New Roman" w:eastAsia="方正黑体_GBK" w:hAnsi="Times New Roman" w:cs="Times New Roman"/>
          <w:sz w:val="32"/>
          <w:szCs w:val="32"/>
        </w:rPr>
        <w:t>…</w:t>
      </w:r>
      <w:r>
        <w:rPr>
          <w:rFonts w:ascii="Times New Roman" w:eastAsia="方正仿宋_GBK" w:hAnsi="Times New Roman" w:cs="Times New Roman" w:hint="eastAsia"/>
          <w:sz w:val="32"/>
          <w:szCs w:val="32"/>
        </w:rPr>
        <w:t>28</w:t>
      </w:r>
    </w:p>
    <w:p w14:paraId="0BA19B26"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三、打造生命周期全程综合健康服务示范区</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34</w:t>
      </w:r>
    </w:p>
    <w:p w14:paraId="51C9CB0F"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四、打造大健康产业特色发展集聚区</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41</w:t>
      </w:r>
    </w:p>
    <w:p w14:paraId="457FD883" w14:textId="77777777" w:rsidR="002D0D6D" w:rsidRDefault="00000000">
      <w:pPr>
        <w:spacing w:line="620"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五、打造卫生健康行业治理现代化先行区</w:t>
      </w:r>
      <w:r>
        <w:rPr>
          <w:rFonts w:ascii="Times New Roman" w:eastAsia="方正仿宋_GBK" w:hAnsi="Times New Roman" w:cs="Times New Roman"/>
          <w:sz w:val="32"/>
          <w:szCs w:val="32"/>
        </w:rPr>
        <w:t>…………</w:t>
      </w:r>
      <w:r>
        <w:rPr>
          <w:rFonts w:ascii="Times New Roman" w:eastAsia="方正黑体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46</w:t>
      </w:r>
    </w:p>
    <w:p w14:paraId="54A2002A"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第五部分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重点项目：搭好发展载体和工作抓手</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55</w:t>
      </w:r>
    </w:p>
    <w:p w14:paraId="65ED3EA5" w14:textId="77777777" w:rsidR="002D0D6D" w:rsidRDefault="00000000">
      <w:pPr>
        <w:spacing w:line="620" w:lineRule="exact"/>
        <w:jc w:val="distribute"/>
        <w:rPr>
          <w:rFonts w:ascii="Times New Roman" w:eastAsia="方正黑体_GBK" w:hAnsi="Times New Roman" w:cs="Times New Roman"/>
          <w:sz w:val="32"/>
          <w:szCs w:val="32"/>
        </w:rPr>
      </w:pPr>
      <w:r>
        <w:rPr>
          <w:rFonts w:ascii="Times New Roman" w:eastAsia="方正黑体_GBK" w:hAnsi="Times New Roman" w:cs="Times New Roman"/>
          <w:sz w:val="32"/>
          <w:szCs w:val="32"/>
        </w:rPr>
        <w:t>第六部分</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组织实施：保障发展规划落地见效</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60</w:t>
      </w:r>
    </w:p>
    <w:p w14:paraId="598935A7" w14:textId="77777777" w:rsidR="002D0D6D" w:rsidRDefault="00000000">
      <w:pPr>
        <w:pStyle w:val="af"/>
        <w:spacing w:before="0" w:after="0" w:line="620" w:lineRule="exact"/>
        <w:ind w:firstLine="312"/>
        <w:jc w:val="distribute"/>
        <w:rPr>
          <w:rFonts w:ascii="Times New Roman" w:eastAsia="方正黑体_GBK" w:hAnsi="Times New Roman" w:cs="Times New Roman"/>
          <w:b w:val="0"/>
          <w:bCs w:val="0"/>
          <w:sz w:val="32"/>
          <w:szCs w:val="32"/>
        </w:rPr>
      </w:pPr>
      <w:r>
        <w:rPr>
          <w:rFonts w:ascii="Times New Roman" w:eastAsia="仿宋_GB2312" w:hAnsi="Times New Roman" w:cs="Times New Roman"/>
          <w:b w:val="0"/>
          <w:bCs w:val="0"/>
          <w:sz w:val="32"/>
          <w:szCs w:val="32"/>
        </w:rPr>
        <w:t>附件：</w:t>
      </w:r>
      <w:r>
        <w:rPr>
          <w:rFonts w:ascii="Times New Roman" w:eastAsia="方正仿宋_GBK" w:hAnsi="Times New Roman" w:cs="Times New Roman"/>
          <w:b w:val="0"/>
          <w:bCs w:val="0"/>
          <w:spacing w:val="-40"/>
          <w:sz w:val="32"/>
          <w:szCs w:val="32"/>
        </w:rPr>
        <w:t>渝中区卫生健康事业十四五期间重点工作及项目清单</w:t>
      </w:r>
      <w:r>
        <w:rPr>
          <w:rFonts w:ascii="Times New Roman" w:eastAsia="方正黑体_GBK" w:hAnsi="Times New Roman" w:cs="Times New Roman"/>
          <w:b w:val="0"/>
          <w:bCs w:val="0"/>
          <w:spacing w:val="28"/>
          <w:sz w:val="32"/>
          <w:szCs w:val="32"/>
        </w:rPr>
        <w:t>…</w:t>
      </w:r>
      <w:r>
        <w:rPr>
          <w:rFonts w:ascii="Times New Roman" w:eastAsia="方正黑体_GBK" w:hAnsi="Times New Roman" w:cs="Times New Roman" w:hint="eastAsia"/>
          <w:b w:val="0"/>
          <w:bCs w:val="0"/>
          <w:sz w:val="32"/>
          <w:szCs w:val="32"/>
        </w:rPr>
        <w:t>61</w:t>
      </w:r>
    </w:p>
    <w:p w14:paraId="7FDC2F37" w14:textId="77777777" w:rsidR="002D0D6D" w:rsidRDefault="002D0D6D">
      <w:pPr>
        <w:spacing w:line="620" w:lineRule="exact"/>
      </w:pPr>
    </w:p>
    <w:p w14:paraId="3D0C523B" w14:textId="77777777" w:rsidR="002D0D6D" w:rsidRDefault="002D0D6D">
      <w:pPr>
        <w:pStyle w:val="a4"/>
        <w:spacing w:after="0" w:line="620" w:lineRule="exact"/>
        <w:sectPr w:rsidR="002D0D6D">
          <w:pgSz w:w="11906" w:h="16838"/>
          <w:pgMar w:top="1417" w:right="1587" w:bottom="1417" w:left="1587" w:header="850" w:footer="992" w:gutter="0"/>
          <w:cols w:space="0"/>
          <w:titlePg/>
          <w:docGrid w:type="lines" w:linePitch="312"/>
        </w:sectPr>
      </w:pPr>
    </w:p>
    <w:p w14:paraId="1CBB8803" w14:textId="77777777" w:rsidR="002D0D6D" w:rsidRDefault="00000000">
      <w:pPr>
        <w:overflowPunct w:val="0"/>
        <w:spacing w:line="6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前</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言</w:t>
      </w:r>
    </w:p>
    <w:p w14:paraId="615DA81D" w14:textId="77777777" w:rsidR="002D0D6D" w:rsidRDefault="002D0D6D">
      <w:pPr>
        <w:overflowPunct w:val="0"/>
        <w:spacing w:line="620" w:lineRule="exact"/>
        <w:ind w:firstLine="646"/>
        <w:rPr>
          <w:rFonts w:ascii="Times New Roman" w:eastAsia="方正仿宋_GBK" w:hAnsi="Times New Roman" w:cs="Times New Roman"/>
          <w:sz w:val="32"/>
          <w:szCs w:val="32"/>
        </w:rPr>
      </w:pPr>
    </w:p>
    <w:p w14:paraId="6107563F" w14:textId="77777777" w:rsidR="002D0D6D" w:rsidRDefault="00000000">
      <w:pPr>
        <w:overflowPunct w:val="0"/>
        <w:spacing w:line="620" w:lineRule="exact"/>
        <w:ind w:firstLine="646"/>
        <w:rPr>
          <w:rFonts w:ascii="Times New Roman" w:eastAsia="黑体" w:hAnsi="Times New Roman" w:cs="Times New Roman"/>
          <w:b/>
          <w:sz w:val="32"/>
          <w:szCs w:val="32"/>
        </w:rPr>
      </w:pPr>
      <w:r>
        <w:rPr>
          <w:rFonts w:ascii="Times New Roman" w:eastAsia="方正仿宋_GBK" w:hAnsi="Times New Roman" w:cs="Times New Roman"/>
          <w:sz w:val="32"/>
          <w:szCs w:val="32"/>
        </w:rPr>
        <w:t>人民健康是社会文明进步的基础。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时期，将开启全面建设社会主义现代化强国新征程。在实现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两个一百年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奋斗目标的历史进程中，发展卫生健康事业始终处于基础性地位，同国家整体战略紧密衔接，发挥着重要支撑作用。在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中发展大格局中，卫生健康事业必须为全区高质量发展、高品质生活提供坚实的医疗卫生保障和健康素质支撑，必须在现有基础上奋进新时代、展现新作为、实现新发展。根据《基本医疗卫生与健康促进法》《健康中国</w:t>
      </w:r>
      <w:r>
        <w:rPr>
          <w:rFonts w:ascii="Times New Roman" w:eastAsia="方正仿宋_GBK" w:hAnsi="Times New Roman" w:cs="Times New Roman"/>
          <w:sz w:val="32"/>
          <w:szCs w:val="32"/>
        </w:rPr>
        <w:t>2030</w:t>
      </w:r>
      <w:r>
        <w:rPr>
          <w:rFonts w:ascii="Times New Roman" w:eastAsia="方正仿宋_GBK" w:hAnsi="Times New Roman" w:cs="Times New Roman"/>
          <w:sz w:val="32"/>
          <w:szCs w:val="32"/>
        </w:rPr>
        <w:t>规划》《重庆市卫生健康发展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规划》《重庆市渝中区国民经济和社会发展第十四个五年规划和二〇三五年远景目标纲要</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》等，通过梳理相关政策，总结工作实践，开展基层调研，咨询专家意见，学习借鉴外地等方法，着力把基本情况掌握准，把面临形势分析透，着眼长远、遵循规律、结合实际，提出了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时期卫生健康事业发展的总体思路、主要任务、重点工程、保障措施等，形成本规划，是未来五年全区卫生健康事业发展的宏伟蓝图，是做好卫生健康工作的行动指引。</w:t>
      </w:r>
    </w:p>
    <w:p w14:paraId="7184966F" w14:textId="77777777" w:rsidR="002D0D6D" w:rsidRDefault="00000000">
      <w:pPr>
        <w:overflowPunct w:val="0"/>
        <w:spacing w:line="620" w:lineRule="exact"/>
        <w:jc w:val="left"/>
        <w:rPr>
          <w:rFonts w:ascii="Times New Roman" w:eastAsia="黑体" w:hAnsi="Times New Roman" w:cs="Times New Roman"/>
          <w:b/>
          <w:sz w:val="32"/>
          <w:szCs w:val="32"/>
        </w:rPr>
      </w:pPr>
      <w:r>
        <w:rPr>
          <w:rFonts w:ascii="Times New Roman" w:eastAsia="黑体" w:hAnsi="Times New Roman" w:cs="Times New Roman"/>
          <w:b/>
          <w:sz w:val="32"/>
          <w:szCs w:val="32"/>
        </w:rPr>
        <w:br w:type="page"/>
      </w:r>
    </w:p>
    <w:p w14:paraId="068C2194"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第一部分</w:t>
      </w:r>
    </w:p>
    <w:p w14:paraId="48F0EAFB"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发展基础：站在一个新的起点</w:t>
      </w:r>
    </w:p>
    <w:p w14:paraId="5D736C35" w14:textId="77777777" w:rsidR="002D0D6D" w:rsidRDefault="002D0D6D">
      <w:pPr>
        <w:overflowPunct w:val="0"/>
        <w:adjustRightInd w:val="0"/>
        <w:snapToGrid w:val="0"/>
        <w:spacing w:line="620" w:lineRule="exact"/>
        <w:rPr>
          <w:rFonts w:ascii="Times New Roman" w:eastAsia="方正仿宋_GBK" w:hAnsi="Times New Roman" w:cs="Times New Roman"/>
          <w:sz w:val="32"/>
          <w:szCs w:val="32"/>
        </w:rPr>
      </w:pPr>
    </w:p>
    <w:p w14:paraId="300B22F8" w14:textId="77777777" w:rsidR="002D0D6D" w:rsidRDefault="00000000">
      <w:pPr>
        <w:overflowPunct w:val="0"/>
        <w:spacing w:line="620" w:lineRule="exact"/>
        <w:ind w:firstLine="646"/>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十三五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来，渝中区认真贯彻党的十八大、十九大精神，全面落实习近平总书记在全国卫生与健康大会、视察重庆等重要讲话精神，紧紧围绕人人享有基本医疗卫生服务的目标，大力实施健康中国渝中行动，推动卫生健康事业高质量发展，为全区经济社会发展提供了坚实的医疗卫生保障和人口健康素质支撑，全区卫生健康事业发展站上一个新的起点。</w:t>
      </w:r>
    </w:p>
    <w:p w14:paraId="36494548" w14:textId="77777777" w:rsidR="002D0D6D" w:rsidRDefault="00000000">
      <w:pPr>
        <w:overflowPunct w:val="0"/>
        <w:spacing w:line="620" w:lineRule="exact"/>
        <w:ind w:firstLine="646"/>
        <w:rPr>
          <w:rFonts w:ascii="Times New Roman" w:eastAsia="方正仿宋_GBK" w:hAnsi="Times New Roman" w:cs="Times New Roman"/>
          <w:sz w:val="32"/>
          <w:szCs w:val="32"/>
        </w:rPr>
      </w:pPr>
      <w:bookmarkStart w:id="7" w:name="_Toc438645674"/>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居民健康水平稳步提升，紧跟国内发达城市中心城区水平。</w:t>
      </w:r>
      <w:bookmarkEnd w:id="7"/>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年，全区居民健康素养水平由</w:t>
      </w:r>
      <w:r>
        <w:rPr>
          <w:rFonts w:ascii="Times New Roman" w:eastAsia="方正仿宋_GBK" w:hAnsi="Times New Roman" w:cs="Times New Roman"/>
          <w:sz w:val="32"/>
          <w:szCs w:val="32"/>
        </w:rPr>
        <w:t>15.83%</w:t>
      </w:r>
      <w:r>
        <w:rPr>
          <w:rFonts w:ascii="Times New Roman" w:eastAsia="方正仿宋_GBK" w:hAnsi="Times New Roman" w:cs="Times New Roman"/>
          <w:sz w:val="32"/>
          <w:szCs w:val="32"/>
        </w:rPr>
        <w:t>提高到</w:t>
      </w:r>
      <w:r>
        <w:rPr>
          <w:rFonts w:ascii="Times New Roman" w:eastAsia="方正仿宋_GBK" w:hAnsi="Times New Roman" w:cs="Times New Roman"/>
          <w:sz w:val="32"/>
          <w:szCs w:val="32"/>
        </w:rPr>
        <w:t>27.5%</w:t>
      </w:r>
      <w:r>
        <w:rPr>
          <w:rFonts w:ascii="Times New Roman" w:eastAsia="方正仿宋_GBK" w:hAnsi="Times New Roman" w:cs="Times New Roman"/>
          <w:sz w:val="32"/>
          <w:szCs w:val="32"/>
        </w:rPr>
        <w:t>，人均期望寿命由</w:t>
      </w:r>
      <w:r>
        <w:rPr>
          <w:rFonts w:ascii="Times New Roman" w:eastAsia="方正仿宋_GBK" w:hAnsi="Times New Roman" w:cs="Times New Roman"/>
          <w:sz w:val="32"/>
          <w:szCs w:val="32"/>
        </w:rPr>
        <w:t>80.41</w:t>
      </w:r>
      <w:r>
        <w:rPr>
          <w:rFonts w:ascii="Times New Roman" w:eastAsia="方正仿宋_GBK" w:hAnsi="Times New Roman" w:cs="Times New Roman"/>
          <w:sz w:val="32"/>
          <w:szCs w:val="32"/>
        </w:rPr>
        <w:t>岁提升到</w:t>
      </w:r>
      <w:r>
        <w:rPr>
          <w:rFonts w:ascii="Times New Roman" w:eastAsia="方正仿宋_GBK" w:hAnsi="Times New Roman" w:cs="Times New Roman"/>
          <w:sz w:val="32"/>
          <w:szCs w:val="32"/>
        </w:rPr>
        <w:t>80.78</w:t>
      </w:r>
      <w:r>
        <w:rPr>
          <w:rFonts w:ascii="Times New Roman" w:eastAsia="方正仿宋_GBK" w:hAnsi="Times New Roman" w:cs="Times New Roman"/>
          <w:sz w:val="32"/>
          <w:szCs w:val="32"/>
        </w:rPr>
        <w:t>岁，婴儿死亡率由</w:t>
      </w:r>
      <w:r>
        <w:rPr>
          <w:rFonts w:ascii="Times New Roman" w:eastAsia="方正仿宋_GBK" w:hAnsi="Times New Roman" w:cs="Times New Roman"/>
          <w:sz w:val="32"/>
          <w:szCs w:val="32"/>
        </w:rPr>
        <w:t>3.35‰</w:t>
      </w:r>
      <w:r>
        <w:rPr>
          <w:rFonts w:ascii="Times New Roman" w:eastAsia="方正仿宋_GBK" w:hAnsi="Times New Roman" w:cs="Times New Roman"/>
          <w:sz w:val="32"/>
          <w:szCs w:val="32"/>
        </w:rPr>
        <w:t>下降到</w:t>
      </w:r>
      <w:r>
        <w:rPr>
          <w:rFonts w:ascii="Times New Roman" w:eastAsia="方正仿宋_GBK" w:hAnsi="Times New Roman" w:cs="Times New Roman"/>
          <w:sz w:val="32"/>
          <w:szCs w:val="32"/>
        </w:rPr>
        <w:t>1.28‰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岁以下儿童死亡率由</w:t>
      </w:r>
      <w:r>
        <w:rPr>
          <w:rFonts w:ascii="Times New Roman" w:eastAsia="方正仿宋_GBK" w:hAnsi="Times New Roman" w:cs="Times New Roman"/>
          <w:sz w:val="32"/>
          <w:szCs w:val="32"/>
        </w:rPr>
        <w:t>3.35‰</w:t>
      </w:r>
      <w:r>
        <w:rPr>
          <w:rFonts w:ascii="Times New Roman" w:eastAsia="方正仿宋_GBK" w:hAnsi="Times New Roman" w:cs="Times New Roman"/>
          <w:sz w:val="32"/>
          <w:szCs w:val="32"/>
        </w:rPr>
        <w:t>下降到</w:t>
      </w:r>
      <w:r>
        <w:rPr>
          <w:rFonts w:ascii="Times New Roman" w:eastAsia="方正仿宋_GBK" w:hAnsi="Times New Roman" w:cs="Times New Roman"/>
          <w:sz w:val="32"/>
          <w:szCs w:val="32"/>
        </w:rPr>
        <w:t>2.25‰</w:t>
      </w:r>
      <w:r>
        <w:rPr>
          <w:rFonts w:ascii="Times New Roman" w:eastAsia="方正仿宋_GBK" w:hAnsi="Times New Roman" w:cs="Times New Roman"/>
          <w:sz w:val="32"/>
          <w:szCs w:val="32"/>
        </w:rPr>
        <w:t>，孕产妇死亡率为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，居民主要健康指标在重庆市</w:t>
      </w:r>
      <w:r>
        <w:rPr>
          <w:rFonts w:ascii="Times New Roman" w:eastAsia="方正仿宋_GBK" w:hAnsi="Times New Roman" w:cs="Times New Roman"/>
          <w:spacing w:val="-23"/>
          <w:sz w:val="32"/>
          <w:szCs w:val="32"/>
        </w:rPr>
        <w:t>内持续领先，与北京、上海、天津等发达城市中心城区水平相当。</w:t>
      </w:r>
    </w:p>
    <w:p w14:paraId="33F3B60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区域优质医疗卫生资源富集，医疗卫生综合服务实力更加彰显</w:t>
      </w: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年底，区域内共有各级各类医疗卫生机构</w:t>
      </w:r>
      <w:r>
        <w:rPr>
          <w:rFonts w:ascii="Times New Roman" w:eastAsia="方正仿宋_GBK" w:hAnsi="Times New Roman" w:cs="Times New Roman"/>
          <w:sz w:val="32"/>
          <w:szCs w:val="32"/>
        </w:rPr>
        <w:t>426</w:t>
      </w:r>
      <w:r>
        <w:rPr>
          <w:rFonts w:ascii="Times New Roman" w:eastAsia="方正仿宋_GBK" w:hAnsi="Times New Roman" w:cs="Times New Roman"/>
          <w:sz w:val="32"/>
          <w:szCs w:val="32"/>
        </w:rPr>
        <w:t>家，其中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医院</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家，上榜全国百强医院（复旦版）</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家。每千常住人口床位数</w:t>
      </w:r>
      <w:r>
        <w:rPr>
          <w:rFonts w:ascii="Times New Roman" w:eastAsia="方正仿宋_GBK" w:hAnsi="Times New Roman" w:cs="Times New Roman"/>
          <w:sz w:val="32"/>
          <w:szCs w:val="32"/>
        </w:rPr>
        <w:t>24.16</w:t>
      </w:r>
      <w:r>
        <w:rPr>
          <w:rFonts w:ascii="Times New Roman" w:eastAsia="方正仿宋_GBK" w:hAnsi="Times New Roman" w:cs="Times New Roman"/>
          <w:sz w:val="32"/>
          <w:szCs w:val="32"/>
        </w:rPr>
        <w:t>张、卫生技术人员</w:t>
      </w:r>
      <w:r>
        <w:rPr>
          <w:rFonts w:ascii="Times New Roman" w:eastAsia="方正仿宋_GBK" w:hAnsi="Times New Roman" w:cs="Times New Roman"/>
          <w:sz w:val="32"/>
          <w:szCs w:val="32"/>
        </w:rPr>
        <w:t>34.04</w:t>
      </w:r>
      <w:r>
        <w:rPr>
          <w:rFonts w:ascii="Times New Roman" w:eastAsia="方正仿宋_GBK" w:hAnsi="Times New Roman" w:cs="Times New Roman"/>
          <w:sz w:val="32"/>
          <w:szCs w:val="32"/>
        </w:rPr>
        <w:t>人、执业（助理）医师</w:t>
      </w:r>
      <w:r>
        <w:rPr>
          <w:rFonts w:ascii="Times New Roman" w:eastAsia="方正仿宋_GBK" w:hAnsi="Times New Roman" w:cs="Times New Roman"/>
          <w:sz w:val="32"/>
          <w:szCs w:val="32"/>
        </w:rPr>
        <w:t>10.91</w:t>
      </w:r>
      <w:r>
        <w:rPr>
          <w:rFonts w:ascii="Times New Roman" w:eastAsia="方正仿宋_GBK" w:hAnsi="Times New Roman" w:cs="Times New Roman"/>
          <w:sz w:val="32"/>
          <w:szCs w:val="32"/>
        </w:rPr>
        <w:t>人、注册护士</w:t>
      </w:r>
      <w:r>
        <w:rPr>
          <w:rFonts w:ascii="Times New Roman" w:eastAsia="方正仿宋_GBK" w:hAnsi="Times New Roman" w:cs="Times New Roman"/>
          <w:sz w:val="32"/>
          <w:szCs w:val="32"/>
        </w:rPr>
        <w:t>17.09</w:t>
      </w:r>
      <w:r>
        <w:rPr>
          <w:rFonts w:ascii="Times New Roman" w:eastAsia="方正仿宋_GBK" w:hAnsi="Times New Roman" w:cs="Times New Roman"/>
          <w:sz w:val="32"/>
          <w:szCs w:val="32"/>
        </w:rPr>
        <w:t>人。拥有国家重点医学实验室</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个、国家临床医学研究中心</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个、国家级临床重点专科</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年，区域医疗门诊服务总诊疗</w:t>
      </w:r>
      <w:r>
        <w:rPr>
          <w:rFonts w:ascii="Times New Roman" w:eastAsia="方正仿宋_GBK" w:hAnsi="Times New Roman" w:cs="Times New Roman"/>
          <w:sz w:val="32"/>
          <w:szCs w:val="32"/>
        </w:rPr>
        <w:t>1393</w:t>
      </w:r>
      <w:r>
        <w:rPr>
          <w:rFonts w:ascii="Times New Roman" w:eastAsia="方正仿宋_GBK" w:hAnsi="Times New Roman" w:cs="Times New Roman"/>
          <w:sz w:val="32"/>
          <w:szCs w:val="32"/>
        </w:rPr>
        <w:lastRenderedPageBreak/>
        <w:t>万人次，住院服务出院人数</w:t>
      </w:r>
      <w:r>
        <w:rPr>
          <w:rFonts w:ascii="Times New Roman" w:eastAsia="方正仿宋_GBK" w:hAnsi="Times New Roman" w:cs="Times New Roman"/>
          <w:sz w:val="32"/>
          <w:szCs w:val="32"/>
        </w:rPr>
        <w:t>41.8</w:t>
      </w:r>
      <w:r>
        <w:rPr>
          <w:rFonts w:ascii="Times New Roman" w:eastAsia="方正仿宋_GBK" w:hAnsi="Times New Roman" w:cs="Times New Roman"/>
          <w:sz w:val="32"/>
          <w:szCs w:val="32"/>
        </w:rPr>
        <w:t>万人，医疗服务覆盖全市、辐射西部。</w:t>
      </w:r>
    </w:p>
    <w:p w14:paraId="279BAA8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社区卫生服务发展走在前列，</w:t>
      </w:r>
      <w:r>
        <w:rPr>
          <w:rFonts w:ascii="Times New Roman" w:eastAsia="方正楷体_GBK" w:hAnsi="Times New Roman" w:cs="Times New Roman"/>
          <w:bCs/>
          <w:sz w:val="32"/>
          <w:szCs w:val="32"/>
        </w:rPr>
        <w:t>“10</w:t>
      </w:r>
      <w:r>
        <w:rPr>
          <w:rFonts w:ascii="Times New Roman" w:eastAsia="方正楷体_GBK" w:hAnsi="Times New Roman" w:cs="Times New Roman"/>
          <w:bCs/>
          <w:sz w:val="32"/>
          <w:szCs w:val="32"/>
        </w:rPr>
        <w:t>分钟医疗卫生服务圈</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日益夯实。</w:t>
      </w:r>
      <w:r>
        <w:rPr>
          <w:rFonts w:ascii="Times New Roman" w:eastAsia="方正仿宋_GBK" w:hAnsi="Times New Roman" w:cs="Times New Roman"/>
          <w:sz w:val="32"/>
          <w:szCs w:val="32"/>
        </w:rPr>
        <w:t>现有社区卫生服务中心</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个、站</w:t>
      </w:r>
      <w:r>
        <w:rPr>
          <w:rFonts w:ascii="Times New Roman" w:eastAsia="方正仿宋_GBK" w:hAnsi="Times New Roman" w:cs="Times New Roman"/>
          <w:sz w:val="32"/>
          <w:szCs w:val="32"/>
        </w:rPr>
        <w:t>17</w:t>
      </w:r>
      <w:r>
        <w:rPr>
          <w:rFonts w:ascii="Times New Roman" w:eastAsia="方正仿宋_GBK" w:hAnsi="Times New Roman" w:cs="Times New Roman"/>
          <w:sz w:val="32"/>
          <w:szCs w:val="32"/>
        </w:rPr>
        <w:t>个，机构标准化率</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家社区卫生服务中心获评全国优质服务示范社区卫生中心并入选全国百强社区卫生服务中心，</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家成为中国社区卫生协会优秀培训基地，</w:t>
      </w:r>
      <w:r>
        <w:rPr>
          <w:rFonts w:ascii="Times New Roman" w:eastAsia="方正仿宋_GBK" w:hAnsi="Times New Roman" w:cs="Times New Roman"/>
          <w:sz w:val="32"/>
          <w:szCs w:val="32"/>
          <w:lang w:val="zh-CN"/>
        </w:rPr>
        <w:t>8</w:t>
      </w:r>
      <w:r>
        <w:rPr>
          <w:rFonts w:ascii="Times New Roman" w:eastAsia="方正仿宋_GBK" w:hAnsi="Times New Roman" w:cs="Times New Roman"/>
          <w:sz w:val="32"/>
          <w:szCs w:val="32"/>
          <w:lang w:val="zh-CN"/>
        </w:rPr>
        <w:t>家为全科医生规范化培训社区实训基地。</w:t>
      </w:r>
      <w:r>
        <w:rPr>
          <w:rFonts w:ascii="Times New Roman" w:eastAsia="方正仿宋_GBK" w:hAnsi="Times New Roman" w:cs="Times New Roman"/>
          <w:sz w:val="32"/>
          <w:szCs w:val="32"/>
        </w:rPr>
        <w:t>家庭医生签约服务全面推行，全市首个家庭医生工作室在区成立、建成家庭医生工作室</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个，成为全国基层高血压、糖尿病医防融合试点地区，</w:t>
      </w:r>
      <w:r>
        <w:rPr>
          <w:rFonts w:ascii="Times New Roman" w:eastAsia="方正仿宋_GBK" w:hAnsi="Times New Roman" w:cs="Times New Roman"/>
          <w:sz w:val="32"/>
          <w:szCs w:val="32"/>
          <w:lang w:val="zh-CN"/>
        </w:rPr>
        <w:t>拥有</w:t>
      </w:r>
      <w:r>
        <w:rPr>
          <w:rFonts w:ascii="Times New Roman" w:eastAsia="方正仿宋_GBK" w:hAnsi="Times New Roman" w:cs="Times New Roman"/>
          <w:sz w:val="32"/>
          <w:szCs w:val="32"/>
        </w:rPr>
        <w:t>全国优秀家庭医生服务团队</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个、全市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十佳</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rPr>
        <w:t>家庭医生服务</w:t>
      </w:r>
      <w:r>
        <w:rPr>
          <w:rFonts w:ascii="Times New Roman" w:eastAsia="方正仿宋_GBK" w:hAnsi="Times New Roman" w:cs="Times New Roman"/>
          <w:sz w:val="32"/>
          <w:szCs w:val="32"/>
          <w:lang w:val="zh-CN"/>
        </w:rPr>
        <w:t>团队</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个。渝中区居民群众步行</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分钟内可享有基本医疗卫生服务，</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分钟医疗卫生服务圈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的基础更加坚实、日渐成熟定型。</w:t>
      </w:r>
    </w:p>
    <w:p w14:paraId="19E8B690" w14:textId="21A53087" w:rsidR="002D0D6D" w:rsidRDefault="00000000">
      <w:pPr>
        <w:overflowPunct w:val="0"/>
        <w:spacing w:line="620" w:lineRule="exact"/>
        <w:ind w:firstLine="646"/>
        <w:rPr>
          <w:rFonts w:ascii="Times New Roman" w:eastAsia="方正仿宋_GBK" w:hAnsi="Times New Roman" w:cs="Times New Roman"/>
          <w:sz w:val="32"/>
          <w:szCs w:val="32"/>
          <w:lang w:val="zh-CN"/>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深化医改向纵深推进，基本医疗卫生制度基本建立。</w:t>
      </w:r>
      <w:r>
        <w:rPr>
          <w:rFonts w:ascii="Times New Roman" w:eastAsia="方正仿宋_GBK" w:hAnsi="Times New Roman" w:cs="Times New Roman"/>
          <w:b/>
          <w:bCs/>
          <w:sz w:val="32"/>
          <w:szCs w:val="32"/>
          <w:lang w:val="zh-CN"/>
        </w:rPr>
        <w:t>分级诊疗制度初见成效，</w:t>
      </w:r>
      <w:r>
        <w:rPr>
          <w:rFonts w:ascii="Times New Roman" w:eastAsia="方正仿宋_GBK" w:hAnsi="Times New Roman" w:cs="Times New Roman"/>
          <w:sz w:val="32"/>
          <w:szCs w:val="32"/>
        </w:rPr>
        <w:t>市区联动建成全市首个</w:t>
      </w:r>
      <w:r>
        <w:rPr>
          <w:rFonts w:ascii="Times New Roman" w:eastAsia="方正仿宋_GBK" w:hAnsi="Times New Roman" w:cs="Times New Roman"/>
          <w:sz w:val="32"/>
          <w:szCs w:val="32"/>
          <w:lang w:val="zh-CN"/>
        </w:rPr>
        <w:t>社区医疗联合体，所有社区卫生服务中心参与市级三级医院医联体和专科联盟，开展了联建病房、专家工作室等多种联合协作形式，开通远程影像、远程心电、远程检验等服务，形成</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基层检查，医院诊断，社区管理</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的就诊新模式。</w:t>
      </w:r>
      <w:r>
        <w:rPr>
          <w:rFonts w:ascii="Times New Roman" w:eastAsia="方正仿宋_GBK" w:hAnsi="Times New Roman" w:cs="Times New Roman"/>
          <w:b/>
          <w:bCs/>
          <w:sz w:val="32"/>
          <w:szCs w:val="32"/>
          <w:lang w:val="zh-CN"/>
        </w:rPr>
        <w:t>现代医院管理制度初步建立，</w:t>
      </w:r>
      <w:r>
        <w:rPr>
          <w:rFonts w:ascii="Times New Roman" w:eastAsia="方正仿宋_GBK" w:hAnsi="Times New Roman" w:cs="Times New Roman"/>
          <w:sz w:val="32"/>
          <w:szCs w:val="32"/>
          <w:lang w:val="zh-CN"/>
        </w:rPr>
        <w:t>改革完善公立医院运行补偿机制，相继顺利取消公立医疗机构药品和医用耗材加成，同步调整医疗服务价格</w:t>
      </w:r>
      <w:r>
        <w:rPr>
          <w:rFonts w:ascii="Times New Roman" w:eastAsia="方正仿宋_GBK" w:hAnsi="Times New Roman" w:cs="Times New Roman"/>
          <w:sz w:val="32"/>
          <w:szCs w:val="32"/>
          <w:lang w:val="zh-CN"/>
        </w:rPr>
        <w:t>2281</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服务收入</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财政投入</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新的补偿机制运行良好。落实公立医院</w:t>
      </w:r>
      <w:r>
        <w:rPr>
          <w:rFonts w:ascii="Times New Roman" w:eastAsia="方正仿宋_GBK" w:hAnsi="Times New Roman" w:cs="Times New Roman"/>
          <w:sz w:val="32"/>
          <w:szCs w:val="32"/>
          <w:lang w:val="zh-CN"/>
        </w:rPr>
        <w:lastRenderedPageBreak/>
        <w:t>党委领导下的院长负责制，开展医院章程制定、薪酬制度改革等</w:t>
      </w:r>
      <w:r>
        <w:rPr>
          <w:rFonts w:ascii="Times New Roman" w:eastAsia="方正仿宋_GBK" w:hAnsi="Times New Roman" w:cs="Times New Roman"/>
          <w:sz w:val="32"/>
          <w:szCs w:val="32"/>
        </w:rPr>
        <w:t>试</w:t>
      </w:r>
      <w:r>
        <w:rPr>
          <w:rFonts w:ascii="Times New Roman" w:eastAsia="方正仿宋_GBK" w:hAnsi="Times New Roman" w:cs="Times New Roman"/>
          <w:sz w:val="32"/>
          <w:szCs w:val="32"/>
          <w:lang w:val="zh-CN"/>
        </w:rPr>
        <w:t>点，公立医院管理科学化、规范化、精细化水平逐渐提高。</w:t>
      </w:r>
      <w:r>
        <w:rPr>
          <w:rFonts w:ascii="Times New Roman" w:eastAsia="方正仿宋_GBK" w:hAnsi="Times New Roman" w:cs="Times New Roman"/>
          <w:b/>
          <w:bCs/>
          <w:sz w:val="32"/>
          <w:szCs w:val="32"/>
          <w:lang w:val="zh-CN"/>
        </w:rPr>
        <w:t>药品供应保障制度巩固完善，</w:t>
      </w:r>
      <w:r>
        <w:rPr>
          <w:rFonts w:ascii="Times New Roman" w:eastAsia="方正仿宋_GBK" w:hAnsi="Times New Roman" w:cs="Times New Roman"/>
          <w:sz w:val="32"/>
          <w:szCs w:val="32"/>
          <w:lang w:val="zh-CN"/>
        </w:rPr>
        <w:t>基本药物制度扩大到二级以上公立医院，建立短缺药品信息监测预警机制，加强临床合理用药监控，坚持联合体集中网上采购，实行药品购销</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两票制</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，落实国家组织药品集中采购使用试点。</w:t>
      </w:r>
      <w:r>
        <w:rPr>
          <w:rFonts w:ascii="Times New Roman" w:eastAsia="方正仿宋_GBK" w:hAnsi="Times New Roman" w:cs="Times New Roman"/>
          <w:b/>
          <w:bCs/>
          <w:sz w:val="32"/>
          <w:szCs w:val="32"/>
          <w:lang w:val="zh-CN"/>
        </w:rPr>
        <w:t>全民医保制度不断健全，</w:t>
      </w:r>
      <w:r>
        <w:rPr>
          <w:rFonts w:ascii="Times New Roman" w:eastAsia="方正仿宋_GBK" w:hAnsi="Times New Roman" w:cs="Times New Roman"/>
          <w:sz w:val="32"/>
          <w:szCs w:val="32"/>
          <w:lang w:val="zh-CN"/>
        </w:rPr>
        <w:t>参保覆盖面稳固在</w:t>
      </w:r>
      <w:r>
        <w:rPr>
          <w:rFonts w:ascii="Times New Roman" w:eastAsia="方正仿宋_GBK" w:hAnsi="Times New Roman" w:cs="Times New Roman"/>
          <w:sz w:val="32"/>
          <w:szCs w:val="32"/>
          <w:lang w:val="zh-CN"/>
        </w:rPr>
        <w:t>96%</w:t>
      </w:r>
      <w:r>
        <w:rPr>
          <w:rFonts w:ascii="Times New Roman" w:eastAsia="方正仿宋_GBK" w:hAnsi="Times New Roman" w:cs="Times New Roman"/>
          <w:sz w:val="32"/>
          <w:szCs w:val="32"/>
          <w:lang w:val="zh-CN"/>
        </w:rPr>
        <w:t>以上，居民基本医保人均财政补助标准提高到</w:t>
      </w:r>
      <w:r>
        <w:rPr>
          <w:rFonts w:ascii="Times New Roman" w:eastAsia="方正仿宋_GBK" w:hAnsi="Times New Roman" w:cs="Times New Roman"/>
          <w:sz w:val="32"/>
          <w:szCs w:val="32"/>
          <w:lang w:val="zh-CN"/>
        </w:rPr>
        <w:t>2020</w:t>
      </w:r>
      <w:r>
        <w:rPr>
          <w:rFonts w:ascii="Times New Roman" w:eastAsia="方正仿宋_GBK" w:hAnsi="Times New Roman" w:cs="Times New Roman"/>
          <w:sz w:val="32"/>
          <w:szCs w:val="32"/>
          <w:lang w:val="zh-CN"/>
        </w:rPr>
        <w:t>年的</w:t>
      </w:r>
      <w:r>
        <w:rPr>
          <w:rFonts w:ascii="Times New Roman" w:eastAsia="方正仿宋_GBK" w:hAnsi="Times New Roman" w:cs="Times New Roman"/>
          <w:sz w:val="32"/>
          <w:szCs w:val="32"/>
          <w:lang w:val="zh-CN"/>
        </w:rPr>
        <w:t>550</w:t>
      </w:r>
      <w:r>
        <w:rPr>
          <w:rFonts w:ascii="Times New Roman" w:eastAsia="方正仿宋_GBK" w:hAnsi="Times New Roman" w:cs="Times New Roman"/>
          <w:sz w:val="32"/>
          <w:szCs w:val="32"/>
          <w:lang w:val="zh-CN"/>
        </w:rPr>
        <w:t>元，政策范围内门诊和住院费用报销比例达到</w:t>
      </w:r>
      <w:r>
        <w:rPr>
          <w:rFonts w:ascii="Times New Roman" w:eastAsia="方正仿宋_GBK" w:hAnsi="Times New Roman" w:cs="Times New Roman"/>
          <w:sz w:val="32"/>
          <w:szCs w:val="32"/>
          <w:lang w:val="zh-CN"/>
        </w:rPr>
        <w:t>50%</w:t>
      </w:r>
      <w:r>
        <w:rPr>
          <w:rFonts w:ascii="Times New Roman" w:eastAsia="方正仿宋_GBK" w:hAnsi="Times New Roman" w:cs="Times New Roman"/>
          <w:sz w:val="32"/>
          <w:szCs w:val="32"/>
          <w:lang w:val="zh-CN"/>
        </w:rPr>
        <w:t>和</w:t>
      </w:r>
      <w:r>
        <w:rPr>
          <w:rFonts w:ascii="Times New Roman" w:eastAsia="方正仿宋_GBK" w:hAnsi="Times New Roman" w:cs="Times New Roman"/>
          <w:sz w:val="32"/>
          <w:szCs w:val="32"/>
          <w:lang w:val="zh-CN"/>
        </w:rPr>
        <w:t>70%</w:t>
      </w:r>
      <w:r>
        <w:rPr>
          <w:rFonts w:ascii="Times New Roman" w:eastAsia="方正仿宋_GBK" w:hAnsi="Times New Roman" w:cs="Times New Roman"/>
          <w:sz w:val="32"/>
          <w:szCs w:val="32"/>
          <w:lang w:val="zh-CN"/>
        </w:rPr>
        <w:t>以上，单病种付费病种数量达</w:t>
      </w:r>
      <w:r>
        <w:rPr>
          <w:rFonts w:ascii="Times New Roman" w:eastAsia="方正仿宋_GBK" w:hAnsi="Times New Roman" w:cs="Times New Roman"/>
          <w:sz w:val="32"/>
          <w:szCs w:val="32"/>
          <w:lang w:val="zh-CN"/>
        </w:rPr>
        <w:t>106</w:t>
      </w:r>
      <w:r>
        <w:rPr>
          <w:rFonts w:ascii="Times New Roman" w:eastAsia="方正仿宋_GBK" w:hAnsi="Times New Roman" w:cs="Times New Roman"/>
          <w:sz w:val="32"/>
          <w:szCs w:val="32"/>
          <w:lang w:val="zh-CN"/>
        </w:rPr>
        <w:t>个，形成总额预算、按病种按床日按项目等多元复合式医保支付方式。实现跨省异地就医费用直接结算，引入商业保险公司参与服务管理。</w:t>
      </w:r>
      <w:r>
        <w:rPr>
          <w:rFonts w:ascii="Times New Roman" w:eastAsia="方正仿宋_GBK" w:hAnsi="Times New Roman" w:cs="Times New Roman"/>
          <w:b/>
          <w:bCs/>
          <w:sz w:val="32"/>
          <w:szCs w:val="32"/>
          <w:lang w:val="zh-CN"/>
        </w:rPr>
        <w:t>综合监管制度加快建立，</w:t>
      </w:r>
      <w:r>
        <w:rPr>
          <w:rFonts w:ascii="Times New Roman" w:eastAsia="方正仿宋_GBK" w:hAnsi="Times New Roman" w:cs="Times New Roman"/>
          <w:sz w:val="32"/>
          <w:szCs w:val="32"/>
          <w:lang w:val="zh-CN"/>
        </w:rPr>
        <w:t>建立多部门协调联动监管机制，相继开展打击欺诈骗保、医疗乱象整治等行动，对医疗机构监管执法全覆盖。深化</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放管服</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改革，</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项</w:t>
      </w:r>
      <w:r>
        <w:rPr>
          <w:rFonts w:ascii="Times New Roman" w:eastAsia="方正仿宋_GBK" w:hAnsi="Times New Roman" w:cs="Times New Roman"/>
          <w:sz w:val="32"/>
          <w:szCs w:val="32"/>
          <w:lang w:val="zh-CN"/>
        </w:rPr>
        <w:t>医疗卫生行业行政审批全部实现网上办、一窗办，推行</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黑名单</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等诚信建设，</w:t>
      </w:r>
      <w:r w:rsidR="004F3415">
        <w:rPr>
          <w:rFonts w:ascii="Times New Roman" w:eastAsia="方正仿宋_GBK" w:hAnsi="Times New Roman" w:cs="Times New Roman"/>
          <w:sz w:val="32"/>
          <w:szCs w:val="32"/>
          <w:lang w:val="zh-CN"/>
        </w:rPr>
        <w:t>“</w:t>
      </w:r>
      <w:r w:rsidR="004F3415" w:rsidRPr="004F3415">
        <w:rPr>
          <w:rFonts w:ascii="Times New Roman" w:eastAsia="方正仿宋_GBK" w:hAnsi="Times New Roman" w:cs="Times New Roman" w:hint="eastAsia"/>
          <w:sz w:val="32"/>
          <w:szCs w:val="32"/>
        </w:rPr>
        <w:t>双随机、一公开</w:t>
      </w:r>
      <w:r w:rsidR="004F3415">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等监管方式成为常态。</w:t>
      </w:r>
    </w:p>
    <w:p w14:paraId="0FB05F6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lang w:val="zh-CN"/>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重大疾病防控工作扎实开展，公共卫生安全有力保障。</w:t>
      </w:r>
      <w:r>
        <w:rPr>
          <w:rFonts w:ascii="Times New Roman" w:eastAsia="方正仿宋_GBK" w:hAnsi="Times New Roman" w:cs="Times New Roman"/>
          <w:sz w:val="32"/>
          <w:szCs w:val="32"/>
        </w:rPr>
        <w:t>坚持预防为主，推进关口前移和资源下沉，推行专业公共卫生机构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三位一体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防控模式，布局人禽流感、新冠病毒肺炎、食源性疾病、健康危害因素等多个国家监测系统，建成数字化接种门诊</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w:t>
      </w:r>
      <w:r>
        <w:rPr>
          <w:rFonts w:ascii="Times New Roman" w:eastAsia="方正仿宋_GBK" w:hAnsi="Times New Roman" w:cs="Times New Roman"/>
          <w:sz w:val="32"/>
          <w:szCs w:val="32"/>
          <w:lang w:val="zh-CN"/>
        </w:rPr>
        <w:t>基本公共卫生服务人均补助经费标准从</w:t>
      </w:r>
      <w:r>
        <w:rPr>
          <w:rFonts w:ascii="Times New Roman" w:eastAsia="方正仿宋_GBK" w:hAnsi="Times New Roman" w:cs="Times New Roman"/>
          <w:sz w:val="32"/>
          <w:szCs w:val="32"/>
          <w:lang w:val="zh-CN"/>
        </w:rPr>
        <w:t>201</w:t>
      </w:r>
      <w:r>
        <w:rPr>
          <w:rFonts w:ascii="Times New Roman" w:eastAsia="方正仿宋_GBK" w:hAnsi="Times New Roman" w:cs="Times New Roman"/>
          <w:sz w:val="32"/>
          <w:szCs w:val="32"/>
        </w:rPr>
        <w:t>6</w:t>
      </w:r>
      <w:r>
        <w:rPr>
          <w:rFonts w:ascii="Times New Roman" w:eastAsia="方正仿宋_GBK" w:hAnsi="Times New Roman" w:cs="Times New Roman"/>
          <w:sz w:val="32"/>
          <w:szCs w:val="32"/>
          <w:lang w:val="zh-CN"/>
        </w:rPr>
        <w:t>年</w:t>
      </w:r>
      <w:r>
        <w:rPr>
          <w:rFonts w:ascii="Times New Roman" w:eastAsia="方正仿宋_GBK" w:hAnsi="Times New Roman" w:cs="Times New Roman"/>
          <w:sz w:val="32"/>
          <w:szCs w:val="32"/>
        </w:rPr>
        <w:t>51.92</w:t>
      </w:r>
      <w:r>
        <w:rPr>
          <w:rFonts w:ascii="Times New Roman" w:eastAsia="方正仿宋_GBK" w:hAnsi="Times New Roman" w:cs="Times New Roman"/>
          <w:sz w:val="32"/>
          <w:szCs w:val="32"/>
          <w:lang w:val="zh-CN"/>
        </w:rPr>
        <w:t>元增至</w:t>
      </w:r>
      <w:r>
        <w:rPr>
          <w:rFonts w:ascii="Times New Roman" w:eastAsia="方正仿宋_GBK" w:hAnsi="Times New Roman" w:cs="Times New Roman"/>
          <w:sz w:val="32"/>
          <w:szCs w:val="32"/>
          <w:lang w:val="zh-CN"/>
        </w:rPr>
        <w:t>2020</w:t>
      </w:r>
      <w:r>
        <w:rPr>
          <w:rFonts w:ascii="Times New Roman" w:eastAsia="方正仿宋_GBK" w:hAnsi="Times New Roman" w:cs="Times New Roman"/>
          <w:sz w:val="32"/>
          <w:szCs w:val="32"/>
          <w:lang w:val="zh-CN"/>
        </w:rPr>
        <w:t>年的</w:t>
      </w:r>
      <w:r>
        <w:rPr>
          <w:rFonts w:ascii="Times New Roman" w:eastAsia="方正仿宋_GBK" w:hAnsi="Times New Roman" w:cs="Times New Roman"/>
          <w:sz w:val="32"/>
          <w:szCs w:val="32"/>
        </w:rPr>
        <w:t>77.61</w:t>
      </w:r>
      <w:r>
        <w:rPr>
          <w:rFonts w:ascii="Times New Roman" w:eastAsia="方正仿宋_GBK" w:hAnsi="Times New Roman" w:cs="Times New Roman"/>
          <w:sz w:val="32"/>
          <w:szCs w:val="32"/>
          <w:lang w:val="zh-CN"/>
        </w:rPr>
        <w:t>元，持续高于</w:t>
      </w:r>
      <w:r>
        <w:rPr>
          <w:rFonts w:ascii="Times New Roman" w:eastAsia="方正仿宋_GBK" w:hAnsi="Times New Roman" w:cs="Times New Roman"/>
          <w:sz w:val="32"/>
          <w:szCs w:val="32"/>
          <w:lang w:val="zh-CN"/>
        </w:rPr>
        <w:lastRenderedPageBreak/>
        <w:t>国家、全市规定标准，位于西部前列。精准精细加强艾滋病、结核病、慢性病、职业病等防控，科学有效应对埃博拉出血热、寨卡病毒、非洲猪瘟、登革热等突发公共卫生风险，经受住百年不遇的新冠肺炎疫情危机考验。</w:t>
      </w:r>
      <w:r>
        <w:rPr>
          <w:rFonts w:ascii="Times New Roman" w:eastAsia="方正仿宋_GBK" w:hAnsi="Times New Roman" w:cs="Times New Roman"/>
          <w:sz w:val="32"/>
          <w:szCs w:val="32"/>
        </w:rPr>
        <w:t>全区</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八苗</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预防接种率稳定在</w:t>
      </w:r>
      <w:r>
        <w:rPr>
          <w:rFonts w:ascii="Times New Roman" w:eastAsia="方正仿宋_GBK" w:hAnsi="Times New Roman" w:cs="Times New Roman"/>
          <w:sz w:val="32"/>
          <w:szCs w:val="32"/>
          <w:lang w:val="zh-CN"/>
        </w:rPr>
        <w:t>95%</w:t>
      </w:r>
      <w:r>
        <w:rPr>
          <w:rFonts w:ascii="Times New Roman" w:eastAsia="方正仿宋_GBK" w:hAnsi="Times New Roman" w:cs="Times New Roman"/>
          <w:sz w:val="32"/>
          <w:szCs w:val="32"/>
          <w:lang w:val="zh-CN"/>
        </w:rPr>
        <w:t>以上，艾滋病感染者和病人随访检测率维持在</w:t>
      </w:r>
      <w:r>
        <w:rPr>
          <w:rFonts w:ascii="Times New Roman" w:eastAsia="方正仿宋_GBK" w:hAnsi="Times New Roman" w:cs="Times New Roman"/>
          <w:sz w:val="32"/>
          <w:szCs w:val="32"/>
          <w:lang w:val="zh-CN"/>
        </w:rPr>
        <w:t>90%</w:t>
      </w:r>
      <w:r>
        <w:rPr>
          <w:rFonts w:ascii="Times New Roman" w:eastAsia="方正仿宋_GBK" w:hAnsi="Times New Roman" w:cs="Times New Roman"/>
          <w:sz w:val="32"/>
          <w:szCs w:val="32"/>
          <w:lang w:val="zh-CN"/>
        </w:rPr>
        <w:t>以上，甲乙类传染病发病率较</w:t>
      </w:r>
      <w:r>
        <w:rPr>
          <w:rFonts w:ascii="Times New Roman" w:eastAsia="方正仿宋_GBK" w:hAnsi="Times New Roman" w:cs="Times New Roman"/>
          <w:sz w:val="32"/>
          <w:szCs w:val="32"/>
          <w:lang w:val="zh-CN"/>
        </w:rPr>
        <w:t>2015</w:t>
      </w:r>
      <w:r>
        <w:rPr>
          <w:rFonts w:ascii="Times New Roman" w:eastAsia="方正仿宋_GBK" w:hAnsi="Times New Roman" w:cs="Times New Roman"/>
          <w:sz w:val="32"/>
          <w:szCs w:val="32"/>
          <w:lang w:val="zh-CN"/>
        </w:rPr>
        <w:t>年下降</w:t>
      </w:r>
      <w:r>
        <w:rPr>
          <w:rFonts w:ascii="Times New Roman" w:eastAsia="方正仿宋_GBK" w:hAnsi="Times New Roman" w:cs="Times New Roman"/>
          <w:sz w:val="32"/>
          <w:szCs w:val="32"/>
        </w:rPr>
        <w:t>45.48</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。高血压、糖尿病规范管理率</w:t>
      </w:r>
      <w:r>
        <w:rPr>
          <w:rFonts w:ascii="Times New Roman" w:eastAsia="方正仿宋_GBK" w:hAnsi="Times New Roman" w:cs="Times New Roman"/>
          <w:sz w:val="32"/>
          <w:szCs w:val="32"/>
        </w:rPr>
        <w:t>63</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左右，严重精神障碍患者管理率</w:t>
      </w:r>
      <w:r>
        <w:rPr>
          <w:rFonts w:ascii="Times New Roman" w:eastAsia="方正仿宋_GBK" w:hAnsi="Times New Roman" w:cs="Times New Roman"/>
          <w:sz w:val="32"/>
          <w:szCs w:val="32"/>
          <w:lang w:val="zh-CN"/>
        </w:rPr>
        <w:t>9</w:t>
      </w:r>
      <w:r>
        <w:rPr>
          <w:rFonts w:ascii="Times New Roman" w:eastAsia="方正仿宋_GBK" w:hAnsi="Times New Roman" w:cs="Times New Roman"/>
          <w:sz w:val="32"/>
          <w:szCs w:val="32"/>
        </w:rPr>
        <w:t>0.49</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，孕产妇、儿童两个系统管理率达</w:t>
      </w:r>
      <w:r>
        <w:rPr>
          <w:rFonts w:ascii="Times New Roman" w:eastAsia="方正仿宋_GBK" w:hAnsi="Times New Roman" w:cs="Times New Roman"/>
          <w:sz w:val="32"/>
          <w:szCs w:val="32"/>
          <w:lang w:val="zh-CN"/>
        </w:rPr>
        <w:t>85</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以上，工作场所职业病危害因素定期检测率维持在</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以上</w:t>
      </w:r>
      <w:r>
        <w:rPr>
          <w:rFonts w:ascii="Times New Roman" w:eastAsia="方正仿宋_GBK" w:hAnsi="Times New Roman" w:cs="Times New Roman"/>
          <w:sz w:val="32"/>
          <w:szCs w:val="32"/>
          <w:lang w:val="zh-CN"/>
        </w:rPr>
        <w:t>，公共场所等卫生监督覆盖率达</w:t>
      </w:r>
      <w:r>
        <w:rPr>
          <w:rFonts w:ascii="Times New Roman" w:eastAsia="方正仿宋_GBK" w:hAnsi="Times New Roman" w:cs="Times New Roman"/>
          <w:sz w:val="32"/>
          <w:szCs w:val="32"/>
          <w:lang w:val="zh-CN"/>
        </w:rPr>
        <w:t>100%</w:t>
      </w:r>
      <w:r>
        <w:rPr>
          <w:rFonts w:ascii="Times New Roman" w:eastAsia="方正仿宋_GBK" w:hAnsi="Times New Roman" w:cs="Times New Roman"/>
          <w:sz w:val="32"/>
          <w:szCs w:val="32"/>
          <w:lang w:val="zh-CN"/>
        </w:rPr>
        <w:t>。全区实现消除疟疾目标，国家慢性病综合防控示范区被评为全国综合</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十佳</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，全国精神卫生综合管理试点通过国家验收。</w:t>
      </w:r>
    </w:p>
    <w:p w14:paraId="7C49730B"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医疗质量安全管理全面加强，中医药服务特色优势更为突出。</w:t>
      </w:r>
      <w:r>
        <w:rPr>
          <w:rFonts w:ascii="Times New Roman" w:eastAsia="方正仿宋_GBK" w:hAnsi="Times New Roman" w:cs="Times New Roman"/>
          <w:sz w:val="32"/>
          <w:szCs w:val="32"/>
          <w:lang w:val="zh-CN"/>
        </w:rPr>
        <w:t>组建</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个区级医疗质量控制中心及专家组，全面落实</w:t>
      </w:r>
      <w:r>
        <w:rPr>
          <w:rFonts w:ascii="Times New Roman" w:eastAsia="方正仿宋_GBK" w:hAnsi="Times New Roman" w:cs="Times New Roman"/>
          <w:sz w:val="32"/>
          <w:szCs w:val="32"/>
          <w:lang w:val="zh-CN"/>
        </w:rPr>
        <w:t>18</w:t>
      </w:r>
      <w:r>
        <w:rPr>
          <w:rFonts w:ascii="Times New Roman" w:eastAsia="方正仿宋_GBK" w:hAnsi="Times New Roman" w:cs="Times New Roman"/>
          <w:sz w:val="32"/>
          <w:szCs w:val="32"/>
          <w:lang w:val="zh-CN"/>
        </w:rPr>
        <w:t>项医疗核心制度。推动优质医疗资源下沉，全科、儿童、精神卫生、麻醉、</w:t>
      </w:r>
      <w:r>
        <w:rPr>
          <w:rFonts w:ascii="Times New Roman" w:eastAsia="方正仿宋_GBK" w:hAnsi="Times New Roman" w:cs="Times New Roman"/>
          <w:sz w:val="32"/>
          <w:szCs w:val="32"/>
          <w:lang w:val="zh-CN"/>
        </w:rPr>
        <w:t>ICU</w:t>
      </w:r>
      <w:r>
        <w:rPr>
          <w:rFonts w:ascii="Times New Roman" w:eastAsia="方正仿宋_GBK" w:hAnsi="Times New Roman" w:cs="Times New Roman"/>
          <w:sz w:val="32"/>
          <w:szCs w:val="32"/>
          <w:lang w:val="zh-CN"/>
        </w:rPr>
        <w:t>等薄弱学科建设得到加强，社区医疗服务能力得到提升。规范医疗行为，抗菌素临床滥用等现象得到遏制。扩大优质护理服务覆盖面，基本实现二级以上医院优质护理服务全覆盖，社区护理发展加快。持续实施改善医疗服务三年行动计划，落实行业作风建设</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九不准</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和</w:t>
      </w:r>
      <w:r>
        <w:rPr>
          <w:rFonts w:ascii="Times New Roman" w:eastAsia="方正仿宋_GBK" w:hAnsi="Times New Roman" w:cs="Times New Roman"/>
          <w:sz w:val="32"/>
          <w:szCs w:val="32"/>
          <w:lang w:val="zh-CN"/>
        </w:rPr>
        <w:t>12</w:t>
      </w:r>
      <w:r>
        <w:rPr>
          <w:rFonts w:ascii="Times New Roman" w:eastAsia="方正仿宋_GBK" w:hAnsi="Times New Roman" w:cs="Times New Roman"/>
          <w:sz w:val="32"/>
          <w:szCs w:val="32"/>
          <w:lang w:val="zh-CN"/>
        </w:rPr>
        <w:t>项医改便民长效措施，群众就医体验有所改善。构建</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三调解一保险</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医疗纠纷处置机制，渝中区被评为全国创建</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平安医院</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活动表</w:t>
      </w:r>
      <w:r>
        <w:rPr>
          <w:rFonts w:ascii="Times New Roman" w:eastAsia="方正仿宋_GBK" w:hAnsi="Times New Roman" w:cs="Times New Roman"/>
          <w:sz w:val="32"/>
          <w:szCs w:val="32"/>
          <w:lang w:val="zh-CN"/>
        </w:rPr>
        <w:lastRenderedPageBreak/>
        <w:t>现突出地区。中医药服务具有特色优势，重庆市中医骨科医院启动创建国家</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三甲</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中医骨科医院，全区现有中医医疗机构</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rPr>
        <w:t>76</w:t>
      </w:r>
      <w:r>
        <w:rPr>
          <w:rFonts w:ascii="Times New Roman" w:eastAsia="方正仿宋_GBK" w:hAnsi="Times New Roman" w:cs="Times New Roman"/>
          <w:sz w:val="32"/>
          <w:szCs w:val="32"/>
          <w:lang w:val="zh-CN"/>
        </w:rPr>
        <w:t>家，拥有原创</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渝州正骨</w:t>
      </w: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rPr>
        <w:t>学术品牌，</w:t>
      </w:r>
      <w:r>
        <w:rPr>
          <w:rFonts w:ascii="Times New Roman" w:eastAsia="方正仿宋_GBK" w:hAnsi="Times New Roman" w:cs="Times New Roman"/>
          <w:sz w:val="32"/>
          <w:szCs w:val="32"/>
        </w:rPr>
        <w:t>国家实用新型专利</w:t>
      </w:r>
      <w:r>
        <w:rPr>
          <w:rFonts w:ascii="Times New Roman" w:eastAsia="方正仿宋_GBK" w:hAnsi="Times New Roman" w:cs="Times New Roman"/>
          <w:sz w:val="32"/>
          <w:szCs w:val="32"/>
          <w:lang w:val="zh-CN"/>
        </w:rPr>
        <w:t>3</w:t>
      </w:r>
      <w:r>
        <w:rPr>
          <w:rFonts w:ascii="Times New Roman" w:eastAsia="方正仿宋_GBK" w:hAnsi="Times New Roman" w:cs="Times New Roman"/>
          <w:sz w:val="32"/>
          <w:szCs w:val="32"/>
        </w:rPr>
        <w:t>项，国家级、市级中医非物</w:t>
      </w:r>
      <w:r>
        <w:rPr>
          <w:rFonts w:ascii="Times New Roman" w:eastAsia="方正仿宋_GBK" w:hAnsi="Times New Roman" w:cs="Times New Roman" w:hint="eastAsia"/>
          <w:sz w:val="32"/>
          <w:szCs w:val="32"/>
        </w:rPr>
        <w:t>质</w:t>
      </w:r>
      <w:r>
        <w:rPr>
          <w:rFonts w:ascii="Times New Roman" w:eastAsia="方正仿宋_GBK" w:hAnsi="Times New Roman" w:cs="Times New Roman"/>
          <w:sz w:val="32"/>
          <w:szCs w:val="32"/>
        </w:rPr>
        <w:t>文化遗产分别为</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项和</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项，国家级中医重点专科</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个、市级中医重点专科、特色专科</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个，全国名中医传承工作室、全国名老中医药专家传承工作室各</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个，重庆市名老中医药专家传承工作室</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个，全国名中医</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人、市级名中医</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名，注册院内中药制剂</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个。在全区实施中医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治未病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、基层中医药服务能力提升等工程，每个社区卫生服务中心均能提供中医药服务，通过全国基层中医药工作先进单位复审。</w:t>
      </w:r>
    </w:p>
    <w:p w14:paraId="28CF71C5"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lang w:val="zh-CN"/>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人口生育政策调整落实，计划生育服务管理实现重大转型。</w:t>
      </w:r>
      <w:r>
        <w:rPr>
          <w:rFonts w:ascii="Times New Roman" w:eastAsia="方正仿宋_GBK" w:hAnsi="Times New Roman" w:cs="Times New Roman"/>
          <w:sz w:val="32"/>
          <w:szCs w:val="32"/>
        </w:rPr>
        <w:t>积极实施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全面两孩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政策，完成卫生计生行政、技术服务和监督机构改革，实行生育登记服务制度，营造鼓励按政策生育的支持环境，推进公共场所母婴设施建设，全区</w:t>
      </w:r>
      <w:r>
        <w:rPr>
          <w:rFonts w:ascii="Times New Roman" w:eastAsia="方正仿宋_GBK" w:hAnsi="Times New Roman" w:cs="Times New Roman"/>
          <w:sz w:val="32"/>
          <w:szCs w:val="32"/>
        </w:rPr>
        <w:t>18</w:t>
      </w:r>
      <w:r>
        <w:rPr>
          <w:rFonts w:ascii="Times New Roman" w:eastAsia="方正仿宋_GBK" w:hAnsi="Times New Roman" w:cs="Times New Roman"/>
          <w:sz w:val="32"/>
          <w:szCs w:val="32"/>
        </w:rPr>
        <w:t>个大型公共场所建成母婴室并投用，基础设施完善，日常维护良好。发挥社区卫生服务机构保育特长，借力专业托育机构教育经验，家庭育儿指导站和托育机构建设齐头并进。</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家托育机构完成备案，二孩及多孩出生占比保持在</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左右的历史高位。加强生育全程基本医疗保健服务，创建规范化儿童保健门</w:t>
      </w:r>
      <w:r>
        <w:rPr>
          <w:rFonts w:ascii="Times New Roman" w:eastAsia="方正仿宋_GBK" w:hAnsi="Times New Roman" w:cs="Times New Roman"/>
          <w:sz w:val="32"/>
          <w:szCs w:val="32"/>
          <w:lang w:val="zh-CN"/>
        </w:rPr>
        <w:t>诊</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个，规范化妇女保健门诊</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个，做实婚检、孕优、孕产妇与儿童保健、妇女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筛查等全生育周期妇幼保健服务，惠</w:t>
      </w:r>
      <w:r>
        <w:rPr>
          <w:rFonts w:ascii="Times New Roman" w:eastAsia="方正仿宋_GBK" w:hAnsi="Times New Roman" w:cs="Times New Roman"/>
          <w:sz w:val="32"/>
          <w:szCs w:val="32"/>
        </w:rPr>
        <w:lastRenderedPageBreak/>
        <w:t>及</w:t>
      </w:r>
      <w:r>
        <w:rPr>
          <w:rFonts w:ascii="Times New Roman" w:eastAsia="方正仿宋_GBK" w:hAnsi="Times New Roman" w:cs="Times New Roman"/>
          <w:sz w:val="32"/>
          <w:szCs w:val="32"/>
        </w:rPr>
        <w:t>39.73</w:t>
      </w:r>
      <w:r>
        <w:rPr>
          <w:rFonts w:ascii="Times New Roman" w:eastAsia="方正仿宋_GBK" w:hAnsi="Times New Roman" w:cs="Times New Roman"/>
          <w:sz w:val="32"/>
          <w:szCs w:val="32"/>
        </w:rPr>
        <w:t>万人次。关心关爱计划生育家庭，提高奖励扶助标准，对特殊家庭实现联系人制度、就医绿色通道和家庭医生签约服务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三个全覆盖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。积极推进健康养老，促进多种形式医养结合，二级以上综合医院设立老年医学科比例达</w:t>
      </w:r>
      <w:r>
        <w:rPr>
          <w:rFonts w:ascii="Times New Roman" w:eastAsia="方正仿宋_GBK" w:hAnsi="Times New Roman" w:cs="Times New Roman"/>
          <w:sz w:val="32"/>
          <w:szCs w:val="32"/>
        </w:rPr>
        <w:t>85%</w:t>
      </w:r>
      <w:r>
        <w:rPr>
          <w:rFonts w:ascii="Times New Roman" w:eastAsia="方正仿宋_GBK" w:hAnsi="Times New Roman" w:cs="Times New Roman"/>
          <w:sz w:val="32"/>
          <w:szCs w:val="32"/>
        </w:rPr>
        <w:t>以上，指导帮助两家养老院开设医务室，</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个社区卫生服务中心开设医养结合病床</w:t>
      </w:r>
      <w:r>
        <w:rPr>
          <w:rFonts w:ascii="Times New Roman" w:eastAsia="方正仿宋_GBK" w:hAnsi="Times New Roman" w:cs="Times New Roman"/>
          <w:sz w:val="32"/>
          <w:szCs w:val="32"/>
        </w:rPr>
        <w:t>86</w:t>
      </w:r>
      <w:r>
        <w:rPr>
          <w:rFonts w:ascii="Times New Roman" w:eastAsia="方正仿宋_GBK" w:hAnsi="Times New Roman" w:cs="Times New Roman"/>
          <w:sz w:val="32"/>
          <w:szCs w:val="32"/>
        </w:rPr>
        <w:t>张，辖区</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个养老机构与社区卫生服务中心建立了签约服务机制。</w:t>
      </w:r>
    </w:p>
    <w:p w14:paraId="394C675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健康产业起步发展，多层次多样化健康服务需求加速释放。</w:t>
      </w:r>
      <w:r>
        <w:rPr>
          <w:rFonts w:ascii="Times New Roman" w:eastAsia="方正仿宋_GBK" w:hAnsi="Times New Roman" w:cs="Times New Roman"/>
          <w:sz w:val="32"/>
          <w:szCs w:val="32"/>
        </w:rPr>
        <w:t>医疗健康服务业成为全区</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大重点发展产业之一，出台《推进渝中区健康服务业高质量发展的实施意见》，以健康医疗、健康保险、健康管理、康养服务、健康信息化为重点发展领域。以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环重医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创新生态圈为载体，高标准打造健康产业集聚发展示范区，初步形成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一中心一链条一集群一基金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发展格局。支持多元化社会办医，发展以医美、口腔、眼科等特色专科为主的民营医院</w:t>
      </w:r>
      <w:r>
        <w:rPr>
          <w:rFonts w:ascii="Times New Roman" w:eastAsia="方正仿宋_GBK" w:hAnsi="Times New Roman" w:cs="Times New Roman"/>
          <w:sz w:val="32"/>
          <w:szCs w:val="32"/>
        </w:rPr>
        <w:t>26</w:t>
      </w:r>
      <w:r>
        <w:rPr>
          <w:rFonts w:ascii="Times New Roman" w:eastAsia="方正仿宋_GBK" w:hAnsi="Times New Roman" w:cs="Times New Roman"/>
          <w:sz w:val="32"/>
          <w:szCs w:val="32"/>
        </w:rPr>
        <w:t>家，引进第三方检验、影像检查机构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家，线上线下一站式连锁医疗、医疗商场等新业态、新模式不断涌现。根据</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年经济普查数据，区内有健康产业法人单位</w:t>
      </w:r>
      <w:r>
        <w:rPr>
          <w:rFonts w:ascii="Times New Roman" w:eastAsia="方正仿宋_GBK" w:hAnsi="Times New Roman" w:cs="Times New Roman"/>
          <w:sz w:val="32"/>
          <w:szCs w:val="32"/>
        </w:rPr>
        <w:t>1474</w:t>
      </w:r>
      <w:r>
        <w:rPr>
          <w:rFonts w:ascii="Times New Roman" w:eastAsia="方正仿宋_GBK" w:hAnsi="Times New Roman" w:cs="Times New Roman"/>
          <w:sz w:val="32"/>
          <w:szCs w:val="32"/>
        </w:rPr>
        <w:t>家，其中规模以上企业</w:t>
      </w:r>
      <w:r>
        <w:rPr>
          <w:rFonts w:ascii="Times New Roman" w:eastAsia="方正仿宋_GBK" w:hAnsi="Times New Roman" w:cs="Times New Roman"/>
          <w:sz w:val="32"/>
          <w:szCs w:val="32"/>
        </w:rPr>
        <w:t>107</w:t>
      </w:r>
      <w:r>
        <w:rPr>
          <w:rFonts w:ascii="Times New Roman" w:eastAsia="方正仿宋_GBK" w:hAnsi="Times New Roman" w:cs="Times New Roman"/>
          <w:sz w:val="32"/>
          <w:szCs w:val="32"/>
        </w:rPr>
        <w:t>家，涉及国民经济行业分类中的</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个行业小类。截至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年底，全区大健康产业实现增加值</w:t>
      </w:r>
      <w:r>
        <w:rPr>
          <w:rFonts w:ascii="Times New Roman" w:eastAsia="方正仿宋_GBK" w:hAnsi="Times New Roman" w:cs="Times New Roman"/>
          <w:sz w:val="32"/>
          <w:szCs w:val="32"/>
        </w:rPr>
        <w:t>131.5</w:t>
      </w:r>
      <w:r>
        <w:rPr>
          <w:rFonts w:ascii="Times New Roman" w:eastAsia="方正仿宋_GBK" w:hAnsi="Times New Roman" w:cs="Times New Roman"/>
          <w:sz w:val="32"/>
          <w:szCs w:val="32"/>
        </w:rPr>
        <w:t>亿元，占全区</w:t>
      </w:r>
      <w:r>
        <w:rPr>
          <w:rFonts w:ascii="Times New Roman" w:eastAsia="方正仿宋_GBK" w:hAnsi="Times New Roman" w:cs="Times New Roman"/>
          <w:sz w:val="32"/>
          <w:szCs w:val="32"/>
        </w:rPr>
        <w:t>GDP9.7%</w:t>
      </w:r>
      <w:r>
        <w:rPr>
          <w:rFonts w:ascii="Times New Roman" w:eastAsia="方正仿宋_GBK" w:hAnsi="Times New Roman" w:cs="Times New Roman"/>
          <w:sz w:val="32"/>
          <w:szCs w:val="32"/>
        </w:rPr>
        <w:t>。</w:t>
      </w:r>
    </w:p>
    <w:p w14:paraId="43242C3F" w14:textId="77777777" w:rsidR="002D0D6D" w:rsidRDefault="00000000">
      <w:pPr>
        <w:overflowPunct w:val="0"/>
        <w:spacing w:line="620" w:lineRule="exact"/>
        <w:jc w:val="left"/>
        <w:rPr>
          <w:rFonts w:ascii="Times New Roman" w:eastAsia="黑体" w:hAnsi="Times New Roman" w:cs="Times New Roman"/>
          <w:b/>
          <w:sz w:val="32"/>
          <w:szCs w:val="32"/>
        </w:rPr>
      </w:pPr>
      <w:r>
        <w:rPr>
          <w:rFonts w:ascii="Times New Roman" w:eastAsia="黑体" w:hAnsi="Times New Roman" w:cs="Times New Roman"/>
          <w:b/>
          <w:sz w:val="32"/>
          <w:szCs w:val="32"/>
        </w:rPr>
        <w:br w:type="page"/>
      </w:r>
    </w:p>
    <w:p w14:paraId="5DC251F7"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第二部分</w:t>
      </w:r>
    </w:p>
    <w:p w14:paraId="02CF4BD9"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面临形势：在挑战中把握机遇</w:t>
      </w:r>
    </w:p>
    <w:p w14:paraId="659D7283" w14:textId="77777777" w:rsidR="002D0D6D" w:rsidRDefault="002D0D6D">
      <w:pPr>
        <w:overflowPunct w:val="0"/>
        <w:spacing w:line="620" w:lineRule="exact"/>
        <w:ind w:firstLine="631"/>
        <w:rPr>
          <w:rFonts w:ascii="Times New Roman" w:hAnsi="Times New Roman" w:cs="Times New Roman"/>
          <w:sz w:val="20"/>
          <w:szCs w:val="20"/>
          <w:shd w:val="clear" w:color="auto" w:fill="FFFFFF"/>
        </w:rPr>
      </w:pPr>
    </w:p>
    <w:p w14:paraId="643EEBA6"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从总的来看，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时期卫生健康事业发展面临的内外部发展环境更趋复杂，高质量发展任务更加繁重，改革创新转型升级要求更为迫切，但总体上机遇大于挑战、优势好于劣</w:t>
      </w:r>
      <w:r>
        <w:rPr>
          <w:rFonts w:ascii="Times New Roman" w:eastAsia="方正仿宋_GBK" w:hAnsi="Times New Roman" w:cs="Times New Roman"/>
          <w:spacing w:val="-23"/>
          <w:sz w:val="32"/>
          <w:szCs w:val="32"/>
        </w:rPr>
        <w:t>势，只要善于抓住机遇，科学应对挑战，定能在变局中开创新局。</w:t>
      </w:r>
    </w:p>
    <w:p w14:paraId="5CE32AE6" w14:textId="77777777" w:rsidR="002D0D6D" w:rsidRDefault="00000000">
      <w:pPr>
        <w:overflowPunct w:val="0"/>
        <w:spacing w:line="620" w:lineRule="exact"/>
        <w:ind w:firstLine="645"/>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存在问题和困难。</w:t>
      </w:r>
      <w:r>
        <w:rPr>
          <w:rFonts w:ascii="Times New Roman" w:eastAsia="方正仿宋_GBK" w:hAnsi="Times New Roman" w:cs="Times New Roman"/>
          <w:sz w:val="32"/>
          <w:szCs w:val="32"/>
        </w:rPr>
        <w:t>虽然渝中区卫生健康事业已取得历史性成就，发展迈上新的台阶，但也存在明显不足和困难，较为突出的有：</w:t>
      </w:r>
      <w:r>
        <w:rPr>
          <w:rFonts w:ascii="Times New Roman" w:eastAsia="方正仿宋_GBK" w:hAnsi="Times New Roman" w:cs="Times New Roman"/>
          <w:b/>
          <w:bCs/>
          <w:sz w:val="32"/>
          <w:szCs w:val="32"/>
          <w:lang w:val="zh-CN"/>
        </w:rPr>
        <w:t>一是地域空间先天受限。</w:t>
      </w:r>
      <w:r>
        <w:rPr>
          <w:rFonts w:ascii="Times New Roman" w:eastAsia="方正仿宋_GBK" w:hAnsi="Times New Roman" w:cs="Times New Roman"/>
          <w:sz w:val="32"/>
          <w:szCs w:val="32"/>
        </w:rPr>
        <w:t>全区水陆域面积</w:t>
      </w:r>
      <w:r>
        <w:rPr>
          <w:rFonts w:ascii="Times New Roman" w:eastAsia="方正仿宋_GBK" w:hAnsi="Times New Roman" w:cs="Times New Roman"/>
          <w:sz w:val="32"/>
          <w:szCs w:val="32"/>
        </w:rPr>
        <w:t>23.24</w:t>
      </w:r>
      <w:r>
        <w:rPr>
          <w:rFonts w:ascii="Times New Roman" w:eastAsia="方正仿宋_GBK" w:hAnsi="Times New Roman" w:cs="Times New Roman"/>
          <w:sz w:val="32"/>
          <w:szCs w:val="32"/>
        </w:rPr>
        <w:t>平方公里，是建成区、老城区，制约医疗卫生机构建设和规模型健康产业项目的引进。同时，按照主城区功能疏解的规划，部分市级大型医疗卫生机构陆续搬迁区外，将会分流减少本区的医疗卫生资源体量和产业载体。</w:t>
      </w:r>
      <w:r>
        <w:rPr>
          <w:rFonts w:ascii="Times New Roman" w:eastAsia="方正仿宋_GBK" w:hAnsi="Times New Roman" w:cs="Times New Roman"/>
          <w:b/>
          <w:bCs/>
          <w:sz w:val="32"/>
          <w:szCs w:val="32"/>
          <w:lang w:val="zh-CN"/>
        </w:rPr>
        <w:t>二是结构性矛盾突出。</w:t>
      </w:r>
      <w:r>
        <w:rPr>
          <w:rFonts w:ascii="Times New Roman" w:eastAsia="方正仿宋_GBK" w:hAnsi="Times New Roman" w:cs="Times New Roman"/>
          <w:sz w:val="32"/>
          <w:szCs w:val="32"/>
        </w:rPr>
        <w:t>公共卫生和医疗服务体系衔接不紧、融合不深，卫生应急管理机制不健全。区域医疗资源丰富而区属医疗资源薄弱，资源整合利用有难度，上下联动机制不够顺畅，分级诊疗制度还未成型，信息互联互通共享程度不高，医疗资源的整体效应未充分发挥出来。</w:t>
      </w:r>
      <w:r>
        <w:rPr>
          <w:rFonts w:ascii="Times New Roman" w:eastAsia="方正仿宋_GBK" w:hAnsi="Times New Roman" w:cs="Times New Roman"/>
          <w:b/>
          <w:bCs/>
          <w:sz w:val="32"/>
          <w:szCs w:val="32"/>
          <w:lang w:val="zh-CN"/>
        </w:rPr>
        <w:t>三是全行业治理现代化水平不高。</w:t>
      </w:r>
      <w:r>
        <w:rPr>
          <w:rFonts w:ascii="Times New Roman" w:eastAsia="方正仿宋_GBK" w:hAnsi="Times New Roman" w:cs="Times New Roman"/>
          <w:sz w:val="32"/>
          <w:szCs w:val="32"/>
        </w:rPr>
        <w:t>大健康、大卫生理念还未广泛树立，把健康融入所有政策的要求还未落实到位，全方位全周期健康管理服务模式尚未全面形成。基层医疗卫生机构运行新机制有待完善，公立医院管理体制和运行机制还未完</w:t>
      </w:r>
      <w:r>
        <w:rPr>
          <w:rFonts w:ascii="Times New Roman" w:eastAsia="方正仿宋_GBK" w:hAnsi="Times New Roman" w:cs="Times New Roman"/>
          <w:sz w:val="32"/>
          <w:szCs w:val="32"/>
        </w:rPr>
        <w:lastRenderedPageBreak/>
        <w:t>全理顺，人事薪酬制度等改革亟需加快，信息化智能化建设相对滞后，欠缺精准化精细化精致化服务管理，专业性综合监督力量比较薄弱。</w:t>
      </w:r>
      <w:r>
        <w:rPr>
          <w:rFonts w:ascii="Times New Roman" w:eastAsia="方正仿宋_GBK" w:hAnsi="Times New Roman" w:cs="Times New Roman"/>
          <w:b/>
          <w:bCs/>
          <w:sz w:val="32"/>
          <w:szCs w:val="32"/>
          <w:lang w:val="zh-CN"/>
        </w:rPr>
        <w:t>四是基层专业人才和健康产业人才支撑不足。</w:t>
      </w:r>
      <w:r>
        <w:rPr>
          <w:rFonts w:ascii="Times New Roman" w:eastAsia="方正仿宋_GBK" w:hAnsi="Times New Roman" w:cs="Times New Roman"/>
          <w:sz w:val="32"/>
          <w:szCs w:val="32"/>
        </w:rPr>
        <w:t>社区卫生机构条件、待遇、发展空间与医院相差较大，专业人才到基层不愿去、留不住，服务能力和水平与群众期望有差距。健康产业发展需要的健康管理、科学健身、健康养老等中高端人才缺口严重，既懂政策、技术又懂市场、经营的复合型人才不多。</w:t>
      </w:r>
      <w:r>
        <w:rPr>
          <w:rFonts w:ascii="Times New Roman" w:eastAsia="方正仿宋_GBK" w:hAnsi="Times New Roman" w:cs="Times New Roman"/>
          <w:b/>
          <w:bCs/>
          <w:sz w:val="32"/>
          <w:szCs w:val="32"/>
          <w:lang w:val="zh-CN"/>
        </w:rPr>
        <w:t>五是健康产业发展尚处于萌芽阶段。</w:t>
      </w:r>
      <w:r>
        <w:rPr>
          <w:rFonts w:ascii="Times New Roman" w:eastAsia="方正仿宋_GBK" w:hAnsi="Times New Roman" w:cs="Times New Roman"/>
          <w:sz w:val="32"/>
          <w:szCs w:val="32"/>
        </w:rPr>
        <w:t>产业结构以医疗卫生服务、医药销售为绝对主体，其他行业发育不足，新业态新模式多在孕育之中。市场机制发挥不够，缺乏龙头企业和品牌产品。产业链条松散，政、产、学、研、用各环节联系不紧密，大数据、云计算、人工智能、数字医疗等新技术在健康领域的应用产业化程度不充分。</w:t>
      </w:r>
    </w:p>
    <w:p w14:paraId="11F1B377"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面临挑战。</w:t>
      </w:r>
      <w:r>
        <w:rPr>
          <w:rFonts w:ascii="Times New Roman" w:eastAsia="方正仿宋_GBK" w:hAnsi="Times New Roman" w:cs="Times New Roman"/>
          <w:sz w:val="32"/>
          <w:szCs w:val="32"/>
        </w:rPr>
        <w:t>随着经济社会发展进入新阶段，工业化、城镇化、人口老龄化、疾病谱变化、生态环境及生活方式变化等继续演进，必将给卫生健康事业发展带来多重挑战，主要有</w:t>
      </w:r>
      <w:r>
        <w:rPr>
          <w:rFonts w:ascii="Times New Roman" w:eastAsia="方正仿宋_GBK" w:hAnsi="Times New Roman" w:cs="Times New Roman"/>
          <w:sz w:val="32"/>
          <w:szCs w:val="32"/>
          <w:lang w:val="zh-CN"/>
        </w:rPr>
        <w:t>：</w:t>
      </w:r>
      <w:r>
        <w:rPr>
          <w:rFonts w:ascii="Times New Roman" w:eastAsia="方正仿宋_GBK" w:hAnsi="Times New Roman" w:cs="Times New Roman"/>
          <w:b/>
          <w:bCs/>
          <w:sz w:val="32"/>
          <w:szCs w:val="32"/>
          <w:lang w:val="zh-CN"/>
        </w:rPr>
        <w:t>一是疾病防控任务艰巨的挑战。</w:t>
      </w:r>
      <w:r>
        <w:rPr>
          <w:rFonts w:ascii="Times New Roman" w:eastAsia="方正仿宋_GBK" w:hAnsi="Times New Roman" w:cs="Times New Roman"/>
          <w:sz w:val="32"/>
          <w:szCs w:val="32"/>
        </w:rPr>
        <w:t>艾滋病、结核病、乙肝等传统传染病防治不容放松，新冠肺炎、人感染禽流感等新发传染病时会突然发生，癌症、糖尿病、高血压等慢性病非传染性疾病呈现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井喷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，大气、水等环境污染以及食品安全、自然灾害、事故灾难等健康危害因素复杂多样，重大公共卫生风险关乎国家安全。面对传染病和慢性病防控的双重压力，公共卫生</w:t>
      </w:r>
      <w:r>
        <w:rPr>
          <w:rFonts w:ascii="Times New Roman" w:eastAsia="方正仿宋_GBK" w:hAnsi="Times New Roman" w:cs="Times New Roman"/>
          <w:sz w:val="32"/>
          <w:szCs w:val="32"/>
        </w:rPr>
        <w:lastRenderedPageBreak/>
        <w:t>体系不完善、应急管理机制不健全，医防融合协作不紧密，需加快补短板堵漏洞强弱项。</w:t>
      </w:r>
      <w:r>
        <w:rPr>
          <w:rFonts w:ascii="Times New Roman" w:eastAsia="方正仿宋_GBK" w:hAnsi="Times New Roman" w:cs="Times New Roman"/>
          <w:b/>
          <w:bCs/>
          <w:sz w:val="32"/>
          <w:szCs w:val="32"/>
          <w:lang w:val="zh-CN"/>
        </w:rPr>
        <w:t>二是健康老龄化压力加大的挑战。</w:t>
      </w:r>
      <w:r>
        <w:rPr>
          <w:rFonts w:ascii="Times New Roman" w:eastAsia="方正仿宋_GBK" w:hAnsi="Times New Roman" w:cs="Times New Roman"/>
          <w:sz w:val="32"/>
          <w:szCs w:val="32"/>
        </w:rPr>
        <w:t>全国、全市都面临老龄化社会进程加速。渝中区截至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年底，</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岁以上户籍老人</w:t>
      </w:r>
      <w:r>
        <w:rPr>
          <w:rFonts w:ascii="Times New Roman" w:eastAsia="方正仿宋_GBK" w:hAnsi="Times New Roman" w:cs="Times New Roman"/>
          <w:sz w:val="32"/>
          <w:szCs w:val="32"/>
        </w:rPr>
        <w:t>16.34</w:t>
      </w:r>
      <w:r>
        <w:rPr>
          <w:rFonts w:ascii="Times New Roman" w:eastAsia="方正仿宋_GBK" w:hAnsi="Times New Roman" w:cs="Times New Roman"/>
          <w:sz w:val="32"/>
          <w:szCs w:val="32"/>
        </w:rPr>
        <w:t>万人，占户籍总人口数的</w:t>
      </w:r>
      <w:r>
        <w:rPr>
          <w:rFonts w:ascii="Times New Roman" w:eastAsia="方正仿宋_GBK" w:hAnsi="Times New Roman" w:cs="Times New Roman"/>
          <w:sz w:val="32"/>
          <w:szCs w:val="32"/>
        </w:rPr>
        <w:t>33.14%</w:t>
      </w:r>
      <w:r>
        <w:rPr>
          <w:rFonts w:ascii="Times New Roman" w:eastAsia="方正仿宋_GBK" w:hAnsi="Times New Roman" w:cs="Times New Roman"/>
          <w:sz w:val="32"/>
          <w:szCs w:val="32"/>
        </w:rPr>
        <w:t>，其中</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岁以上户籍老人</w:t>
      </w:r>
      <w:r>
        <w:rPr>
          <w:rFonts w:ascii="Times New Roman" w:eastAsia="方正仿宋_GBK" w:hAnsi="Times New Roman" w:cs="Times New Roman"/>
          <w:sz w:val="32"/>
          <w:szCs w:val="32"/>
        </w:rPr>
        <w:t>2.72</w:t>
      </w:r>
      <w:r>
        <w:rPr>
          <w:rFonts w:ascii="Times New Roman" w:eastAsia="方正仿宋_GBK" w:hAnsi="Times New Roman" w:cs="Times New Roman"/>
          <w:sz w:val="32"/>
          <w:szCs w:val="32"/>
        </w:rPr>
        <w:t>万人，占户籍总人口数的</w:t>
      </w:r>
      <w:r>
        <w:rPr>
          <w:rFonts w:ascii="Times New Roman" w:eastAsia="方正仿宋_GBK" w:hAnsi="Times New Roman" w:cs="Times New Roman"/>
          <w:sz w:val="32"/>
          <w:szCs w:val="32"/>
        </w:rPr>
        <w:t>5.5%</w:t>
      </w:r>
      <w:r>
        <w:rPr>
          <w:rFonts w:ascii="Times New Roman" w:eastAsia="方正仿宋_GBK" w:hAnsi="Times New Roman" w:cs="Times New Roman"/>
          <w:sz w:val="32"/>
          <w:szCs w:val="32"/>
        </w:rPr>
        <w:t>。社会老龄化程度不断加深，失能和部分失能老年人日益增多，对医疗保健、康复护理等服务的刚性需求日益增加。但医养结合、失智照护、安宁疗护等机构缺乏，综合性、连续性健康养老服务体系尚未建立，亟需紧紧抓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窗口期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及时应对。</w:t>
      </w:r>
      <w:r>
        <w:rPr>
          <w:rFonts w:ascii="Times New Roman" w:eastAsia="方正仿宋_GBK" w:hAnsi="Times New Roman" w:cs="Times New Roman"/>
          <w:b/>
          <w:bCs/>
          <w:sz w:val="32"/>
          <w:szCs w:val="32"/>
          <w:lang w:val="zh-CN"/>
        </w:rPr>
        <w:t>三是人民群众健康需求日益高涨的挑战。</w:t>
      </w:r>
      <w:r>
        <w:rPr>
          <w:rFonts w:ascii="Times New Roman" w:eastAsia="方正仿宋_GBK" w:hAnsi="Times New Roman" w:cs="Times New Roman"/>
          <w:sz w:val="32"/>
          <w:szCs w:val="32"/>
        </w:rPr>
        <w:t>更高水平的医疗卫生服务，是人民对高品质美好生活的新期待。随着经济社会发展和人民生活水平不断提高，人民群众更加重视生命质量和健康安全，不但要求看得上病、看得好病，更希望不得病、少得病，看病更舒心、服务更体贴，呈现多层次、差异化、个性化的特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无病早预防、有病早治疗、防止伤病残、寿命更健康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，成为广大人民群众最关注、最迫切、最现实的利益问题，对健康服务供给质量、结构化升级提出更高要求。</w:t>
      </w:r>
      <w:r>
        <w:rPr>
          <w:rFonts w:ascii="Times New Roman" w:eastAsia="方正仿宋_GBK" w:hAnsi="Times New Roman" w:cs="Times New Roman"/>
          <w:b/>
          <w:bCs/>
          <w:sz w:val="32"/>
          <w:szCs w:val="32"/>
          <w:lang w:val="zh-CN"/>
        </w:rPr>
        <w:t>四是医改深化影响利益格局调整的挑战。</w:t>
      </w:r>
      <w:r>
        <w:rPr>
          <w:rFonts w:ascii="Times New Roman" w:eastAsia="方正仿宋_GBK" w:hAnsi="Times New Roman" w:cs="Times New Roman"/>
          <w:sz w:val="32"/>
          <w:szCs w:val="32"/>
        </w:rPr>
        <w:t>深化医改进入深水区和攻坚期，剩下的都是难啃的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硬骨头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，触及更多的深层次体制机制性矛盾，结构性改革将使部分群体让渡利益，医疗机构、医药企业、医保基金、居民群众等不同群体利益诉求多元博弈，利益格局调整更加复杂，改革的难度明显加大。需要</w:t>
      </w:r>
      <w:r>
        <w:rPr>
          <w:rFonts w:ascii="Times New Roman" w:eastAsia="方正仿宋_GBK" w:hAnsi="Times New Roman" w:cs="Times New Roman"/>
          <w:sz w:val="32"/>
          <w:szCs w:val="32"/>
        </w:rPr>
        <w:lastRenderedPageBreak/>
        <w:t>推进改革的更大定力和勇气，增强改革的系统性、整体性、协调性</w:t>
      </w:r>
      <w:r>
        <w:rPr>
          <w:rFonts w:ascii="Times New Roman" w:eastAsia="方正仿宋_GBK" w:hAnsi="Times New Roman" w:cs="Times New Roman"/>
          <w:b/>
          <w:bCs/>
          <w:sz w:val="32"/>
          <w:szCs w:val="32"/>
          <w:lang w:val="zh-CN"/>
        </w:rPr>
        <w:t>。五是区域竞争、分化与重塑加剧的挑战。</w:t>
      </w:r>
      <w:r>
        <w:rPr>
          <w:rFonts w:ascii="Times New Roman" w:eastAsia="方正仿宋_GBK" w:hAnsi="Times New Roman" w:cs="Times New Roman"/>
          <w:sz w:val="32"/>
          <w:szCs w:val="32"/>
        </w:rPr>
        <w:t>在各地竞相发展、你追我赶的大背景下，卫生健康服务特别是大健康产业将是各地抢抓发展机遇的重点领域，呈现充分发挥比较优势，挖掘增长潜力，加快发展质效的态势。渝中区与北京西城区、上海黄浦区、天津和平区等先进地区相比，发展差距需要追赶。与主城其他区相比，优质医疗资源富集、社区卫生服务等先发优势逐渐弱化。如何确保在不进则退、慢进也是退的竞争中跑在前、不退步，将是对渝中区的现实考验。</w:t>
      </w:r>
    </w:p>
    <w:p w14:paraId="007EA40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发展机遇。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时期，卫生健康事业发展仍然处于大有可为的战略机遇期，具有促进卫生健康事业持续发展的有利条件。重点有：</w:t>
      </w:r>
      <w:r>
        <w:rPr>
          <w:rFonts w:ascii="Times New Roman" w:eastAsia="方正仿宋_GBK" w:hAnsi="Times New Roman" w:cs="Times New Roman"/>
          <w:b/>
          <w:bCs/>
          <w:sz w:val="32"/>
          <w:szCs w:val="32"/>
          <w:lang w:val="zh-CN"/>
        </w:rPr>
        <w:t>一是健康中国战略指明发展方向。</w:t>
      </w:r>
      <w:r>
        <w:rPr>
          <w:rFonts w:ascii="Times New Roman" w:eastAsia="方正仿宋_GBK" w:hAnsi="Times New Roman" w:cs="Times New Roman"/>
          <w:sz w:val="32"/>
          <w:szCs w:val="32"/>
        </w:rPr>
        <w:t>党中央、国务院高度重视卫生健康事业发展，把人民健康放在优先发展的战略地位，确定新时代卫生健康工作方针，从《健康中国</w:t>
      </w:r>
      <w:r>
        <w:rPr>
          <w:rFonts w:ascii="Times New Roman" w:eastAsia="方正仿宋_GBK" w:hAnsi="Times New Roman" w:cs="Times New Roman"/>
          <w:sz w:val="32"/>
          <w:szCs w:val="32"/>
        </w:rPr>
        <w:t>2030</w:t>
      </w:r>
      <w:r>
        <w:rPr>
          <w:rFonts w:ascii="Times New Roman" w:eastAsia="方正仿宋_GBK" w:hAnsi="Times New Roman" w:cs="Times New Roman"/>
          <w:sz w:val="32"/>
          <w:szCs w:val="32"/>
        </w:rPr>
        <w:t>规划纲要》到《健康中国行动意见》，绘就了健康中国的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任务书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施工图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新冠肺炎疫情更加突显完善卫生健康治理、发展卫生健康事业的重要性和紧迫性。重庆市坚定不移深入开展健康中国战略重庆实践，提出构建国家医学中心、国家区域医疗中心的新目标。实现健康中国梦想，指引了全区卫生健康事业发展的前进方向。</w:t>
      </w:r>
      <w:r>
        <w:rPr>
          <w:rFonts w:ascii="Times New Roman" w:eastAsia="方正仿宋_GBK" w:hAnsi="Times New Roman" w:cs="Times New Roman"/>
          <w:b/>
          <w:bCs/>
          <w:sz w:val="32"/>
          <w:szCs w:val="32"/>
          <w:lang w:val="zh-CN"/>
        </w:rPr>
        <w:t>二是渝中城市定位锚定发展要求。</w:t>
      </w:r>
      <w:r>
        <w:rPr>
          <w:rFonts w:ascii="Times New Roman" w:eastAsia="方正仿宋_GBK" w:hAnsi="Times New Roman" w:cs="Times New Roman"/>
          <w:sz w:val="32"/>
          <w:szCs w:val="32"/>
        </w:rPr>
        <w:t>渝中区是重庆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两江四岸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核心区、主城都市核心区。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时期，是渝中区全力建设国际化、绿色化、智能化、人</w:t>
      </w:r>
      <w:r>
        <w:rPr>
          <w:rFonts w:ascii="Times New Roman" w:eastAsia="方正仿宋_GBK" w:hAnsi="Times New Roman" w:cs="Times New Roman"/>
          <w:sz w:val="32"/>
          <w:szCs w:val="32"/>
        </w:rPr>
        <w:lastRenderedPageBreak/>
        <w:t>文化的现代都市城区的关键时期，将致力打造建成现代服务业引领区、历史文化传承区、创新开放窗口区、美好城市示范区。这一区域定位必然要求卫生健康事业与之相匹配，进行高标准、高品质、高水平建设发展，为全区发展大局提供优质的医疗卫生服务保障和人口健康素质支撑。</w:t>
      </w:r>
      <w:r>
        <w:rPr>
          <w:rFonts w:ascii="Times New Roman" w:eastAsia="方正仿宋_GBK" w:hAnsi="Times New Roman" w:cs="Times New Roman"/>
          <w:b/>
          <w:bCs/>
          <w:sz w:val="32"/>
          <w:szCs w:val="32"/>
          <w:lang w:val="zh-CN"/>
        </w:rPr>
        <w:t>三是经济高质量发展奠定发展基础。</w:t>
      </w:r>
      <w:r>
        <w:rPr>
          <w:rFonts w:ascii="Times New Roman" w:eastAsia="方正仿宋_GBK" w:hAnsi="Times New Roman" w:cs="Times New Roman"/>
          <w:sz w:val="32"/>
          <w:szCs w:val="32"/>
        </w:rPr>
        <w:t>以新发展理念为引导，我国经济发展全面转入高质量发展轨道，把改善和保障民生、创造高品质生活摆在更突出位置。</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年，渝中区地区生产总值</w:t>
      </w:r>
      <w:r>
        <w:rPr>
          <w:rFonts w:ascii="Times New Roman" w:eastAsia="方正仿宋_GBK" w:hAnsi="Times New Roman" w:cs="Times New Roman"/>
          <w:sz w:val="32"/>
          <w:szCs w:val="32"/>
        </w:rPr>
        <w:t>1358.5</w:t>
      </w:r>
      <w:r>
        <w:rPr>
          <w:rFonts w:ascii="Times New Roman" w:eastAsia="方正仿宋_GBK" w:hAnsi="Times New Roman" w:cs="Times New Roman"/>
          <w:sz w:val="32"/>
          <w:szCs w:val="32"/>
        </w:rPr>
        <w:t>亿元，区级一般公共预算收入</w:t>
      </w:r>
      <w:r>
        <w:rPr>
          <w:rFonts w:ascii="Times New Roman" w:eastAsia="方正仿宋_GBK" w:hAnsi="Times New Roman" w:cs="Times New Roman"/>
          <w:sz w:val="32"/>
          <w:szCs w:val="32"/>
        </w:rPr>
        <w:t>44.1</w:t>
      </w:r>
      <w:r>
        <w:rPr>
          <w:rFonts w:ascii="Times New Roman" w:eastAsia="方正仿宋_GBK" w:hAnsi="Times New Roman" w:cs="Times New Roman"/>
          <w:sz w:val="32"/>
          <w:szCs w:val="32"/>
        </w:rPr>
        <w:t>亿元。经预测，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十四五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时期，渝中区潜在经济增长率可处在</w:t>
      </w:r>
      <w:r>
        <w:rPr>
          <w:rFonts w:ascii="Times New Roman" w:eastAsia="方正仿宋_GBK" w:hAnsi="Times New Roman" w:cs="Times New Roman"/>
          <w:sz w:val="32"/>
          <w:szCs w:val="32"/>
        </w:rPr>
        <w:t>5.4%-6.7%</w:t>
      </w:r>
      <w:r>
        <w:rPr>
          <w:rFonts w:ascii="Times New Roman" w:eastAsia="方正仿宋_GBK" w:hAnsi="Times New Roman" w:cs="Times New Roman"/>
          <w:sz w:val="32"/>
          <w:szCs w:val="32"/>
        </w:rPr>
        <w:t>之间，经济品质、人文品质、生态品质、生活品质将全面提升。全区经济社会整体高质量发展，将为卫生健康事业发展奠定坚实基础。</w:t>
      </w:r>
      <w:r>
        <w:rPr>
          <w:rFonts w:ascii="Times New Roman" w:eastAsia="方正仿宋_GBK" w:hAnsi="Times New Roman" w:cs="Times New Roman"/>
          <w:b/>
          <w:bCs/>
          <w:sz w:val="32"/>
          <w:szCs w:val="32"/>
          <w:lang w:val="zh-CN"/>
        </w:rPr>
        <w:t>四是消费结构升级拓展发展空间。</w:t>
      </w:r>
      <w:r>
        <w:rPr>
          <w:rFonts w:ascii="Times New Roman" w:eastAsia="方正仿宋_GBK" w:hAnsi="Times New Roman" w:cs="Times New Roman"/>
          <w:sz w:val="32"/>
          <w:szCs w:val="32"/>
        </w:rPr>
        <w:t>渝中区</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年居民人均可支配收入</w:t>
      </w:r>
      <w:r>
        <w:rPr>
          <w:rFonts w:ascii="Times New Roman" w:eastAsia="方正仿宋_GBK" w:hAnsi="Times New Roman" w:cs="Times New Roman"/>
          <w:sz w:val="32"/>
          <w:szCs w:val="32"/>
        </w:rPr>
        <w:t>4.7</w:t>
      </w:r>
      <w:r>
        <w:rPr>
          <w:rFonts w:ascii="Times New Roman" w:eastAsia="方正仿宋_GBK" w:hAnsi="Times New Roman" w:cs="Times New Roman"/>
          <w:sz w:val="32"/>
          <w:szCs w:val="32"/>
        </w:rPr>
        <w:t>万元，大健康产业增加值</w:t>
      </w:r>
      <w:r>
        <w:rPr>
          <w:rFonts w:ascii="Times New Roman" w:eastAsia="方正仿宋_GBK" w:hAnsi="Times New Roman" w:cs="Times New Roman"/>
          <w:sz w:val="32"/>
          <w:szCs w:val="32"/>
        </w:rPr>
        <w:t>131.5</w:t>
      </w:r>
      <w:r>
        <w:rPr>
          <w:rFonts w:ascii="Times New Roman" w:eastAsia="方正仿宋_GBK" w:hAnsi="Times New Roman" w:cs="Times New Roman"/>
          <w:sz w:val="32"/>
          <w:szCs w:val="32"/>
        </w:rPr>
        <w:t>亿元，占全区</w:t>
      </w:r>
      <w:r>
        <w:rPr>
          <w:rFonts w:ascii="Times New Roman" w:eastAsia="方正仿宋_GBK" w:hAnsi="Times New Roman" w:cs="Times New Roman"/>
          <w:sz w:val="32"/>
          <w:szCs w:val="32"/>
        </w:rPr>
        <w:t>GDP</w:t>
      </w:r>
      <w:r>
        <w:rPr>
          <w:rFonts w:ascii="Times New Roman" w:eastAsia="方正仿宋_GBK" w:hAnsi="Times New Roman" w:cs="Times New Roman"/>
          <w:sz w:val="32"/>
          <w:szCs w:val="32"/>
        </w:rPr>
        <w:t>的比重达</w:t>
      </w:r>
      <w:r>
        <w:rPr>
          <w:rFonts w:ascii="Times New Roman" w:eastAsia="方正仿宋_GBK" w:hAnsi="Times New Roman" w:cs="Times New Roman"/>
          <w:sz w:val="32"/>
          <w:szCs w:val="32"/>
        </w:rPr>
        <w:t>9.7%</w:t>
      </w:r>
      <w:r>
        <w:rPr>
          <w:rFonts w:ascii="Times New Roman" w:eastAsia="方正仿宋_GBK" w:hAnsi="Times New Roman" w:cs="Times New Roman"/>
          <w:sz w:val="32"/>
          <w:szCs w:val="32"/>
        </w:rPr>
        <w:t>，居民消费能力居于较高水平，健康产业形成支柱产业。随着大力实施扩大内需战略、构建强大国内市场，居民消费将由生存型向发展型、享受型升级，人民群众对健康服务的需求加速释放，必将推动形成与需求结构升级相适应的卫生健康服务体系，为卫生健康事业发展开辟广阔的发展空间。</w:t>
      </w:r>
      <w:r>
        <w:rPr>
          <w:rFonts w:ascii="Times New Roman" w:eastAsia="方正仿宋_GBK" w:hAnsi="Times New Roman" w:cs="Times New Roman"/>
          <w:b/>
          <w:bCs/>
          <w:sz w:val="32"/>
          <w:szCs w:val="32"/>
          <w:lang w:val="zh-CN"/>
        </w:rPr>
        <w:t>五是改革开放与科技创新增强发展动能。</w:t>
      </w:r>
      <w:r>
        <w:rPr>
          <w:rFonts w:ascii="Times New Roman" w:eastAsia="方正仿宋_GBK" w:hAnsi="Times New Roman" w:cs="Times New Roman"/>
          <w:sz w:val="32"/>
          <w:szCs w:val="32"/>
        </w:rPr>
        <w:t>改革开放是坚持和发展中国特色社会主义的必由之路，也是决定实现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两个一百年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奋斗目标的关键一招。医改作为全面深化改革的重要组成部分，会一往</w:t>
      </w:r>
      <w:r>
        <w:rPr>
          <w:rFonts w:ascii="Times New Roman" w:eastAsia="方正仿宋_GBK" w:hAnsi="Times New Roman" w:cs="Times New Roman"/>
          <w:sz w:val="32"/>
          <w:szCs w:val="32"/>
        </w:rPr>
        <w:lastRenderedPageBreak/>
        <w:t>无前将改革进行到底。渝中区建设创新开放窗口区，叠加重庆自贸区、中新示范项目和全力投入成渝地区双城经济圈建设，卫生健康领域开放合作将迈上高水平。同时，</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物联网、人工智能、云计算、大数据等新一代信息技术在卫生健康领域深入渗透和广泛应用，基因技术、精准医疗等医学科技不断创新突破，将为转变卫生健康发展方式、优化整合医疗卫生资源、提高服务质量和效率提供技术支撑，增强发展动能。</w:t>
      </w:r>
    </w:p>
    <w:p w14:paraId="1566E162" w14:textId="77777777" w:rsidR="002D0D6D" w:rsidRDefault="00000000">
      <w:pPr>
        <w:overflowPunct w:val="0"/>
        <w:spacing w:line="620" w:lineRule="exac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26E11B5C"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第三部分</w:t>
      </w:r>
    </w:p>
    <w:p w14:paraId="24E36497"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总体思路：全方位全周期高品质保障人民健康</w:t>
      </w:r>
    </w:p>
    <w:p w14:paraId="4296AD9D" w14:textId="77777777" w:rsidR="002D0D6D" w:rsidRDefault="002D0D6D">
      <w:pPr>
        <w:overflowPunct w:val="0"/>
        <w:spacing w:line="620" w:lineRule="exact"/>
        <w:ind w:firstLine="646"/>
        <w:jc w:val="center"/>
        <w:rPr>
          <w:rFonts w:ascii="Times New Roman" w:eastAsia="黑体" w:hAnsi="Times New Roman" w:cs="Times New Roman"/>
          <w:sz w:val="32"/>
          <w:szCs w:val="32"/>
        </w:rPr>
      </w:pPr>
    </w:p>
    <w:p w14:paraId="298F3D6F"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指导思想。</w:t>
      </w:r>
      <w:r>
        <w:rPr>
          <w:rFonts w:ascii="Times New Roman" w:eastAsia="方正仿宋_GBK" w:hAnsi="Times New Roman" w:cs="Times New Roman"/>
          <w:sz w:val="32"/>
          <w:szCs w:val="32"/>
        </w:rPr>
        <w:t>坚持以习近平新时代中国特色社会主义思想为指导，全面贯彻党的十九大和十九届二中、三中、四中、五中、六中全会精神，紧扣习近平总书记对重庆提出的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定位、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目标、发挥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三个作用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和营造良好政治生态的重要指示要求，认真落实区委区政府决策部署，牢固树立以人民为中心的发展思想，践行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大卫生、大健康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坚持新时代卫生健康工作方针，以增进人民健康福祉为目标，以高质量发展为主题，以提升卫生健康服务能力和水平为核心，以体制机制改革创新为动力，深入实施健康中国渝中行动，加快转变健康领域发展方式，推进治理体系和治理能力现代化，打造公共卫生安全放心区、国家医学中心和国家区域医疗中心核心区、生命周期全程综合健康服务示范区、大健康产业特色发展集聚区、卫生健康行业治理现代化先行区，努力全方位、全周期、高品质维护和促进人民健康，为全区现代化建设进程提供坚实的医疗卫生保障和人口健康素质支撑。</w:t>
      </w:r>
    </w:p>
    <w:p w14:paraId="7734A1F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基本原则。</w:t>
      </w:r>
      <w:r>
        <w:rPr>
          <w:rFonts w:ascii="Times New Roman" w:eastAsia="方正仿宋_GBK" w:hAnsi="Times New Roman" w:cs="Times New Roman"/>
          <w:b/>
          <w:bCs/>
          <w:sz w:val="32"/>
          <w:szCs w:val="32"/>
          <w:lang w:val="zh-CN"/>
        </w:rPr>
        <w:t>坚持以人为本，维护健康公平。</w:t>
      </w:r>
      <w:r>
        <w:rPr>
          <w:rFonts w:ascii="Times New Roman" w:eastAsia="方正仿宋_GBK" w:hAnsi="Times New Roman" w:cs="Times New Roman"/>
          <w:sz w:val="32"/>
          <w:szCs w:val="32"/>
        </w:rPr>
        <w:t>把惠民健康作为根本出发点和落脚点，坚持医疗卫生的公益性质，将基本医疗卫生制度作为公共产品向全体居民提供，不断提高卫生健康服务的质量和效率，使全体居民共享改革发展成果，享有</w:t>
      </w:r>
      <w:r>
        <w:rPr>
          <w:rFonts w:ascii="Times New Roman" w:eastAsia="方正仿宋_GBK" w:hAnsi="Times New Roman" w:cs="Times New Roman"/>
          <w:sz w:val="32"/>
          <w:szCs w:val="32"/>
        </w:rPr>
        <w:lastRenderedPageBreak/>
        <w:t>与经济社会发展水平相适应的健康服务水平。</w:t>
      </w:r>
      <w:r>
        <w:rPr>
          <w:rFonts w:ascii="Times New Roman" w:eastAsia="方正仿宋_GBK" w:hAnsi="Times New Roman" w:cs="Times New Roman"/>
          <w:b/>
          <w:bCs/>
          <w:sz w:val="32"/>
          <w:szCs w:val="32"/>
          <w:lang w:val="zh-CN"/>
        </w:rPr>
        <w:t>坚持政府主导，实行多元并举。</w:t>
      </w:r>
      <w:r>
        <w:rPr>
          <w:rFonts w:ascii="Times New Roman" w:eastAsia="方正仿宋_GBK" w:hAnsi="Times New Roman" w:cs="Times New Roman"/>
          <w:sz w:val="32"/>
          <w:szCs w:val="32"/>
        </w:rPr>
        <w:t>落实政府在基本医疗卫生服务领域的领导、保障、管理、监督责任，增强市场在非基本医疗卫生服务领域的活力，更好发挥政府统筹引导、兜底保障作用和市场对资源配置的决定性作用，调动全社会积极性，推动人人参与、人人尽力、人人享有，实现全民健康。</w:t>
      </w:r>
      <w:r>
        <w:rPr>
          <w:rFonts w:ascii="Times New Roman" w:eastAsia="方正仿宋_GBK" w:hAnsi="Times New Roman" w:cs="Times New Roman"/>
          <w:b/>
          <w:bCs/>
          <w:sz w:val="32"/>
          <w:szCs w:val="32"/>
          <w:lang w:val="zh-CN"/>
        </w:rPr>
        <w:t>坚持统筹兼顾，促进协同高效。</w:t>
      </w:r>
      <w:r>
        <w:rPr>
          <w:rFonts w:ascii="Times New Roman" w:eastAsia="方正仿宋_GBK" w:hAnsi="Times New Roman" w:cs="Times New Roman"/>
          <w:sz w:val="32"/>
          <w:szCs w:val="32"/>
        </w:rPr>
        <w:t>加大统筹协调力度，整合优化健康资源配置的布局、结构，增量资源重点向基层倾斜，健全强化多方协同联动运行机制，构建整合型医疗卫生服务体系。把握健康领域发展规律，处理好区域与区属、预防与医疗、基本与高端、中医与西医等重大关系，不断增强卫生健康发展的整体性、均衡性和协调性，走质量效益型绿色集约式发展路子。</w:t>
      </w:r>
      <w:r>
        <w:rPr>
          <w:rFonts w:ascii="Times New Roman" w:eastAsia="方正仿宋_GBK" w:hAnsi="Times New Roman" w:cs="Times New Roman"/>
          <w:sz w:val="32"/>
          <w:szCs w:val="32"/>
        </w:rPr>
        <w:t xml:space="preserve"> </w:t>
      </w:r>
      <w:r>
        <w:rPr>
          <w:rFonts w:ascii="Times New Roman" w:eastAsia="方正仿宋_GBK" w:hAnsi="Times New Roman" w:cs="Times New Roman"/>
          <w:b/>
          <w:bCs/>
          <w:sz w:val="32"/>
          <w:szCs w:val="32"/>
          <w:lang w:val="zh-CN"/>
        </w:rPr>
        <w:t>坚持改革创新，推进持续发展。</w:t>
      </w:r>
      <w:r>
        <w:rPr>
          <w:rFonts w:ascii="Times New Roman" w:eastAsia="方正仿宋_GBK" w:hAnsi="Times New Roman" w:cs="Times New Roman"/>
          <w:sz w:val="32"/>
          <w:szCs w:val="32"/>
        </w:rPr>
        <w:t>始终坚持问题导向、目标导向、结果导向，以改革的办法破解发展的痛点、难点、堵点，积极推进卫生健康领域科技创新、制度创新、服务模式等创新，多做有利于打基础、利长远工作，扫除束缚阻碍发展的障碍，促进卫生健康事业可持续发展。</w:t>
      </w:r>
      <w:r>
        <w:rPr>
          <w:rFonts w:ascii="Times New Roman" w:eastAsia="方正仿宋_GBK" w:hAnsi="Times New Roman" w:cs="Times New Roman"/>
          <w:b/>
          <w:bCs/>
          <w:sz w:val="32"/>
          <w:szCs w:val="32"/>
          <w:lang w:val="zh-CN"/>
        </w:rPr>
        <w:t>坚持稳中求进，做到积极有为。</w:t>
      </w:r>
      <w:r>
        <w:rPr>
          <w:rFonts w:ascii="Times New Roman" w:eastAsia="方正仿宋_GBK" w:hAnsi="Times New Roman" w:cs="Times New Roman"/>
          <w:sz w:val="32"/>
          <w:szCs w:val="32"/>
        </w:rPr>
        <w:t>以稳中求进为工作总基调，提高政治站位，服务发展大局，全面加强党的领导，凝聚发展卫生健康事业的强大力量。着力求实重效，采取针对性、操作性强的措施，突出优先领域，实行重点突破，稳扎稳打，以实干实绩让群众获得感、幸福感、安全感更加充实。</w:t>
      </w:r>
    </w:p>
    <w:p w14:paraId="3935737E" w14:textId="77777777" w:rsidR="002D0D6D" w:rsidRDefault="00000000">
      <w:pPr>
        <w:tabs>
          <w:tab w:val="left" w:pos="4536"/>
        </w:tabs>
        <w:overflowPunct w:val="0"/>
        <w:snapToGrid w:val="0"/>
        <w:spacing w:line="6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rPr>
        <w:t>发展目标。</w:t>
      </w:r>
      <w:r>
        <w:rPr>
          <w:rFonts w:ascii="Times New Roman" w:eastAsia="方正仿宋_GBK" w:hAnsi="Times New Roman" w:cs="Times New Roman"/>
          <w:sz w:val="32"/>
          <w:szCs w:val="32"/>
        </w:rPr>
        <w:t>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年，与全区国际化、绿色化、智</w:t>
      </w:r>
      <w:r>
        <w:rPr>
          <w:rFonts w:ascii="Times New Roman" w:eastAsia="方正仿宋_GBK" w:hAnsi="Times New Roman" w:cs="Times New Roman"/>
          <w:sz w:val="32"/>
          <w:szCs w:val="32"/>
        </w:rPr>
        <w:lastRenderedPageBreak/>
        <w:t>能化、人文化的现代都市城区建设和经济社会发展相匹配，形成高标准卫生健康服务体系，具有高水平卫生健康服务能力，居民享有全方位全周期高品质健康服务，卫生健康事业全面高质量发展，基本建成公共卫生安全放心区、国家医学中心和国家区域医疗中心核心区、生命周期全程综合健康服务示范区、大健康产业特色发展集聚区、卫生健康行业治理现代化先行区，居民健康指标、医疗卫生资源、医学科技水平、辐射带动作用等在全市领先、紧跟国内发达城市中心城区水平。</w:t>
      </w:r>
    </w:p>
    <w:p w14:paraId="529C73A0" w14:textId="77777777" w:rsidR="002D0D6D" w:rsidRDefault="00000000">
      <w:pPr>
        <w:overflowPunct w:val="0"/>
        <w:spacing w:line="620" w:lineRule="exact"/>
        <w:ind w:firstLine="646"/>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zh-CN"/>
        </w:rPr>
        <w:t>居民健康指标持续领先。</w:t>
      </w:r>
      <w:r>
        <w:rPr>
          <w:rFonts w:ascii="Times New Roman" w:eastAsia="方正仿宋_GBK" w:hAnsi="Times New Roman" w:cs="Times New Roman"/>
          <w:sz w:val="32"/>
          <w:szCs w:val="32"/>
        </w:rPr>
        <w:t>人人享有优质基本卫生健康服务，适龄儿童免疫规划疫苗接种率＞</w:t>
      </w:r>
      <w:r>
        <w:rPr>
          <w:rFonts w:ascii="Times New Roman" w:eastAsia="方正仿宋_GBK" w:hAnsi="Times New Roman" w:cs="Times New Roman"/>
          <w:sz w:val="32"/>
          <w:szCs w:val="32"/>
        </w:rPr>
        <w:t>95%</w:t>
      </w:r>
      <w:r>
        <w:rPr>
          <w:rFonts w:ascii="Times New Roman" w:eastAsia="方正仿宋_GBK" w:hAnsi="Times New Roman" w:cs="Times New Roman"/>
          <w:sz w:val="32"/>
          <w:szCs w:val="32"/>
        </w:rPr>
        <w:t>，居民健康素养水平达</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，重大慢性病过早死亡率比控制在</w:t>
      </w:r>
      <w:r>
        <w:rPr>
          <w:rFonts w:ascii="Times New Roman" w:eastAsia="方正仿宋_GBK" w:hAnsi="Times New Roman" w:cs="Times New Roman"/>
          <w:sz w:val="32"/>
          <w:szCs w:val="32"/>
        </w:rPr>
        <w:t>13.5%</w:t>
      </w:r>
      <w:r>
        <w:rPr>
          <w:rFonts w:ascii="Times New Roman" w:eastAsia="方正仿宋_GBK" w:hAnsi="Times New Roman" w:cs="Times New Roman"/>
          <w:sz w:val="32"/>
          <w:szCs w:val="32"/>
        </w:rPr>
        <w:t>以下，人均期望寿命达</w:t>
      </w:r>
      <w:r>
        <w:rPr>
          <w:rFonts w:ascii="Times New Roman" w:eastAsia="方正仿宋_GBK" w:hAnsi="Times New Roman" w:cs="Times New Roman"/>
          <w:sz w:val="32"/>
          <w:szCs w:val="32"/>
        </w:rPr>
        <w:t>81</w:t>
      </w:r>
      <w:r>
        <w:rPr>
          <w:rFonts w:ascii="Times New Roman" w:eastAsia="方正仿宋_GBK" w:hAnsi="Times New Roman" w:cs="Times New Roman"/>
          <w:sz w:val="32"/>
          <w:szCs w:val="32"/>
        </w:rPr>
        <w:t>岁以上，孕产妇死亡率、婴儿死亡率分别控制在</w:t>
      </w:r>
      <w:r>
        <w:rPr>
          <w:rFonts w:ascii="Times New Roman" w:eastAsia="方正仿宋_GBK" w:hAnsi="Times New Roman" w:cs="Times New Roman"/>
          <w:sz w:val="32"/>
          <w:szCs w:val="32"/>
        </w:rPr>
        <w:t>10/10</w:t>
      </w:r>
      <w:r>
        <w:rPr>
          <w:rFonts w:ascii="Times New Roman" w:eastAsia="方正仿宋_GBK" w:hAnsi="Times New Roman" w:cs="Times New Roman"/>
          <w:sz w:val="32"/>
          <w:szCs w:val="32"/>
        </w:rPr>
        <w:t>万、</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以下。</w:t>
      </w:r>
    </w:p>
    <w:p w14:paraId="570CAC92" w14:textId="77777777" w:rsidR="002D0D6D" w:rsidRDefault="00000000">
      <w:pPr>
        <w:overflowPunct w:val="0"/>
        <w:spacing w:line="620" w:lineRule="exact"/>
        <w:ind w:firstLineChars="224" w:firstLine="717"/>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zh-CN"/>
        </w:rPr>
        <w:t>医疗卫生资源持续领先。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医院数量、高层次医学专业人才数量保持全市首位，每千常住人口床位</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张以上、卫生技术人员</w:t>
      </w:r>
      <w:r>
        <w:rPr>
          <w:rFonts w:ascii="Times New Roman" w:eastAsia="方正仿宋_GBK" w:hAnsi="Times New Roman" w:cs="Times New Roman"/>
          <w:sz w:val="32"/>
          <w:szCs w:val="32"/>
        </w:rPr>
        <w:t>34.5</w:t>
      </w:r>
      <w:r>
        <w:rPr>
          <w:rFonts w:ascii="Times New Roman" w:eastAsia="方正仿宋_GBK" w:hAnsi="Times New Roman" w:cs="Times New Roman"/>
          <w:sz w:val="32"/>
          <w:szCs w:val="32"/>
        </w:rPr>
        <w:t>人以上、执业（助理）医师</w:t>
      </w:r>
      <w:r>
        <w:rPr>
          <w:rFonts w:ascii="Times New Roman" w:eastAsia="方正仿宋_GBK" w:hAnsi="Times New Roman" w:cs="Times New Roman"/>
          <w:sz w:val="32"/>
          <w:szCs w:val="32"/>
        </w:rPr>
        <w:t>11.5</w:t>
      </w:r>
      <w:r>
        <w:rPr>
          <w:rFonts w:ascii="Times New Roman" w:eastAsia="方正仿宋_GBK" w:hAnsi="Times New Roman" w:cs="Times New Roman"/>
          <w:sz w:val="32"/>
          <w:szCs w:val="32"/>
        </w:rPr>
        <w:t>人以上、注册护士</w:t>
      </w:r>
      <w:r>
        <w:rPr>
          <w:rFonts w:ascii="Times New Roman" w:eastAsia="方正仿宋_GBK" w:hAnsi="Times New Roman" w:cs="Times New Roman"/>
          <w:sz w:val="32"/>
          <w:szCs w:val="32"/>
        </w:rPr>
        <w:t>19.75</w:t>
      </w:r>
      <w:r>
        <w:rPr>
          <w:rFonts w:ascii="Times New Roman" w:eastAsia="方正仿宋_GBK" w:hAnsi="Times New Roman" w:cs="Times New Roman"/>
          <w:sz w:val="32"/>
          <w:szCs w:val="32"/>
        </w:rPr>
        <w:t>人以上，每万常住人口全科医生</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名以上。</w:t>
      </w:r>
    </w:p>
    <w:p w14:paraId="1C454903" w14:textId="77777777" w:rsidR="002D0D6D" w:rsidRDefault="00000000">
      <w:pPr>
        <w:overflowPunct w:val="0"/>
        <w:spacing w:line="620" w:lineRule="exact"/>
        <w:ind w:firstLineChars="224" w:firstLine="717"/>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zh-CN"/>
        </w:rPr>
        <w:t>医学科技水平持续领先。</w:t>
      </w:r>
      <w:r>
        <w:rPr>
          <w:rFonts w:ascii="Times New Roman" w:eastAsia="方正仿宋_GBK" w:hAnsi="Times New Roman" w:cs="Times New Roman"/>
          <w:sz w:val="32"/>
          <w:szCs w:val="32"/>
        </w:rPr>
        <w:t>创建国家区域医疗中心</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个，国家重点临床专科、重点实验室</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个，开展国家自然科学基金研究项目</w:t>
      </w:r>
      <w:r>
        <w:rPr>
          <w:rFonts w:ascii="Times New Roman" w:eastAsia="方正仿宋_GBK" w:hAnsi="Times New Roman" w:cs="Times New Roman"/>
          <w:sz w:val="32"/>
          <w:szCs w:val="32"/>
        </w:rPr>
        <w:t>180</w:t>
      </w:r>
      <w:r>
        <w:rPr>
          <w:rFonts w:ascii="Times New Roman" w:eastAsia="方正仿宋_GBK" w:hAnsi="Times New Roman" w:cs="Times New Roman"/>
          <w:sz w:val="32"/>
          <w:szCs w:val="32"/>
        </w:rPr>
        <w:t>项左右，高精尖医疗设备齐全，涌现一批医学科技创新与转化成果。</w:t>
      </w:r>
    </w:p>
    <w:p w14:paraId="290EC81D" w14:textId="77777777" w:rsidR="002D0D6D" w:rsidRDefault="00000000">
      <w:pPr>
        <w:overflowPunct w:val="0"/>
        <w:spacing w:line="620" w:lineRule="exact"/>
        <w:ind w:firstLineChars="224" w:firstLine="717"/>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val="zh-CN"/>
        </w:rPr>
        <w:t>辐射带动作用持续领先。</w:t>
      </w:r>
      <w:r>
        <w:rPr>
          <w:rFonts w:ascii="Times New Roman" w:eastAsia="方正仿宋_GBK" w:hAnsi="Times New Roman" w:cs="Times New Roman"/>
          <w:sz w:val="32"/>
          <w:szCs w:val="32"/>
        </w:rPr>
        <w:t>年均可提供门诊服务</w:t>
      </w:r>
      <w:r>
        <w:rPr>
          <w:rFonts w:ascii="Times New Roman" w:eastAsia="方正仿宋_GBK" w:hAnsi="Times New Roman" w:cs="Times New Roman"/>
          <w:sz w:val="32"/>
          <w:szCs w:val="32"/>
        </w:rPr>
        <w:t>1500</w:t>
      </w:r>
      <w:r>
        <w:rPr>
          <w:rFonts w:ascii="Times New Roman" w:eastAsia="方正仿宋_GBK" w:hAnsi="Times New Roman" w:cs="Times New Roman"/>
          <w:sz w:val="32"/>
          <w:szCs w:val="32"/>
        </w:rPr>
        <w:t>万人</w:t>
      </w:r>
      <w:r>
        <w:rPr>
          <w:rFonts w:ascii="Times New Roman" w:eastAsia="方正仿宋_GBK" w:hAnsi="Times New Roman" w:cs="Times New Roman"/>
          <w:sz w:val="32"/>
          <w:szCs w:val="32"/>
        </w:rPr>
        <w:lastRenderedPageBreak/>
        <w:t>次以上，住院服务</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万人以上，市外病人就诊比例占到</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以上，培养培训全市及市外医务人员近万人，健康产业规上企业新增</w:t>
      </w:r>
      <w:r>
        <w:rPr>
          <w:rFonts w:ascii="Times New Roman" w:eastAsia="方正仿宋_GBK" w:hAnsi="Times New Roman" w:cs="Times New Roman"/>
          <w:sz w:val="32"/>
          <w:szCs w:val="32"/>
        </w:rPr>
        <w:t>80</w:t>
      </w:r>
      <w:r>
        <w:rPr>
          <w:rFonts w:ascii="Times New Roman" w:eastAsia="方正仿宋_GBK" w:hAnsi="Times New Roman" w:cs="Times New Roman"/>
          <w:sz w:val="32"/>
          <w:szCs w:val="32"/>
        </w:rPr>
        <w:t>家以上，产业总规模达</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亿元左右。</w:t>
      </w:r>
    </w:p>
    <w:p w14:paraId="371FDA13" w14:textId="77777777" w:rsidR="002D0D6D" w:rsidRDefault="00000000">
      <w:pPr>
        <w:overflowPunct w:val="0"/>
        <w:spacing w:line="620" w:lineRule="exact"/>
        <w:ind w:firstLineChars="224" w:firstLine="717"/>
        <w:rPr>
          <w:rFonts w:ascii="Times New Roman" w:eastAsia="方正仿宋_GBK" w:hAnsi="Times New Roman" w:cs="Times New Roman"/>
          <w:sz w:val="32"/>
          <w:szCs w:val="32"/>
        </w:rPr>
      </w:pPr>
      <w:r>
        <w:rPr>
          <w:rFonts w:ascii="Times New Roman" w:eastAsia="方正仿宋_GBK" w:hAnsi="Times New Roman" w:cs="Times New Roman"/>
          <w:sz w:val="32"/>
          <w:szCs w:val="32"/>
        </w:rPr>
        <w:t>展望</w:t>
      </w:r>
      <w:r>
        <w:rPr>
          <w:rFonts w:ascii="Times New Roman" w:eastAsia="方正仿宋_GBK" w:hAnsi="Times New Roman" w:cs="Times New Roman"/>
          <w:sz w:val="32"/>
          <w:szCs w:val="32"/>
        </w:rPr>
        <w:t>2035</w:t>
      </w:r>
      <w:r>
        <w:rPr>
          <w:rFonts w:ascii="Times New Roman" w:eastAsia="方正仿宋_GBK" w:hAnsi="Times New Roman" w:cs="Times New Roman"/>
          <w:sz w:val="32"/>
          <w:szCs w:val="32"/>
        </w:rPr>
        <w:t>年，与全区基本实现社会主义现代化相适应，医疗卫生健康服务体系基本实现现代化，卫生健康事业持续高质量发展，人民对美好生活的高品质健康需求得到有效满足，全民健康素质达到新高度，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健康中国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战略在渝中大地谱写新的篇章。</w:t>
      </w:r>
    </w:p>
    <w:p w14:paraId="5BFDE710" w14:textId="77777777" w:rsidR="002D0D6D" w:rsidRDefault="00000000">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14:paraId="36963AB0" w14:textId="77777777" w:rsidR="002D0D6D" w:rsidRDefault="00000000">
      <w:pPr>
        <w:spacing w:line="62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lastRenderedPageBreak/>
        <w:t>渝中区卫生健康事业十四五发展规划指标表</w:t>
      </w:r>
    </w:p>
    <w:p w14:paraId="3C563EAA" w14:textId="77777777" w:rsidR="002D0D6D" w:rsidRDefault="002D0D6D">
      <w:pPr>
        <w:pStyle w:val="a4"/>
        <w:spacing w:after="0" w:line="620" w:lineRule="exact"/>
        <w:jc w:val="center"/>
        <w:rPr>
          <w:rFonts w:ascii="方正仿宋_GBK" w:eastAsia="方正仿宋_GBK" w:hAnsi="方正仿宋_GBK" w:cs="方正仿宋_GBK" w:hint="eastAsia"/>
          <w:sz w:val="32"/>
          <w:szCs w:val="32"/>
        </w:rPr>
      </w:pP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56"/>
        <w:gridCol w:w="5004"/>
        <w:gridCol w:w="765"/>
        <w:gridCol w:w="1155"/>
        <w:gridCol w:w="1185"/>
      </w:tblGrid>
      <w:tr w:rsidR="002D0D6D" w14:paraId="6B4F0D68" w14:textId="77777777">
        <w:trPr>
          <w:trHeight w:val="454"/>
          <w:jc w:val="center"/>
        </w:trPr>
        <w:tc>
          <w:tcPr>
            <w:tcW w:w="656" w:type="dxa"/>
            <w:shd w:val="clear" w:color="auto" w:fill="auto"/>
            <w:vAlign w:val="center"/>
          </w:tcPr>
          <w:p w14:paraId="53AED999" w14:textId="77777777" w:rsidR="002D0D6D" w:rsidRDefault="00000000">
            <w:pPr>
              <w:spacing w:line="0" w:lineRule="atLeast"/>
              <w:jc w:val="center"/>
              <w:rPr>
                <w:rFonts w:ascii="Times New Roman" w:eastAsia="方正黑体_GBK" w:hAnsi="Times New Roman" w:cs="Times New Roman"/>
                <w:bCs/>
                <w:szCs w:val="21"/>
              </w:rPr>
            </w:pPr>
            <w:r>
              <w:rPr>
                <w:rFonts w:ascii="Times New Roman" w:eastAsia="方正黑体_GBK" w:hAnsi="Times New Roman" w:cs="Times New Roman"/>
                <w:bCs/>
                <w:szCs w:val="21"/>
              </w:rPr>
              <w:t>序号</w:t>
            </w:r>
          </w:p>
        </w:tc>
        <w:tc>
          <w:tcPr>
            <w:tcW w:w="5004" w:type="dxa"/>
            <w:shd w:val="clear" w:color="auto" w:fill="auto"/>
            <w:vAlign w:val="center"/>
          </w:tcPr>
          <w:p w14:paraId="75DE9440" w14:textId="77777777" w:rsidR="002D0D6D" w:rsidRDefault="00000000">
            <w:pPr>
              <w:spacing w:line="0" w:lineRule="atLeast"/>
              <w:jc w:val="center"/>
              <w:rPr>
                <w:rFonts w:ascii="Times New Roman" w:eastAsia="方正黑体_GBK" w:hAnsi="Times New Roman" w:cs="Times New Roman"/>
                <w:bCs/>
                <w:szCs w:val="21"/>
              </w:rPr>
            </w:pPr>
            <w:r>
              <w:rPr>
                <w:rFonts w:ascii="Times New Roman" w:eastAsia="方正黑体_GBK" w:hAnsi="Times New Roman" w:cs="Times New Roman"/>
                <w:bCs/>
                <w:szCs w:val="21"/>
              </w:rPr>
              <w:t>指标</w:t>
            </w:r>
          </w:p>
        </w:tc>
        <w:tc>
          <w:tcPr>
            <w:tcW w:w="765" w:type="dxa"/>
            <w:shd w:val="clear" w:color="auto" w:fill="auto"/>
            <w:vAlign w:val="center"/>
          </w:tcPr>
          <w:p w14:paraId="76EA5B00" w14:textId="77777777" w:rsidR="002D0D6D" w:rsidRDefault="00000000">
            <w:pPr>
              <w:spacing w:line="0" w:lineRule="atLeast"/>
              <w:jc w:val="center"/>
              <w:rPr>
                <w:rFonts w:ascii="Times New Roman" w:eastAsia="方正黑体_GBK" w:hAnsi="Times New Roman" w:cs="Times New Roman"/>
                <w:bCs/>
                <w:szCs w:val="21"/>
              </w:rPr>
            </w:pPr>
            <w:r>
              <w:rPr>
                <w:rFonts w:ascii="Times New Roman" w:eastAsia="方正黑体_GBK" w:hAnsi="Times New Roman" w:cs="Times New Roman"/>
                <w:bCs/>
                <w:szCs w:val="21"/>
              </w:rPr>
              <w:t>单位</w:t>
            </w:r>
          </w:p>
        </w:tc>
        <w:tc>
          <w:tcPr>
            <w:tcW w:w="1155" w:type="dxa"/>
            <w:shd w:val="clear" w:color="auto" w:fill="auto"/>
            <w:vAlign w:val="center"/>
          </w:tcPr>
          <w:p w14:paraId="17B203AB" w14:textId="77777777" w:rsidR="002D0D6D" w:rsidRDefault="00000000">
            <w:pPr>
              <w:spacing w:line="0" w:lineRule="atLeast"/>
              <w:jc w:val="center"/>
              <w:rPr>
                <w:rFonts w:ascii="Times New Roman" w:eastAsia="方正黑体_GBK" w:hAnsi="Times New Roman" w:cs="Times New Roman"/>
                <w:bCs/>
                <w:spacing w:val="-6"/>
                <w:szCs w:val="21"/>
              </w:rPr>
            </w:pPr>
            <w:r>
              <w:rPr>
                <w:rFonts w:ascii="Times New Roman" w:eastAsia="方正黑体_GBK" w:hAnsi="Times New Roman" w:cs="Times New Roman"/>
                <w:bCs/>
                <w:spacing w:val="-6"/>
                <w:szCs w:val="21"/>
              </w:rPr>
              <w:t>2020</w:t>
            </w:r>
            <w:r>
              <w:rPr>
                <w:rFonts w:ascii="Times New Roman" w:eastAsia="方正黑体_GBK" w:hAnsi="Times New Roman" w:cs="Times New Roman"/>
                <w:bCs/>
                <w:spacing w:val="-6"/>
                <w:szCs w:val="21"/>
              </w:rPr>
              <w:t>年基数</w:t>
            </w:r>
          </w:p>
        </w:tc>
        <w:tc>
          <w:tcPr>
            <w:tcW w:w="1185" w:type="dxa"/>
            <w:shd w:val="clear" w:color="auto" w:fill="auto"/>
            <w:vAlign w:val="center"/>
          </w:tcPr>
          <w:p w14:paraId="2343638E" w14:textId="77777777" w:rsidR="002D0D6D" w:rsidRDefault="00000000">
            <w:pPr>
              <w:spacing w:line="0" w:lineRule="atLeast"/>
              <w:jc w:val="center"/>
              <w:rPr>
                <w:rFonts w:ascii="Times New Roman" w:eastAsia="方正黑体_GBK" w:hAnsi="Times New Roman" w:cs="Times New Roman"/>
                <w:bCs/>
                <w:spacing w:val="-6"/>
                <w:szCs w:val="21"/>
              </w:rPr>
            </w:pPr>
            <w:r>
              <w:rPr>
                <w:rFonts w:ascii="Times New Roman" w:eastAsia="方正黑体_GBK" w:hAnsi="Times New Roman" w:cs="Times New Roman"/>
                <w:bCs/>
                <w:spacing w:val="-6"/>
                <w:szCs w:val="21"/>
              </w:rPr>
              <w:t>2025</w:t>
            </w:r>
            <w:r>
              <w:rPr>
                <w:rFonts w:ascii="Times New Roman" w:eastAsia="方正黑体_GBK" w:hAnsi="Times New Roman" w:cs="Times New Roman"/>
                <w:bCs/>
                <w:spacing w:val="-6"/>
                <w:szCs w:val="21"/>
              </w:rPr>
              <w:t>年目标</w:t>
            </w:r>
          </w:p>
        </w:tc>
      </w:tr>
      <w:tr w:rsidR="002D0D6D" w14:paraId="50BC7B8E" w14:textId="77777777">
        <w:trPr>
          <w:trHeight w:val="454"/>
          <w:jc w:val="center"/>
        </w:trPr>
        <w:tc>
          <w:tcPr>
            <w:tcW w:w="656" w:type="dxa"/>
            <w:shd w:val="clear" w:color="auto" w:fill="auto"/>
            <w:vAlign w:val="center"/>
          </w:tcPr>
          <w:p w14:paraId="52C25248"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w:t>
            </w:r>
          </w:p>
        </w:tc>
        <w:tc>
          <w:tcPr>
            <w:tcW w:w="5004" w:type="dxa"/>
            <w:shd w:val="clear" w:color="auto" w:fill="auto"/>
            <w:vAlign w:val="center"/>
          </w:tcPr>
          <w:p w14:paraId="03DB659B"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人口平均预期寿命</w:t>
            </w:r>
          </w:p>
        </w:tc>
        <w:tc>
          <w:tcPr>
            <w:tcW w:w="765" w:type="dxa"/>
            <w:shd w:val="clear" w:color="auto" w:fill="auto"/>
            <w:vAlign w:val="center"/>
          </w:tcPr>
          <w:p w14:paraId="12D5AFC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岁</w:t>
            </w:r>
          </w:p>
        </w:tc>
        <w:tc>
          <w:tcPr>
            <w:tcW w:w="1155" w:type="dxa"/>
            <w:shd w:val="clear" w:color="auto" w:fill="auto"/>
            <w:vAlign w:val="center"/>
          </w:tcPr>
          <w:p w14:paraId="2AC5D956"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80.78</w:t>
            </w:r>
          </w:p>
        </w:tc>
        <w:tc>
          <w:tcPr>
            <w:tcW w:w="1185" w:type="dxa"/>
            <w:shd w:val="clear" w:color="auto" w:fill="auto"/>
            <w:vAlign w:val="center"/>
          </w:tcPr>
          <w:p w14:paraId="032F82E0"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81</w:t>
            </w:r>
          </w:p>
        </w:tc>
      </w:tr>
      <w:tr w:rsidR="002D0D6D" w14:paraId="1FDFCB06" w14:textId="77777777">
        <w:trPr>
          <w:trHeight w:val="454"/>
          <w:jc w:val="center"/>
        </w:trPr>
        <w:tc>
          <w:tcPr>
            <w:tcW w:w="656" w:type="dxa"/>
            <w:shd w:val="clear" w:color="auto" w:fill="auto"/>
            <w:vAlign w:val="center"/>
          </w:tcPr>
          <w:p w14:paraId="69DCC88F"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2</w:t>
            </w:r>
          </w:p>
        </w:tc>
        <w:tc>
          <w:tcPr>
            <w:tcW w:w="5004" w:type="dxa"/>
            <w:shd w:val="clear" w:color="auto" w:fill="auto"/>
            <w:vAlign w:val="center"/>
          </w:tcPr>
          <w:p w14:paraId="5606FBDA"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孕产妇死亡率</w:t>
            </w:r>
          </w:p>
        </w:tc>
        <w:tc>
          <w:tcPr>
            <w:tcW w:w="765" w:type="dxa"/>
            <w:shd w:val="clear" w:color="auto" w:fill="auto"/>
            <w:vAlign w:val="center"/>
          </w:tcPr>
          <w:p w14:paraId="64F8B53B"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1/10</w:t>
            </w:r>
            <w:r>
              <w:rPr>
                <w:rFonts w:ascii="Times New Roman" w:eastAsia="方正仿宋_GBK" w:hAnsi="Times New Roman" w:cs="Times New Roman"/>
                <w:szCs w:val="21"/>
              </w:rPr>
              <w:t>万</w:t>
            </w:r>
          </w:p>
        </w:tc>
        <w:tc>
          <w:tcPr>
            <w:tcW w:w="1155" w:type="dxa"/>
            <w:shd w:val="clear" w:color="auto" w:fill="auto"/>
            <w:vAlign w:val="center"/>
          </w:tcPr>
          <w:p w14:paraId="344D8CE0"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0</w:t>
            </w:r>
          </w:p>
        </w:tc>
        <w:tc>
          <w:tcPr>
            <w:tcW w:w="1185" w:type="dxa"/>
            <w:shd w:val="clear" w:color="auto" w:fill="auto"/>
            <w:vAlign w:val="center"/>
          </w:tcPr>
          <w:p w14:paraId="1E222B31"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hint="eastAsia"/>
                <w:szCs w:val="21"/>
              </w:rPr>
              <w:t>≤</w:t>
            </w:r>
            <w:r>
              <w:rPr>
                <w:rFonts w:ascii="Times New Roman" w:eastAsia="方正仿宋_GBK" w:hAnsi="Times New Roman" w:cs="Times New Roman"/>
                <w:szCs w:val="21"/>
              </w:rPr>
              <w:t>10</w:t>
            </w:r>
          </w:p>
        </w:tc>
      </w:tr>
      <w:tr w:rsidR="002D0D6D" w14:paraId="28536B0E" w14:textId="77777777">
        <w:trPr>
          <w:trHeight w:val="454"/>
          <w:jc w:val="center"/>
        </w:trPr>
        <w:tc>
          <w:tcPr>
            <w:tcW w:w="656" w:type="dxa"/>
            <w:shd w:val="clear" w:color="auto" w:fill="auto"/>
            <w:vAlign w:val="center"/>
          </w:tcPr>
          <w:p w14:paraId="677C5EF3"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w:t>
            </w:r>
          </w:p>
        </w:tc>
        <w:tc>
          <w:tcPr>
            <w:tcW w:w="5004" w:type="dxa"/>
            <w:shd w:val="clear" w:color="auto" w:fill="auto"/>
            <w:vAlign w:val="center"/>
          </w:tcPr>
          <w:p w14:paraId="29536BD7"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婴儿死亡率</w:t>
            </w:r>
          </w:p>
        </w:tc>
        <w:tc>
          <w:tcPr>
            <w:tcW w:w="765" w:type="dxa"/>
            <w:shd w:val="clear" w:color="auto" w:fill="auto"/>
            <w:vAlign w:val="center"/>
          </w:tcPr>
          <w:p w14:paraId="005CEF9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086087EB"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1.28</w:t>
            </w:r>
          </w:p>
        </w:tc>
        <w:tc>
          <w:tcPr>
            <w:tcW w:w="1185" w:type="dxa"/>
            <w:shd w:val="clear" w:color="auto" w:fill="auto"/>
            <w:vAlign w:val="center"/>
          </w:tcPr>
          <w:p w14:paraId="7A4AF2D9"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3</w:t>
            </w:r>
          </w:p>
        </w:tc>
      </w:tr>
      <w:tr w:rsidR="002D0D6D" w14:paraId="0CD4FCA5" w14:textId="77777777">
        <w:trPr>
          <w:trHeight w:val="454"/>
          <w:jc w:val="center"/>
        </w:trPr>
        <w:tc>
          <w:tcPr>
            <w:tcW w:w="656" w:type="dxa"/>
            <w:shd w:val="clear" w:color="auto" w:fill="auto"/>
            <w:vAlign w:val="center"/>
          </w:tcPr>
          <w:p w14:paraId="233EC8F0"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4</w:t>
            </w:r>
          </w:p>
        </w:tc>
        <w:tc>
          <w:tcPr>
            <w:tcW w:w="5004" w:type="dxa"/>
            <w:shd w:val="clear" w:color="auto" w:fill="auto"/>
            <w:vAlign w:val="center"/>
          </w:tcPr>
          <w:p w14:paraId="3AAF524A"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5</w:t>
            </w:r>
            <w:r>
              <w:rPr>
                <w:rFonts w:ascii="Times New Roman" w:eastAsia="方正仿宋_GBK" w:hAnsi="Times New Roman" w:cs="Times New Roman"/>
                <w:szCs w:val="21"/>
              </w:rPr>
              <w:t>岁以下儿童死亡率</w:t>
            </w:r>
          </w:p>
        </w:tc>
        <w:tc>
          <w:tcPr>
            <w:tcW w:w="765" w:type="dxa"/>
            <w:shd w:val="clear" w:color="auto" w:fill="auto"/>
            <w:vAlign w:val="center"/>
          </w:tcPr>
          <w:p w14:paraId="72F4B613"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30F9E4E6"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2.25</w:t>
            </w:r>
          </w:p>
        </w:tc>
        <w:tc>
          <w:tcPr>
            <w:tcW w:w="1185" w:type="dxa"/>
            <w:shd w:val="clear" w:color="auto" w:fill="auto"/>
            <w:vAlign w:val="center"/>
          </w:tcPr>
          <w:p w14:paraId="7DCF17E7"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4.5</w:t>
            </w:r>
          </w:p>
        </w:tc>
      </w:tr>
      <w:tr w:rsidR="002D0D6D" w14:paraId="41BF5958" w14:textId="77777777">
        <w:trPr>
          <w:trHeight w:val="454"/>
          <w:jc w:val="center"/>
        </w:trPr>
        <w:tc>
          <w:tcPr>
            <w:tcW w:w="656" w:type="dxa"/>
            <w:shd w:val="clear" w:color="auto" w:fill="auto"/>
            <w:vAlign w:val="center"/>
          </w:tcPr>
          <w:p w14:paraId="61ED0601"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5</w:t>
            </w:r>
          </w:p>
        </w:tc>
        <w:tc>
          <w:tcPr>
            <w:tcW w:w="5004" w:type="dxa"/>
            <w:shd w:val="clear" w:color="auto" w:fill="auto"/>
            <w:vAlign w:val="center"/>
          </w:tcPr>
          <w:p w14:paraId="5D0C39D1"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居民健康素养水平</w:t>
            </w:r>
          </w:p>
        </w:tc>
        <w:tc>
          <w:tcPr>
            <w:tcW w:w="765" w:type="dxa"/>
            <w:shd w:val="clear" w:color="auto" w:fill="auto"/>
            <w:vAlign w:val="center"/>
          </w:tcPr>
          <w:p w14:paraId="3912DE85"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23EF54C2"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27.5</w:t>
            </w:r>
          </w:p>
        </w:tc>
        <w:tc>
          <w:tcPr>
            <w:tcW w:w="1185" w:type="dxa"/>
            <w:shd w:val="clear" w:color="auto" w:fill="auto"/>
            <w:vAlign w:val="center"/>
          </w:tcPr>
          <w:p w14:paraId="2F93520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30</w:t>
            </w:r>
          </w:p>
        </w:tc>
      </w:tr>
      <w:tr w:rsidR="002D0D6D" w14:paraId="6D747E1D" w14:textId="77777777">
        <w:trPr>
          <w:trHeight w:val="454"/>
          <w:jc w:val="center"/>
        </w:trPr>
        <w:tc>
          <w:tcPr>
            <w:tcW w:w="656" w:type="dxa"/>
            <w:shd w:val="clear" w:color="auto" w:fill="auto"/>
            <w:vAlign w:val="center"/>
          </w:tcPr>
          <w:p w14:paraId="64D36DA4"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6</w:t>
            </w:r>
          </w:p>
        </w:tc>
        <w:tc>
          <w:tcPr>
            <w:tcW w:w="5004" w:type="dxa"/>
            <w:shd w:val="clear" w:color="auto" w:fill="auto"/>
            <w:vAlign w:val="center"/>
          </w:tcPr>
          <w:p w14:paraId="1E222344"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重大慢性病过早死亡率</w:t>
            </w:r>
          </w:p>
        </w:tc>
        <w:tc>
          <w:tcPr>
            <w:tcW w:w="765" w:type="dxa"/>
            <w:shd w:val="clear" w:color="auto" w:fill="auto"/>
            <w:vAlign w:val="center"/>
          </w:tcPr>
          <w:p w14:paraId="1EAFB6C1"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5602D5C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10.48</w:t>
            </w:r>
          </w:p>
        </w:tc>
        <w:tc>
          <w:tcPr>
            <w:tcW w:w="1185" w:type="dxa"/>
            <w:shd w:val="clear" w:color="auto" w:fill="auto"/>
            <w:vAlign w:val="center"/>
          </w:tcPr>
          <w:p w14:paraId="45D091C1"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13.5</w:t>
            </w:r>
          </w:p>
        </w:tc>
      </w:tr>
      <w:tr w:rsidR="002D0D6D" w14:paraId="289E043D" w14:textId="77777777">
        <w:trPr>
          <w:trHeight w:val="454"/>
          <w:jc w:val="center"/>
        </w:trPr>
        <w:tc>
          <w:tcPr>
            <w:tcW w:w="656" w:type="dxa"/>
            <w:shd w:val="clear" w:color="auto" w:fill="auto"/>
            <w:vAlign w:val="center"/>
          </w:tcPr>
          <w:p w14:paraId="2917190B"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7</w:t>
            </w:r>
          </w:p>
        </w:tc>
        <w:tc>
          <w:tcPr>
            <w:tcW w:w="5004" w:type="dxa"/>
            <w:shd w:val="clear" w:color="auto" w:fill="auto"/>
            <w:vAlign w:val="center"/>
          </w:tcPr>
          <w:p w14:paraId="7628943C"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每千常住人口卫生专业技术人员数</w:t>
            </w:r>
          </w:p>
        </w:tc>
        <w:tc>
          <w:tcPr>
            <w:tcW w:w="765" w:type="dxa"/>
            <w:shd w:val="clear" w:color="auto" w:fill="auto"/>
            <w:vAlign w:val="center"/>
          </w:tcPr>
          <w:p w14:paraId="0DCBA874"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人</w:t>
            </w:r>
          </w:p>
        </w:tc>
        <w:tc>
          <w:tcPr>
            <w:tcW w:w="1155" w:type="dxa"/>
            <w:shd w:val="clear" w:color="auto" w:fill="auto"/>
            <w:vAlign w:val="center"/>
          </w:tcPr>
          <w:p w14:paraId="590A17E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34.04</w:t>
            </w:r>
          </w:p>
        </w:tc>
        <w:tc>
          <w:tcPr>
            <w:tcW w:w="1185" w:type="dxa"/>
            <w:shd w:val="clear" w:color="auto" w:fill="auto"/>
            <w:vAlign w:val="center"/>
          </w:tcPr>
          <w:p w14:paraId="734491E5"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34.5</w:t>
            </w:r>
          </w:p>
        </w:tc>
      </w:tr>
      <w:tr w:rsidR="002D0D6D" w14:paraId="7124BF0F" w14:textId="77777777">
        <w:trPr>
          <w:trHeight w:val="454"/>
          <w:jc w:val="center"/>
        </w:trPr>
        <w:tc>
          <w:tcPr>
            <w:tcW w:w="656" w:type="dxa"/>
            <w:shd w:val="clear" w:color="auto" w:fill="auto"/>
            <w:vAlign w:val="center"/>
          </w:tcPr>
          <w:p w14:paraId="5115705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8</w:t>
            </w:r>
          </w:p>
        </w:tc>
        <w:tc>
          <w:tcPr>
            <w:tcW w:w="5004" w:type="dxa"/>
            <w:shd w:val="clear" w:color="auto" w:fill="auto"/>
            <w:vAlign w:val="center"/>
          </w:tcPr>
          <w:p w14:paraId="3E83FE84"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每千常住人口执业（助理）医师数</w:t>
            </w:r>
          </w:p>
        </w:tc>
        <w:tc>
          <w:tcPr>
            <w:tcW w:w="765" w:type="dxa"/>
            <w:shd w:val="clear" w:color="auto" w:fill="auto"/>
            <w:vAlign w:val="center"/>
          </w:tcPr>
          <w:p w14:paraId="68C7F547"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人</w:t>
            </w:r>
          </w:p>
        </w:tc>
        <w:tc>
          <w:tcPr>
            <w:tcW w:w="1155" w:type="dxa"/>
            <w:shd w:val="clear" w:color="auto" w:fill="auto"/>
            <w:vAlign w:val="center"/>
          </w:tcPr>
          <w:p w14:paraId="5A199123"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10.91</w:t>
            </w:r>
          </w:p>
        </w:tc>
        <w:tc>
          <w:tcPr>
            <w:tcW w:w="1185" w:type="dxa"/>
            <w:shd w:val="clear" w:color="auto" w:fill="auto"/>
            <w:vAlign w:val="center"/>
          </w:tcPr>
          <w:p w14:paraId="21E1DE95"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11.5</w:t>
            </w:r>
          </w:p>
        </w:tc>
      </w:tr>
      <w:tr w:rsidR="002D0D6D" w14:paraId="4780A7BD" w14:textId="77777777">
        <w:trPr>
          <w:trHeight w:val="454"/>
          <w:jc w:val="center"/>
        </w:trPr>
        <w:tc>
          <w:tcPr>
            <w:tcW w:w="656" w:type="dxa"/>
            <w:shd w:val="clear" w:color="auto" w:fill="auto"/>
            <w:vAlign w:val="center"/>
          </w:tcPr>
          <w:p w14:paraId="29C2A6D9"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9</w:t>
            </w:r>
          </w:p>
        </w:tc>
        <w:tc>
          <w:tcPr>
            <w:tcW w:w="5004" w:type="dxa"/>
            <w:shd w:val="clear" w:color="auto" w:fill="auto"/>
            <w:vAlign w:val="center"/>
          </w:tcPr>
          <w:p w14:paraId="2B87AB2D"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每千常住人口</w:t>
            </w:r>
            <w:r>
              <w:rPr>
                <w:rFonts w:ascii="Times New Roman" w:eastAsia="方正仿宋_GBK" w:hAnsi="Times New Roman" w:cs="Times New Roman"/>
                <w:szCs w:val="21"/>
              </w:rPr>
              <w:t>3</w:t>
            </w:r>
            <w:r>
              <w:rPr>
                <w:rFonts w:ascii="Times New Roman" w:eastAsia="方正仿宋_GBK" w:hAnsi="Times New Roman" w:cs="Times New Roman"/>
                <w:szCs w:val="21"/>
              </w:rPr>
              <w:t>岁以下婴幼儿托位</w:t>
            </w:r>
          </w:p>
        </w:tc>
        <w:tc>
          <w:tcPr>
            <w:tcW w:w="765" w:type="dxa"/>
            <w:shd w:val="clear" w:color="auto" w:fill="auto"/>
            <w:vAlign w:val="center"/>
          </w:tcPr>
          <w:p w14:paraId="0EBE96BF"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个</w:t>
            </w:r>
          </w:p>
        </w:tc>
        <w:tc>
          <w:tcPr>
            <w:tcW w:w="1155" w:type="dxa"/>
            <w:shd w:val="clear" w:color="auto" w:fill="auto"/>
            <w:vAlign w:val="center"/>
          </w:tcPr>
          <w:p w14:paraId="40A9D61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w:t>
            </w:r>
          </w:p>
        </w:tc>
        <w:tc>
          <w:tcPr>
            <w:tcW w:w="1185" w:type="dxa"/>
            <w:shd w:val="clear" w:color="auto" w:fill="auto"/>
            <w:vAlign w:val="center"/>
          </w:tcPr>
          <w:p w14:paraId="4E87B6E7"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4.5</w:t>
            </w:r>
          </w:p>
        </w:tc>
      </w:tr>
      <w:tr w:rsidR="002D0D6D" w14:paraId="6A4D6D42" w14:textId="77777777">
        <w:trPr>
          <w:trHeight w:val="454"/>
          <w:jc w:val="center"/>
        </w:trPr>
        <w:tc>
          <w:tcPr>
            <w:tcW w:w="656" w:type="dxa"/>
            <w:shd w:val="clear" w:color="auto" w:fill="auto"/>
            <w:vAlign w:val="center"/>
          </w:tcPr>
          <w:p w14:paraId="2DAFE61D"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10</w:t>
            </w:r>
          </w:p>
        </w:tc>
        <w:tc>
          <w:tcPr>
            <w:tcW w:w="5004" w:type="dxa"/>
            <w:shd w:val="clear" w:color="auto" w:fill="auto"/>
            <w:vAlign w:val="center"/>
          </w:tcPr>
          <w:p w14:paraId="501BA1F4"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儿童青少年总体近视率</w:t>
            </w:r>
          </w:p>
        </w:tc>
        <w:tc>
          <w:tcPr>
            <w:tcW w:w="765" w:type="dxa"/>
            <w:shd w:val="clear" w:color="auto" w:fill="auto"/>
            <w:vAlign w:val="center"/>
          </w:tcPr>
          <w:p w14:paraId="4F20E90D"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3C9988A4"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64.27</w:t>
            </w:r>
          </w:p>
        </w:tc>
        <w:tc>
          <w:tcPr>
            <w:tcW w:w="1185" w:type="dxa"/>
            <w:shd w:val="clear" w:color="auto" w:fill="auto"/>
            <w:vAlign w:val="center"/>
          </w:tcPr>
          <w:p w14:paraId="691BCB26"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49</w:t>
            </w:r>
          </w:p>
        </w:tc>
      </w:tr>
      <w:tr w:rsidR="002D0D6D" w14:paraId="3D3140B9" w14:textId="77777777">
        <w:trPr>
          <w:trHeight w:val="454"/>
          <w:jc w:val="center"/>
        </w:trPr>
        <w:tc>
          <w:tcPr>
            <w:tcW w:w="656" w:type="dxa"/>
            <w:shd w:val="clear" w:color="auto" w:fill="auto"/>
            <w:vAlign w:val="center"/>
          </w:tcPr>
          <w:p w14:paraId="376571DE"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11</w:t>
            </w:r>
          </w:p>
        </w:tc>
        <w:tc>
          <w:tcPr>
            <w:tcW w:w="5004" w:type="dxa"/>
            <w:shd w:val="clear" w:color="auto" w:fill="auto"/>
            <w:vAlign w:val="center"/>
          </w:tcPr>
          <w:p w14:paraId="49CE12E9"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重点行业用人单位职业病危害项目申报率</w:t>
            </w:r>
          </w:p>
        </w:tc>
        <w:tc>
          <w:tcPr>
            <w:tcW w:w="765" w:type="dxa"/>
            <w:shd w:val="clear" w:color="auto" w:fill="auto"/>
            <w:vAlign w:val="center"/>
          </w:tcPr>
          <w:p w14:paraId="01B85681"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17DB4EE2"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99</w:t>
            </w:r>
          </w:p>
        </w:tc>
        <w:tc>
          <w:tcPr>
            <w:tcW w:w="1185" w:type="dxa"/>
            <w:shd w:val="clear" w:color="auto" w:fill="auto"/>
            <w:vAlign w:val="center"/>
          </w:tcPr>
          <w:p w14:paraId="536DFA89"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95</w:t>
            </w:r>
          </w:p>
        </w:tc>
      </w:tr>
      <w:tr w:rsidR="002D0D6D" w14:paraId="62CB2D82" w14:textId="77777777">
        <w:trPr>
          <w:trHeight w:val="454"/>
          <w:jc w:val="center"/>
        </w:trPr>
        <w:tc>
          <w:tcPr>
            <w:tcW w:w="656" w:type="dxa"/>
            <w:shd w:val="clear" w:color="auto" w:fill="auto"/>
            <w:vAlign w:val="center"/>
          </w:tcPr>
          <w:p w14:paraId="258CC2B7"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12</w:t>
            </w:r>
          </w:p>
        </w:tc>
        <w:tc>
          <w:tcPr>
            <w:tcW w:w="5004" w:type="dxa"/>
            <w:shd w:val="clear" w:color="auto" w:fill="auto"/>
            <w:vAlign w:val="center"/>
          </w:tcPr>
          <w:p w14:paraId="2416A13A"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二级以上综合性医院设老年医学科比例</w:t>
            </w:r>
          </w:p>
        </w:tc>
        <w:tc>
          <w:tcPr>
            <w:tcW w:w="765" w:type="dxa"/>
            <w:shd w:val="clear" w:color="auto" w:fill="auto"/>
            <w:vAlign w:val="center"/>
          </w:tcPr>
          <w:p w14:paraId="1333F122"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4AB66EA2"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85.7</w:t>
            </w:r>
          </w:p>
        </w:tc>
        <w:tc>
          <w:tcPr>
            <w:tcW w:w="1185" w:type="dxa"/>
            <w:shd w:val="clear" w:color="auto" w:fill="auto"/>
            <w:vAlign w:val="center"/>
          </w:tcPr>
          <w:p w14:paraId="53BF090E"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85</w:t>
            </w:r>
          </w:p>
        </w:tc>
      </w:tr>
      <w:tr w:rsidR="002D0D6D" w14:paraId="04F8B8ED" w14:textId="77777777">
        <w:trPr>
          <w:trHeight w:val="454"/>
          <w:jc w:val="center"/>
        </w:trPr>
        <w:tc>
          <w:tcPr>
            <w:tcW w:w="656" w:type="dxa"/>
            <w:shd w:val="clear" w:color="auto" w:fill="auto"/>
            <w:vAlign w:val="center"/>
          </w:tcPr>
          <w:p w14:paraId="279DC2BF"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13</w:t>
            </w:r>
          </w:p>
        </w:tc>
        <w:tc>
          <w:tcPr>
            <w:tcW w:w="5004" w:type="dxa"/>
            <w:shd w:val="clear" w:color="auto" w:fill="auto"/>
            <w:vAlign w:val="center"/>
          </w:tcPr>
          <w:p w14:paraId="6A44F027"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高血压患者规范管理率</w:t>
            </w:r>
          </w:p>
        </w:tc>
        <w:tc>
          <w:tcPr>
            <w:tcW w:w="765" w:type="dxa"/>
            <w:shd w:val="clear" w:color="auto" w:fill="auto"/>
            <w:vAlign w:val="center"/>
          </w:tcPr>
          <w:p w14:paraId="71BDEF0B"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1E8861E6"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62.2</w:t>
            </w:r>
          </w:p>
        </w:tc>
        <w:tc>
          <w:tcPr>
            <w:tcW w:w="1185" w:type="dxa"/>
            <w:shd w:val="clear" w:color="auto" w:fill="auto"/>
            <w:vAlign w:val="center"/>
          </w:tcPr>
          <w:p w14:paraId="7120736B"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70</w:t>
            </w:r>
          </w:p>
        </w:tc>
      </w:tr>
      <w:tr w:rsidR="002D0D6D" w14:paraId="7E14CA13" w14:textId="77777777">
        <w:trPr>
          <w:trHeight w:val="454"/>
          <w:jc w:val="center"/>
        </w:trPr>
        <w:tc>
          <w:tcPr>
            <w:tcW w:w="656" w:type="dxa"/>
            <w:shd w:val="clear" w:color="auto" w:fill="auto"/>
            <w:vAlign w:val="center"/>
          </w:tcPr>
          <w:p w14:paraId="54DB02AF"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14</w:t>
            </w:r>
          </w:p>
        </w:tc>
        <w:tc>
          <w:tcPr>
            <w:tcW w:w="5004" w:type="dxa"/>
            <w:shd w:val="clear" w:color="auto" w:fill="auto"/>
            <w:vAlign w:val="center"/>
          </w:tcPr>
          <w:p w14:paraId="7102E251"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糖尿病患者规范管理率</w:t>
            </w:r>
          </w:p>
        </w:tc>
        <w:tc>
          <w:tcPr>
            <w:tcW w:w="765" w:type="dxa"/>
            <w:shd w:val="clear" w:color="auto" w:fill="auto"/>
            <w:vAlign w:val="center"/>
          </w:tcPr>
          <w:p w14:paraId="16B1291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25827EA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63.14</w:t>
            </w:r>
          </w:p>
        </w:tc>
        <w:tc>
          <w:tcPr>
            <w:tcW w:w="1185" w:type="dxa"/>
            <w:shd w:val="clear" w:color="auto" w:fill="auto"/>
            <w:vAlign w:val="center"/>
          </w:tcPr>
          <w:p w14:paraId="1A42571E"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70</w:t>
            </w:r>
          </w:p>
        </w:tc>
      </w:tr>
      <w:tr w:rsidR="002D0D6D" w14:paraId="7E960EC4" w14:textId="77777777">
        <w:trPr>
          <w:trHeight w:val="454"/>
          <w:jc w:val="center"/>
        </w:trPr>
        <w:tc>
          <w:tcPr>
            <w:tcW w:w="656" w:type="dxa"/>
            <w:shd w:val="clear" w:color="auto" w:fill="auto"/>
            <w:vAlign w:val="center"/>
          </w:tcPr>
          <w:p w14:paraId="7E99333C"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15</w:t>
            </w:r>
          </w:p>
        </w:tc>
        <w:tc>
          <w:tcPr>
            <w:tcW w:w="5004" w:type="dxa"/>
            <w:shd w:val="clear" w:color="auto" w:fill="auto"/>
            <w:vAlign w:val="center"/>
          </w:tcPr>
          <w:p w14:paraId="564F7A35"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居民达到《国民体质测定标准》合格以上的人数比例</w:t>
            </w:r>
          </w:p>
        </w:tc>
        <w:tc>
          <w:tcPr>
            <w:tcW w:w="765" w:type="dxa"/>
            <w:shd w:val="clear" w:color="auto" w:fill="auto"/>
            <w:vAlign w:val="center"/>
          </w:tcPr>
          <w:p w14:paraId="4210355F"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02DC497E"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93.5</w:t>
            </w:r>
          </w:p>
        </w:tc>
        <w:tc>
          <w:tcPr>
            <w:tcW w:w="1185" w:type="dxa"/>
            <w:shd w:val="clear" w:color="auto" w:fill="auto"/>
            <w:vAlign w:val="center"/>
          </w:tcPr>
          <w:p w14:paraId="57FC214B"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93.5</w:t>
            </w:r>
          </w:p>
        </w:tc>
      </w:tr>
      <w:tr w:rsidR="002D0D6D" w14:paraId="2D605E64" w14:textId="77777777">
        <w:trPr>
          <w:trHeight w:val="454"/>
          <w:jc w:val="center"/>
        </w:trPr>
        <w:tc>
          <w:tcPr>
            <w:tcW w:w="656" w:type="dxa"/>
            <w:shd w:val="clear" w:color="auto" w:fill="auto"/>
            <w:vAlign w:val="center"/>
          </w:tcPr>
          <w:p w14:paraId="5DC161D9"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16</w:t>
            </w:r>
          </w:p>
        </w:tc>
        <w:tc>
          <w:tcPr>
            <w:tcW w:w="5004" w:type="dxa"/>
            <w:shd w:val="clear" w:color="auto" w:fill="auto"/>
            <w:vAlign w:val="center"/>
          </w:tcPr>
          <w:p w14:paraId="5ED3AA5B"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经常参加体育锻炼人数比例</w:t>
            </w:r>
          </w:p>
        </w:tc>
        <w:tc>
          <w:tcPr>
            <w:tcW w:w="765" w:type="dxa"/>
            <w:shd w:val="clear" w:color="auto" w:fill="auto"/>
            <w:vAlign w:val="center"/>
          </w:tcPr>
          <w:p w14:paraId="793B4DCE"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7324D57D"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45</w:t>
            </w:r>
          </w:p>
        </w:tc>
        <w:tc>
          <w:tcPr>
            <w:tcW w:w="1185" w:type="dxa"/>
            <w:shd w:val="clear" w:color="auto" w:fill="auto"/>
            <w:vAlign w:val="center"/>
          </w:tcPr>
          <w:p w14:paraId="671F0DC6"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48</w:t>
            </w:r>
          </w:p>
        </w:tc>
      </w:tr>
      <w:tr w:rsidR="002D0D6D" w14:paraId="2653CE73" w14:textId="77777777">
        <w:trPr>
          <w:trHeight w:val="454"/>
          <w:jc w:val="center"/>
        </w:trPr>
        <w:tc>
          <w:tcPr>
            <w:tcW w:w="656" w:type="dxa"/>
            <w:shd w:val="clear" w:color="auto" w:fill="auto"/>
            <w:vAlign w:val="center"/>
          </w:tcPr>
          <w:p w14:paraId="6511E6A9"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17</w:t>
            </w:r>
          </w:p>
        </w:tc>
        <w:tc>
          <w:tcPr>
            <w:tcW w:w="5004" w:type="dxa"/>
            <w:shd w:val="clear" w:color="auto" w:fill="auto"/>
            <w:vAlign w:val="center"/>
          </w:tcPr>
          <w:p w14:paraId="7ACAD468"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15</w:t>
            </w:r>
            <w:r>
              <w:rPr>
                <w:rFonts w:ascii="Times New Roman" w:eastAsia="方正仿宋_GBK" w:hAnsi="Times New Roman" w:cs="Times New Roman"/>
                <w:szCs w:val="21"/>
              </w:rPr>
              <w:t>岁以上人群吸烟率</w:t>
            </w:r>
          </w:p>
        </w:tc>
        <w:tc>
          <w:tcPr>
            <w:tcW w:w="765" w:type="dxa"/>
            <w:shd w:val="clear" w:color="auto" w:fill="auto"/>
            <w:vAlign w:val="center"/>
          </w:tcPr>
          <w:p w14:paraId="52439304"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056BD666"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85" w:type="dxa"/>
            <w:shd w:val="clear" w:color="auto" w:fill="auto"/>
            <w:vAlign w:val="center"/>
          </w:tcPr>
          <w:p w14:paraId="150CC7A5"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22</w:t>
            </w:r>
          </w:p>
        </w:tc>
      </w:tr>
      <w:tr w:rsidR="002D0D6D" w14:paraId="608EF84F" w14:textId="77777777">
        <w:trPr>
          <w:trHeight w:val="454"/>
          <w:jc w:val="center"/>
        </w:trPr>
        <w:tc>
          <w:tcPr>
            <w:tcW w:w="656" w:type="dxa"/>
            <w:shd w:val="clear" w:color="auto" w:fill="auto"/>
            <w:vAlign w:val="center"/>
          </w:tcPr>
          <w:p w14:paraId="7823CC85"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18</w:t>
            </w:r>
          </w:p>
        </w:tc>
        <w:tc>
          <w:tcPr>
            <w:tcW w:w="5004" w:type="dxa"/>
            <w:shd w:val="clear" w:color="auto" w:fill="auto"/>
            <w:vAlign w:val="center"/>
          </w:tcPr>
          <w:p w14:paraId="1069F3BE"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万元收入能耗支出</w:t>
            </w:r>
          </w:p>
        </w:tc>
        <w:tc>
          <w:tcPr>
            <w:tcW w:w="765" w:type="dxa"/>
            <w:shd w:val="clear" w:color="auto" w:fill="auto"/>
            <w:vAlign w:val="center"/>
          </w:tcPr>
          <w:p w14:paraId="4BB88961"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元</w:t>
            </w:r>
          </w:p>
        </w:tc>
        <w:tc>
          <w:tcPr>
            <w:tcW w:w="1155" w:type="dxa"/>
            <w:shd w:val="clear" w:color="auto" w:fill="auto"/>
            <w:vAlign w:val="center"/>
          </w:tcPr>
          <w:p w14:paraId="017B216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85" w:type="dxa"/>
            <w:shd w:val="clear" w:color="auto" w:fill="auto"/>
            <w:vAlign w:val="center"/>
          </w:tcPr>
          <w:p w14:paraId="6BBD8472"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95</w:t>
            </w:r>
          </w:p>
        </w:tc>
      </w:tr>
      <w:tr w:rsidR="002D0D6D" w14:paraId="39EEACE3" w14:textId="77777777">
        <w:trPr>
          <w:trHeight w:val="454"/>
          <w:jc w:val="center"/>
        </w:trPr>
        <w:tc>
          <w:tcPr>
            <w:tcW w:w="656" w:type="dxa"/>
            <w:shd w:val="clear" w:color="auto" w:fill="auto"/>
            <w:vAlign w:val="center"/>
          </w:tcPr>
          <w:p w14:paraId="67D8CD7B"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19</w:t>
            </w:r>
          </w:p>
        </w:tc>
        <w:tc>
          <w:tcPr>
            <w:tcW w:w="5004" w:type="dxa"/>
            <w:shd w:val="clear" w:color="auto" w:fill="auto"/>
            <w:vAlign w:val="center"/>
          </w:tcPr>
          <w:p w14:paraId="034FDF46"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zCs w:val="21"/>
              </w:rPr>
              <w:t>三级公立医院卫生技术人员人均科研经费</w:t>
            </w:r>
          </w:p>
        </w:tc>
        <w:tc>
          <w:tcPr>
            <w:tcW w:w="765" w:type="dxa"/>
            <w:shd w:val="clear" w:color="auto" w:fill="auto"/>
            <w:vAlign w:val="center"/>
          </w:tcPr>
          <w:p w14:paraId="2A353003"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元</w:t>
            </w:r>
          </w:p>
        </w:tc>
        <w:tc>
          <w:tcPr>
            <w:tcW w:w="1155" w:type="dxa"/>
            <w:shd w:val="clear" w:color="auto" w:fill="auto"/>
            <w:vAlign w:val="center"/>
          </w:tcPr>
          <w:p w14:paraId="557FA3AE"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85" w:type="dxa"/>
            <w:shd w:val="clear" w:color="auto" w:fill="auto"/>
            <w:vAlign w:val="center"/>
          </w:tcPr>
          <w:p w14:paraId="1CB72AB9"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7000</w:t>
            </w:r>
          </w:p>
        </w:tc>
      </w:tr>
      <w:tr w:rsidR="002D0D6D" w14:paraId="6D0943C7" w14:textId="77777777">
        <w:trPr>
          <w:trHeight w:val="454"/>
          <w:jc w:val="center"/>
        </w:trPr>
        <w:tc>
          <w:tcPr>
            <w:tcW w:w="656" w:type="dxa"/>
            <w:shd w:val="clear" w:color="auto" w:fill="auto"/>
            <w:vAlign w:val="center"/>
          </w:tcPr>
          <w:p w14:paraId="146B445A"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20</w:t>
            </w:r>
          </w:p>
        </w:tc>
        <w:tc>
          <w:tcPr>
            <w:tcW w:w="5004" w:type="dxa"/>
            <w:shd w:val="clear" w:color="auto" w:fill="auto"/>
            <w:vAlign w:val="center"/>
          </w:tcPr>
          <w:p w14:paraId="7229F9E6" w14:textId="77777777" w:rsidR="002D0D6D" w:rsidRDefault="00000000">
            <w:pPr>
              <w:spacing w:line="0" w:lineRule="atLeast"/>
              <w:rPr>
                <w:rFonts w:ascii="Times New Roman" w:eastAsia="方正仿宋_GBK" w:hAnsi="Times New Roman" w:cs="Times New Roman"/>
                <w:szCs w:val="21"/>
              </w:rPr>
            </w:pPr>
            <w:r>
              <w:rPr>
                <w:rFonts w:ascii="Times New Roman" w:eastAsia="方正仿宋_GBK" w:hAnsi="Times New Roman" w:cs="Times New Roman"/>
                <w:spacing w:val="-11"/>
                <w:szCs w:val="21"/>
              </w:rPr>
              <w:t>三级公立中医医院患者中药饮片使用率（含门诊、住院）</w:t>
            </w:r>
          </w:p>
        </w:tc>
        <w:tc>
          <w:tcPr>
            <w:tcW w:w="765" w:type="dxa"/>
            <w:shd w:val="clear" w:color="auto" w:fill="auto"/>
            <w:vAlign w:val="center"/>
          </w:tcPr>
          <w:p w14:paraId="4F64D827"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55" w:type="dxa"/>
            <w:shd w:val="clear" w:color="auto" w:fill="auto"/>
            <w:vAlign w:val="center"/>
          </w:tcPr>
          <w:p w14:paraId="6AC523B6" w14:textId="77777777" w:rsidR="002D0D6D" w:rsidRDefault="00000000">
            <w:pPr>
              <w:spacing w:line="0" w:lineRule="atLeast"/>
              <w:jc w:val="center"/>
              <w:rPr>
                <w:rFonts w:ascii="Times New Roman" w:eastAsia="方正仿宋_GBK" w:hAnsi="Times New Roman" w:cs="Times New Roman"/>
                <w:szCs w:val="21"/>
              </w:rPr>
            </w:pPr>
            <w:r>
              <w:rPr>
                <w:rFonts w:ascii="Times New Roman" w:eastAsia="方正仿宋_GBK" w:hAnsi="Times New Roman" w:cs="Times New Roman"/>
                <w:szCs w:val="21"/>
              </w:rPr>
              <w:t>-</w:t>
            </w:r>
          </w:p>
        </w:tc>
        <w:tc>
          <w:tcPr>
            <w:tcW w:w="1185" w:type="dxa"/>
            <w:shd w:val="clear" w:color="auto" w:fill="auto"/>
            <w:vAlign w:val="center"/>
          </w:tcPr>
          <w:p w14:paraId="27F7EB43" w14:textId="77777777" w:rsidR="002D0D6D" w:rsidRDefault="00000000">
            <w:pPr>
              <w:spacing w:line="0" w:lineRule="atLeast"/>
              <w:jc w:val="center"/>
              <w:rPr>
                <w:rFonts w:ascii="Times New Roman" w:eastAsia="方正仿宋_GBK" w:hAnsi="Times New Roman" w:cs="Times New Roman"/>
                <w:szCs w:val="21"/>
              </w:rPr>
            </w:pPr>
            <w:r>
              <w:rPr>
                <w:rFonts w:ascii="方正仿宋_GBK" w:eastAsia="方正仿宋_GBK" w:hAnsi="方正仿宋_GBK" w:cs="方正仿宋_GBK"/>
                <w:szCs w:val="21"/>
              </w:rPr>
              <w:t>≥</w:t>
            </w:r>
            <w:r>
              <w:rPr>
                <w:rFonts w:ascii="Times New Roman" w:eastAsia="方正仿宋_GBK" w:hAnsi="Times New Roman" w:cs="Times New Roman"/>
                <w:szCs w:val="21"/>
              </w:rPr>
              <w:t>60</w:t>
            </w:r>
          </w:p>
        </w:tc>
      </w:tr>
    </w:tbl>
    <w:p w14:paraId="177A0C5A" w14:textId="77777777" w:rsidR="002D0D6D" w:rsidRDefault="00000000">
      <w:pPr>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14:paraId="40389144"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第四部分</w:t>
      </w:r>
    </w:p>
    <w:p w14:paraId="5529BCDC"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主要任务：推进卫生健康事业高质量发展</w:t>
      </w:r>
    </w:p>
    <w:p w14:paraId="3D3F37FC" w14:textId="77777777" w:rsidR="002D0D6D" w:rsidRDefault="002D0D6D">
      <w:pPr>
        <w:overflowPunct w:val="0"/>
        <w:spacing w:line="620" w:lineRule="exact"/>
        <w:jc w:val="left"/>
        <w:rPr>
          <w:rFonts w:ascii="Times New Roman" w:eastAsia="黑体" w:hAnsi="Times New Roman" w:cs="Times New Roman"/>
          <w:sz w:val="32"/>
          <w:szCs w:val="32"/>
        </w:rPr>
      </w:pPr>
    </w:p>
    <w:p w14:paraId="3D53A640"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一、打造公共卫生安全放心区</w:t>
      </w:r>
    </w:p>
    <w:p w14:paraId="4D1DA7B6"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（一）构建强大的公共卫生应急管理体系</w:t>
      </w:r>
    </w:p>
    <w:p w14:paraId="05B7CF62"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建设统一顺畅的应急指挥体系。</w:t>
      </w:r>
      <w:r>
        <w:rPr>
          <w:rFonts w:ascii="Times New Roman" w:eastAsia="方正仿宋_GBK" w:hAnsi="Times New Roman" w:cs="Times New Roman"/>
          <w:sz w:val="32"/>
          <w:szCs w:val="32"/>
        </w:rPr>
        <w:t>建成渝中区公共卫生应急指挥中心和应急管理信息系统，建立重大公共卫生安全专家库，健全突发公共卫生事件应急响应制度，按照不同级别和规模，完善监测、预警、报告、救治等应对处置方案，明确相关部门社会面管控措施方案，建立完善应急状态下社区、公安派出所、社区卫生服务中心等多方联动机制，加强相关能力建设和储备，提升联防联控及应急管理能力。进一步完善重大突发公共卫生事件卫生应急专项预案、部门应急预案、专业应急处置方案，加强相互衔接，实现对突发公共卫生事件精准有效处置。建立督导、考核以及履职尽责监督问责机制。</w:t>
      </w:r>
    </w:p>
    <w:p w14:paraId="779B830B" w14:textId="77777777" w:rsidR="002D0D6D" w:rsidRDefault="00000000">
      <w:pPr>
        <w:pStyle w:val="ae"/>
        <w:widowControl w:val="0"/>
        <w:shd w:val="clear" w:color="auto" w:fill="FFFFFF"/>
        <w:overflowPunct w:val="0"/>
        <w:spacing w:before="0" w:beforeAutospacing="0" w:after="0" w:afterAutospacing="0" w:line="620" w:lineRule="exact"/>
        <w:ind w:firstLine="672"/>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建设灵敏准确的监测预警体系。</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早发现、早报告、早隔离、早治疗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要求，以新发突发传染病、食源性疾病、不明原因疾病为重点，完善发热、肠道门诊等监测哨点布局，优化症候群、疾病、危险因素和事件监测系统，建立健全重大新发传染病智慧化预警多点触发机制。完善居民电子健康档案系统，形成各级各类医疗机构与疾病预防控制机构之间的信息互通。抓住监测预警报告、形势分析研判、现场调查处</w:t>
      </w:r>
      <w:r>
        <w:rPr>
          <w:rFonts w:ascii="Times New Roman" w:eastAsia="方正仿宋_GBK" w:hAnsi="Times New Roman" w:cs="Times New Roman"/>
          <w:sz w:val="32"/>
          <w:szCs w:val="32"/>
        </w:rPr>
        <w:lastRenderedPageBreak/>
        <w:t>置、实验室检验检测等关键环节，完善公共卫生重大风险研判、评估、决策、防控协同机制，优化防治结合、职责明确、衔接有序的公共卫生事件处置流程。</w:t>
      </w:r>
    </w:p>
    <w:p w14:paraId="23FF2FCA"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建设西部一流的疾病防控体系。</w:t>
      </w:r>
      <w:r>
        <w:rPr>
          <w:rFonts w:ascii="Times New Roman" w:eastAsia="方正仿宋_GBK" w:hAnsi="Times New Roman" w:cs="Times New Roman"/>
          <w:sz w:val="32"/>
          <w:szCs w:val="32"/>
        </w:rPr>
        <w:t>改善疾病预防控制基础条件，推进疾病预防控制体系硬件设施、实验室能力、信息化等建设，实施区疾控中心和社区公共卫生能力提升工程，区疾控中心争创三级甲等疾控中心。优化完善疾病预防控制机构职能设置，健全疾控机构与各方联动工作机制。加强社区基层防控能力建设，强化社区卫生服务中心疾病预防职责，织密织牢第一道防线。推动公共卫生服务与医疗服务高效协同、无缝衔接，建立人员通、信息通、资源通和监督监管相互制约的机制，形成防治结合、联防联控、群防群治格局。健全公共卫生执业人员培养、准入、使用、待遇保障、考核评价和激励机制，推进公共卫生医师规范化培训试点工作，着重培养能解决病原学鉴定、疫情形势研判和传播规律研究、现场流行病学调查、实验室检测等实际问题的人才。</w:t>
      </w:r>
    </w:p>
    <w:p w14:paraId="0FD9165A" w14:textId="77777777" w:rsidR="002D0D6D" w:rsidRDefault="00000000">
      <w:pPr>
        <w:pStyle w:val="ae"/>
        <w:widowControl w:val="0"/>
        <w:shd w:val="clear" w:color="auto" w:fill="FFFFFF"/>
        <w:overflowPunct w:val="0"/>
        <w:spacing w:before="0" w:beforeAutospacing="0" w:after="0" w:afterAutospacing="0" w:line="620" w:lineRule="exact"/>
        <w:ind w:firstLine="672"/>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建设平战结合的应急救治体系。</w:t>
      </w:r>
      <w:r>
        <w:rPr>
          <w:rFonts w:ascii="Times New Roman" w:eastAsia="方正仿宋_GBK" w:hAnsi="Times New Roman" w:cs="Times New Roman"/>
          <w:sz w:val="32"/>
          <w:szCs w:val="32"/>
        </w:rPr>
        <w:t>坚持平战结合、防治融合，构建分级、分层、分流的重大疫情救治机制，形成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市级定点医院集中救治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区级定点医院初步筛查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社区卫生服务中心哨点预警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的应急医疗救治体系。加快中医药应急救治设施设备与人才、技术储备，完善中西医协作机制。优化传染病救治医疗资源配置，固化定点医院救治格局，在二级以上公立综合</w:t>
      </w:r>
      <w:r>
        <w:rPr>
          <w:rFonts w:ascii="Times New Roman" w:eastAsia="方正仿宋_GBK" w:hAnsi="Times New Roman" w:cs="Times New Roman"/>
          <w:sz w:val="32"/>
          <w:szCs w:val="32"/>
        </w:rPr>
        <w:lastRenderedPageBreak/>
        <w:t>医院配置可用于应急收治传染病患者的病房楼或独立病区。梳理在突发公共卫生事件时，可临时征用为集中医学隔离观察点、方舱医院等的场所，制定储备清单。强化院前急救能力建设，提高安全转运能力和效率。</w:t>
      </w:r>
    </w:p>
    <w:p w14:paraId="163B367E" w14:textId="77777777" w:rsidR="002D0D6D" w:rsidRDefault="00000000">
      <w:pPr>
        <w:pStyle w:val="ae"/>
        <w:widowControl w:val="0"/>
        <w:shd w:val="clear" w:color="auto" w:fill="FFFFFF"/>
        <w:overflowPunct w:val="0"/>
        <w:spacing w:before="0" w:beforeAutospacing="0" w:after="0" w:afterAutospacing="0" w:line="620" w:lineRule="exact"/>
        <w:ind w:firstLine="672"/>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建设充足高效的保障支撑体系。</w:t>
      </w:r>
      <w:r>
        <w:rPr>
          <w:rFonts w:ascii="Times New Roman" w:eastAsia="方正仿宋_GBK" w:hAnsi="Times New Roman" w:cs="Times New Roman"/>
          <w:sz w:val="32"/>
          <w:szCs w:val="32"/>
        </w:rPr>
        <w:t>按照集中管理、统一调拨、平时服务、灾时应急、采储结合、节约高效的原则，着力打造医疗防治、技术储备、物资储备、产能动员</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四位一体</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物资保障体系。引导单位和家庭常态化储备适量应急物资。推进应急物资需求分级分类，优化分配和使用机制、物资储备信息共享机制。健全重大疾病医疗保险和救助制度，确保医疗机构先救治、后收费。完善政府投入、分级负责的公共卫生经费保障机制，持续加大公共卫生安全保障投入力度。贯彻落实国家相关法律法规，全面加强公共卫生和应急管理领域法治建设保障。</w:t>
      </w:r>
    </w:p>
    <w:p w14:paraId="78A6314C"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（二）加强重大疾病防控</w:t>
      </w:r>
    </w:p>
    <w:p w14:paraId="1ABE3349"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加强重点传染病精准防控。</w:t>
      </w:r>
      <w:r>
        <w:rPr>
          <w:rFonts w:ascii="Times New Roman" w:eastAsia="方正仿宋_GBK" w:hAnsi="Times New Roman" w:cs="Times New Roman"/>
          <w:sz w:val="32"/>
          <w:szCs w:val="32"/>
        </w:rPr>
        <w:t>健全传染病监测体系，坚持联防联控、群防群控，落实新冠肺炎疫情防控措施。提升对霍乱、人感染</w:t>
      </w:r>
      <w:r>
        <w:rPr>
          <w:rFonts w:ascii="Times New Roman" w:eastAsia="方正仿宋_GBK" w:hAnsi="Times New Roman" w:cs="Times New Roman"/>
          <w:sz w:val="32"/>
          <w:szCs w:val="32"/>
        </w:rPr>
        <w:t>H</w:t>
      </w:r>
      <w:r>
        <w:rPr>
          <w:rFonts w:ascii="Times New Roman" w:eastAsia="方正仿宋_GBK" w:hAnsi="Times New Roman" w:cs="Times New Roman"/>
          <w:sz w:val="32"/>
          <w:szCs w:val="32"/>
          <w:vertAlign w:val="subscript"/>
        </w:rPr>
        <w:t>7</w:t>
      </w:r>
      <w:r>
        <w:rPr>
          <w:rFonts w:ascii="Times New Roman" w:eastAsia="方正仿宋_GBK" w:hAnsi="Times New Roman" w:cs="Times New Roman"/>
          <w:sz w:val="32"/>
          <w:szCs w:val="32"/>
        </w:rPr>
        <w:t>N</w:t>
      </w:r>
      <w:r>
        <w:rPr>
          <w:rFonts w:ascii="Times New Roman" w:eastAsia="方正仿宋_GBK" w:hAnsi="Times New Roman" w:cs="Times New Roman"/>
          <w:sz w:val="32"/>
          <w:szCs w:val="32"/>
          <w:vertAlign w:val="subscript"/>
        </w:rPr>
        <w:t>9</w:t>
      </w:r>
      <w:r>
        <w:rPr>
          <w:rFonts w:ascii="Times New Roman" w:eastAsia="方正仿宋_GBK" w:hAnsi="Times New Roman" w:cs="Times New Roman"/>
          <w:sz w:val="32"/>
          <w:szCs w:val="32"/>
        </w:rPr>
        <w:t>禽流感、流感、麻疹、水痘、手足口病等重点传染病及新发、输入和少见传染病的防控力度。健全优化结核病分级诊疗服务体系，规范耐多药肺结核患者诊疗和管理，加强对学生、老年人、流动人口等重点人群的结核病防控。持续组织开展好城市艾滋病综合防治示范区建设，实施遏制艾滋</w:t>
      </w:r>
      <w:r>
        <w:rPr>
          <w:rFonts w:ascii="Times New Roman" w:eastAsia="方正仿宋_GBK" w:hAnsi="Times New Roman" w:cs="Times New Roman"/>
          <w:sz w:val="32"/>
          <w:szCs w:val="32"/>
        </w:rPr>
        <w:lastRenderedPageBreak/>
        <w:t>病性传播攻坚行动，建立并完善艾滋病监测干预体系。全面开展《疫苗管理法》宣贯和培训，加强预防接种规范服务与管理，维持高水平的免疫规划接种率。</w:t>
      </w:r>
    </w:p>
    <w:p w14:paraId="0DC248F8"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7.</w:t>
      </w:r>
      <w:r>
        <w:rPr>
          <w:rFonts w:ascii="Times New Roman" w:eastAsia="方正仿宋_GBK" w:hAnsi="Times New Roman" w:cs="Times New Roman"/>
          <w:b/>
          <w:bCs/>
          <w:sz w:val="32"/>
          <w:szCs w:val="32"/>
        </w:rPr>
        <w:t>加强慢性病综合防控。</w:t>
      </w:r>
      <w:r>
        <w:rPr>
          <w:rFonts w:ascii="Times New Roman" w:eastAsia="方正仿宋_GBK" w:hAnsi="Times New Roman" w:cs="Times New Roman"/>
          <w:sz w:val="32"/>
          <w:szCs w:val="32"/>
        </w:rPr>
        <w:t>结合巩固深化国家慢性病综合防控示范区创建成果推进品牌建设，做实脑卒中高危人群、糖尿病及其并发症、城市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、慢性阻塞性肺疾病等筛查，进一步加强慢性病疾病风险筛查、症状干预、诊断治疗、随访管理、健康教育和康复服务等的一体化管理。探索推进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健康渝中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平台和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智慧小屋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支撑公众健康自主管理，推进线上线下健康管理一体化融合。加强慢性病防治适宜技术储备，以社区、学校、单位为重点推动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三减三健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干预能力提升，持续进行职业人群健走大赛、重点人群口腔检测、健骨操。开展社区慢性病健康管理支持中心建设。开展全民营养行动，引导合理膳食、适量运动。推广健康适宜技术和支持工具，促进慢性病全程防治管理服务与养老紧密结合。</w:t>
      </w:r>
    </w:p>
    <w:p w14:paraId="7176169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8.</w:t>
      </w:r>
      <w:r>
        <w:rPr>
          <w:rFonts w:ascii="Times New Roman" w:eastAsia="方正仿宋_GBK" w:hAnsi="Times New Roman" w:cs="Times New Roman"/>
          <w:b/>
          <w:bCs/>
          <w:sz w:val="32"/>
          <w:szCs w:val="32"/>
        </w:rPr>
        <w:t>加强精神障碍防控和心理健康服务。</w:t>
      </w:r>
      <w:r>
        <w:rPr>
          <w:rFonts w:ascii="Times New Roman" w:eastAsia="方正仿宋_GBK" w:hAnsi="Times New Roman" w:cs="Times New Roman"/>
          <w:sz w:val="32"/>
          <w:szCs w:val="32"/>
        </w:rPr>
        <w:t>巩固精神卫生综合服务管理试点成果，优化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政府领导、部门协同、多方联合、社会参与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管理机制，强化严重精神障碍患者管理治疗。实施渝中区精神卫生中心排危改造工程，提升就医诊治环境。加强心理服务体系建设工作组织领导和部门协作。完善心理健康服务体系，优化心理健康服务。加大全民心理健康科普宣传力度，提升心理健康素质，强化心理疾患预防和早期识别。加强</w:t>
      </w:r>
      <w:r>
        <w:rPr>
          <w:rFonts w:ascii="Times New Roman" w:eastAsia="方正仿宋_GBK" w:hAnsi="Times New Roman" w:cs="Times New Roman"/>
          <w:sz w:val="32"/>
          <w:szCs w:val="32"/>
        </w:rPr>
        <w:lastRenderedPageBreak/>
        <w:t>心理服务人才队伍建设，提高心理咨询机构和从业人员服务质量。提升心理援助热线和有关部门心理咨询热线的服务能力和水平。引导社会组织、社会工作者参与心理健康服务，推动心理健康领域社会工作专业人才队伍建设。</w:t>
      </w:r>
    </w:p>
    <w:p w14:paraId="5A4D065A"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9.</w:t>
      </w:r>
      <w:r>
        <w:rPr>
          <w:rFonts w:ascii="Times New Roman" w:eastAsia="方正仿宋_GBK" w:hAnsi="Times New Roman" w:cs="Times New Roman"/>
          <w:b/>
          <w:bCs/>
          <w:sz w:val="32"/>
          <w:szCs w:val="32"/>
        </w:rPr>
        <w:t>加强寄生虫病、地方病、职业病防控。</w:t>
      </w:r>
      <w:r>
        <w:rPr>
          <w:rFonts w:ascii="Times New Roman" w:eastAsia="方正仿宋_GBK" w:hAnsi="Times New Roman" w:cs="Times New Roman"/>
          <w:sz w:val="32"/>
          <w:szCs w:val="32"/>
        </w:rPr>
        <w:t>巩固消除疟疾防治成果，加强防控登革热等虫媒生物传播疾病。建立以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政府主导、部门协作、全社会共同参与</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地方病防治工作机制，持续消除碘缺乏危害，人群碘营养总体处于适宜水平。逐步建立职业健康服务体系，建设以公立医疗机构为主体的职业健康检查和诊断救治机构，进一步提升职业病防治体系能力。推进职业健康保护行动，全面落实职业病防治责任，做好尘肺病等重点职业病监测与职业健康风险评估，加大职业健康宣传教育力度，增强劳动者职业病防范能力和自我防护意识。</w:t>
      </w:r>
    </w:p>
    <w:p w14:paraId="57F99BC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10.</w:t>
      </w:r>
      <w:r>
        <w:rPr>
          <w:rFonts w:ascii="Times New Roman" w:eastAsia="方正仿宋_GBK" w:hAnsi="Times New Roman" w:cs="Times New Roman"/>
          <w:b/>
          <w:bCs/>
          <w:sz w:val="32"/>
          <w:szCs w:val="32"/>
        </w:rPr>
        <w:t>加强健康相关危害因素干预。</w:t>
      </w:r>
      <w:r>
        <w:rPr>
          <w:rFonts w:ascii="Times New Roman" w:eastAsia="方正仿宋_GBK" w:hAnsi="Times New Roman" w:cs="Times New Roman"/>
          <w:sz w:val="32"/>
          <w:szCs w:val="32"/>
        </w:rPr>
        <w:t>强化以食品安全检验检测、风险评估、应对处置为重点的核心能力建设，增强风险监测的敏感性，建立健全食品安全专家队伍库。协同推动国民营养计划实施，协助推动食品安全地方标准制定。加强饮用水卫生监测，具备《生活饮用水卫生标准》</w:t>
      </w:r>
      <w:r>
        <w:rPr>
          <w:rFonts w:ascii="Times New Roman" w:eastAsia="方正仿宋_GBK" w:hAnsi="Times New Roman" w:cs="Times New Roman"/>
          <w:sz w:val="32"/>
          <w:szCs w:val="32"/>
        </w:rPr>
        <w:t>(GB 5749-2006</w:t>
      </w:r>
      <w:r>
        <w:rPr>
          <w:rFonts w:ascii="Times New Roman" w:eastAsia="方正仿宋_GBK" w:hAnsi="Times New Roman" w:cs="Times New Roman"/>
          <w:sz w:val="32"/>
          <w:szCs w:val="32"/>
        </w:rPr>
        <w:t>）规定的全部</w:t>
      </w:r>
      <w:r>
        <w:rPr>
          <w:rFonts w:ascii="Times New Roman" w:eastAsia="方正仿宋_GBK" w:hAnsi="Times New Roman" w:cs="Times New Roman"/>
          <w:sz w:val="32"/>
          <w:szCs w:val="32"/>
        </w:rPr>
        <w:t>106</w:t>
      </w:r>
      <w:r>
        <w:rPr>
          <w:rFonts w:ascii="Times New Roman" w:eastAsia="方正仿宋_GBK" w:hAnsi="Times New Roman" w:cs="Times New Roman"/>
          <w:sz w:val="32"/>
          <w:szCs w:val="32"/>
        </w:rPr>
        <w:t>项水质指标检测能力，定期发布检测结果及风险预警提示。</w:t>
      </w:r>
    </w:p>
    <w:p w14:paraId="1DD9655A"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（三）深入开展新时代爱国卫生运动</w:t>
      </w:r>
    </w:p>
    <w:p w14:paraId="3811FB8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11.</w:t>
      </w:r>
      <w:r>
        <w:rPr>
          <w:rFonts w:ascii="Times New Roman" w:eastAsia="方正仿宋_GBK" w:hAnsi="Times New Roman" w:cs="Times New Roman"/>
          <w:b/>
          <w:bCs/>
          <w:sz w:val="32"/>
          <w:szCs w:val="32"/>
        </w:rPr>
        <w:t>全面改善人居环境。</w:t>
      </w:r>
      <w:r>
        <w:rPr>
          <w:rFonts w:ascii="Times New Roman" w:eastAsia="方正仿宋_GBK" w:hAnsi="Times New Roman" w:cs="Times New Roman"/>
          <w:sz w:val="32"/>
          <w:szCs w:val="32"/>
        </w:rPr>
        <w:t>持续深入开展环境卫生整洁行动，</w:t>
      </w:r>
      <w:r>
        <w:rPr>
          <w:rFonts w:ascii="Times New Roman" w:eastAsia="方正仿宋_GBK" w:hAnsi="Times New Roman" w:cs="Times New Roman"/>
          <w:sz w:val="32"/>
          <w:szCs w:val="32"/>
        </w:rPr>
        <w:lastRenderedPageBreak/>
        <w:t>不断完善公厕、垃圾站等环境卫生基础设施，健全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五长制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马路办公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等长效管理机制。全面实行垃圾分类收集处理和资源回收利用，实现垃圾处理减量化、资源化、无害化。巩固取消城区活禽交易，建立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白条禽上市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制度，严禁经营食用野生动物，加强宠物饲养管理。科学预防控制病媒生物，定期开展监测调查，有针对性地组织开展爱国卫生月、春秋季统一灭鼠活动、夏季灭蚊蝇等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除四害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活动，实施以环境治理为主的综合预防控制策略，清除病媒生物孳生地。加强环境与健康综合监测、风险评估，推进环境污染治理和生态建设，打造干净整洁有序、山清水秀城美、宜居宜业宜游的美丽渝中。</w:t>
      </w:r>
    </w:p>
    <w:p w14:paraId="24EBF92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12.</w:t>
      </w:r>
      <w:r>
        <w:rPr>
          <w:rFonts w:ascii="Times New Roman" w:eastAsia="方正仿宋_GBK" w:hAnsi="Times New Roman" w:cs="Times New Roman"/>
          <w:b/>
          <w:bCs/>
          <w:sz w:val="32"/>
          <w:szCs w:val="32"/>
        </w:rPr>
        <w:t>推动向全面社会健康管理转变。</w:t>
      </w:r>
      <w:r>
        <w:rPr>
          <w:rFonts w:ascii="Times New Roman" w:eastAsia="方正仿宋_GBK" w:hAnsi="Times New Roman" w:cs="Times New Roman"/>
          <w:sz w:val="32"/>
          <w:szCs w:val="32"/>
        </w:rPr>
        <w:t>巩固提升市级卫生城区创建成果，开展健康城市基础建设，围绕营造健康环境、构建健康社会、培育健康人群等重点，推动将健康融入所有政策，把全生命周期健康管理理念贯穿城市规划、建设、管理全过程各环节，促进城市发展与人的健康相协调。持续开展卫生单位创建，广泛建设健康社区、健康单位、健康学校、健康家庭、健康企业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健康细胞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形成良好的健康支持性环境。创新社会动员和群众参与工作方式，鼓励社会组织开展爱国卫生公益志愿服务活动，推广居民健康自我管理小组、病友互助小组、健身小组、社区健康讲堂等有效形式。将爱国卫生工作内涵从环境卫生治理向全面社会健康管理转变，基本建立社会健康管理工作模式。</w:t>
      </w:r>
    </w:p>
    <w:p w14:paraId="0BC16DF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13.</w:t>
      </w:r>
      <w:r>
        <w:rPr>
          <w:rFonts w:ascii="Times New Roman" w:eastAsia="方正仿宋_GBK" w:hAnsi="Times New Roman" w:cs="Times New Roman"/>
          <w:b/>
          <w:bCs/>
          <w:sz w:val="32"/>
          <w:szCs w:val="32"/>
        </w:rPr>
        <w:t>提高全民健康素养。</w:t>
      </w:r>
      <w:r>
        <w:rPr>
          <w:rFonts w:ascii="Times New Roman" w:eastAsia="方正仿宋_GBK" w:hAnsi="Times New Roman" w:cs="Times New Roman"/>
          <w:sz w:val="32"/>
          <w:szCs w:val="32"/>
        </w:rPr>
        <w:t>加强健康教育和健康促进，大力组织实施健康知识普及、合理膳食、控烟等健康中国专项行动，倡行文明健康、绿色环保的生活方式。结合各类健康主题日，开展经常性健康宣传教育活动。创新健康教育的方式和载体，充分利用互联网、移动客户端等新媒体传播健康知识，提高健康教育的针对性、精准性和实效性。加强健康教育的内容建设，建立健全健康知识和技能核心信息发布制度，坚决打击虚假医药广告、不实误导宣传行为。建立鼓励医疗卫生机构和医务人员开展健康促进与教育的激励约束机制，开发推广健康适宜技术和支持工具，强化家庭和高危个体健康生活方式指导和干预，争创全国健康促进区。改善居民运动健身条件，推广中医养生等科学健身方法，推进全民健身活动。建设无烟环境，全面推行公共场所禁烟，深化无烟单位创建。发挥领导干部带头表率作用，以青少年为重点，努力减少新增吸烟人群。</w:t>
      </w:r>
      <w:r>
        <w:rPr>
          <w:rFonts w:ascii="Times New Roman" w:eastAsia="方正仿宋_GBK" w:hAnsi="Times New Roman" w:cs="Times New Roman"/>
          <w:sz w:val="32"/>
          <w:szCs w:val="32"/>
        </w:rPr>
        <w:t xml:space="preserve"> </w:t>
      </w:r>
    </w:p>
    <w:p w14:paraId="16A348D6" w14:textId="77777777" w:rsidR="002D0D6D" w:rsidRDefault="00000000">
      <w:pPr>
        <w:shd w:val="clear" w:color="auto" w:fill="FFFFFF"/>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二、打造全市国家医学中心、国家区域医疗中心核心区</w:t>
      </w:r>
    </w:p>
    <w:p w14:paraId="112DF982"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（一）巩固提升医学创新高地</w:t>
      </w:r>
    </w:p>
    <w:p w14:paraId="2BC9B9CF"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14.</w:t>
      </w:r>
      <w:r>
        <w:rPr>
          <w:rFonts w:ascii="Times New Roman" w:eastAsia="方正仿宋_GBK" w:hAnsi="Times New Roman" w:cs="Times New Roman"/>
          <w:b/>
          <w:bCs/>
          <w:sz w:val="32"/>
          <w:szCs w:val="32"/>
        </w:rPr>
        <w:t>争创国家医学中心和区域医疗中心。</w:t>
      </w:r>
      <w:r>
        <w:rPr>
          <w:rFonts w:ascii="Times New Roman" w:eastAsia="方正仿宋_GBK" w:hAnsi="Times New Roman" w:cs="Times New Roman"/>
          <w:sz w:val="32"/>
          <w:szCs w:val="32"/>
        </w:rPr>
        <w:t>统筹在区市级、区级，部队、地方优质医疗资源，依托重医附属医院、陆军特色医学中心等争创国家医学中心和国家区域医疗中心。</w:t>
      </w:r>
      <w:r>
        <w:rPr>
          <w:rFonts w:ascii="Times New Roman" w:eastAsia="方正仿宋_GBK" w:hAnsi="Times New Roman" w:cs="Times New Roman"/>
          <w:kern w:val="2"/>
          <w:sz w:val="32"/>
          <w:szCs w:val="32"/>
          <w:lang w:bidi="ar"/>
        </w:rPr>
        <w:t>支持重医儿童医院以国家儿童区域医疗中心为基础，争创儿童专科类别国家医学中心；支持重医附一院联合重医附二院，争创神经、检验专科类别国家医学中心；支持重医附一院、重医附二院、</w:t>
      </w:r>
      <w:r>
        <w:rPr>
          <w:rFonts w:ascii="Times New Roman" w:eastAsia="方正仿宋_GBK" w:hAnsi="Times New Roman" w:cs="Times New Roman"/>
          <w:kern w:val="2"/>
          <w:sz w:val="32"/>
          <w:szCs w:val="32"/>
          <w:lang w:bidi="ar"/>
        </w:rPr>
        <w:lastRenderedPageBreak/>
        <w:t>市急救医疗中心等</w:t>
      </w:r>
      <w:r>
        <w:rPr>
          <w:rFonts w:ascii="Times New Roman" w:eastAsia="方正仿宋_GBK" w:hAnsi="Times New Roman" w:cs="Times New Roman"/>
          <w:kern w:val="2"/>
          <w:sz w:val="32"/>
          <w:szCs w:val="32"/>
          <w:lang w:bidi="ar"/>
        </w:rPr>
        <w:t>8</w:t>
      </w:r>
      <w:r>
        <w:rPr>
          <w:rFonts w:ascii="Times New Roman" w:eastAsia="方正仿宋_GBK" w:hAnsi="Times New Roman" w:cs="Times New Roman"/>
          <w:kern w:val="2"/>
          <w:sz w:val="32"/>
          <w:szCs w:val="32"/>
          <w:lang w:bidi="ar"/>
        </w:rPr>
        <w:t>家市级医院分别创建综合类及神经、呼吸、创伤等</w:t>
      </w:r>
      <w:r>
        <w:rPr>
          <w:rFonts w:ascii="Times New Roman" w:eastAsia="方正仿宋_GBK" w:hAnsi="Times New Roman" w:cs="Times New Roman"/>
          <w:kern w:val="2"/>
          <w:sz w:val="32"/>
          <w:szCs w:val="32"/>
          <w:lang w:bidi="ar"/>
        </w:rPr>
        <w:t>11</w:t>
      </w:r>
      <w:r>
        <w:rPr>
          <w:rFonts w:ascii="Times New Roman" w:eastAsia="方正仿宋_GBK" w:hAnsi="Times New Roman" w:cs="Times New Roman"/>
          <w:kern w:val="2"/>
          <w:sz w:val="32"/>
          <w:szCs w:val="32"/>
          <w:lang w:bidi="ar"/>
        </w:rPr>
        <w:t>个专科区域医疗中心；支持陆军特色医学中心争创烧伤、病理、创伤等专科类别国家医学中心和区域医疗中心；支持重医儿童医院做强国家儿童健康与疾病临床医学研究中心，支持重医附二院联合国家疾控中心创建新发突发传染病国家临床医学研究中心。</w:t>
      </w:r>
    </w:p>
    <w:p w14:paraId="74E9FBE9" w14:textId="77777777" w:rsidR="002D0D6D" w:rsidRDefault="00000000">
      <w:pPr>
        <w:overflowPunct w:val="0"/>
        <w:spacing w:line="620" w:lineRule="exact"/>
        <w:ind w:firstLine="63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15.</w:t>
      </w:r>
      <w:r>
        <w:rPr>
          <w:rFonts w:ascii="Times New Roman" w:eastAsia="方正仿宋_GBK" w:hAnsi="Times New Roman" w:cs="Times New Roman"/>
          <w:b/>
          <w:bCs/>
          <w:sz w:val="32"/>
          <w:szCs w:val="32"/>
        </w:rPr>
        <w:t>大力建设</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名院</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依托有专长优势的医院，打造人类辅助生殖、中医骨伤筋伤等区域性专科医疗服务特色医院。支持大型医院向国际化、集团化、品牌化发展，增强影响力、美誉度，发挥在疑难危重症诊治、医学人才培养、临床技术研究与转化、医院管理示范等方面的引领辐射作用，促进医疗水平代表重庆在西部领先。把市级（部队）医院在区建设项目纳入全区重点项目支持，完成重医附一院培训中心大楼和第二医疗综合大楼、重医附二院魁星楼改建门诊部、重医附属口腔医院上清寺院区改造装修、市妇幼保健院七星岗院区辅助生殖中心等工程建设。建立区级对口联系服务长效机制，主动提供支持帮助服务，为医院建设发展创造良好环境。</w:t>
      </w:r>
    </w:p>
    <w:p w14:paraId="4F71FEF2" w14:textId="77777777" w:rsidR="002D0D6D" w:rsidRDefault="00000000">
      <w:pPr>
        <w:overflowPunct w:val="0"/>
        <w:autoSpaceDE w:val="0"/>
        <w:autoSpaceDN w:val="0"/>
        <w:adjustRightInd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16.</w:t>
      </w:r>
      <w:r>
        <w:rPr>
          <w:rFonts w:ascii="Times New Roman" w:eastAsia="方正仿宋_GBK" w:hAnsi="Times New Roman" w:cs="Times New Roman"/>
          <w:b/>
          <w:bCs/>
          <w:sz w:val="32"/>
          <w:szCs w:val="32"/>
        </w:rPr>
        <w:t>大力培育</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名医</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坚持不求所有、但求所用，统筹区域人才资源，支持辖区医院开展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名医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计划，助推形成一批在国内外具有较高知名度的顶尖医学专家，形成一批优秀的医学创新人才团队。实施更加积极、更加开放、更加有效的人才引进政策，争取院士引进等更多人才项目落户渝中。支持建立相互</w:t>
      </w:r>
      <w:r>
        <w:rPr>
          <w:rFonts w:ascii="Times New Roman" w:eastAsia="方正仿宋_GBK" w:hAnsi="Times New Roman" w:cs="Times New Roman"/>
          <w:sz w:val="32"/>
          <w:szCs w:val="32"/>
        </w:rPr>
        <w:lastRenderedPageBreak/>
        <w:t>衔接、覆盖不同发展阶段的人才培育体系，实行人才项目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学科发展、医疗技术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科研平台紧密结合的人才培育模式，建立适应高端卫生人才成长特点的国际交流合作机制，举办具有影响力的、高水平的国际性学术会议及人才论坛。提供专业化、精细化、个性化人才综合服务，构建人才发展生态环境。</w:t>
      </w:r>
    </w:p>
    <w:p w14:paraId="634E79EE" w14:textId="77777777" w:rsidR="002D0D6D" w:rsidRDefault="00000000">
      <w:pPr>
        <w:shd w:val="clear" w:color="auto" w:fill="FFFFFF"/>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17.</w:t>
      </w:r>
      <w:r>
        <w:rPr>
          <w:rFonts w:ascii="Times New Roman" w:eastAsia="方正仿宋_GBK" w:hAnsi="Times New Roman" w:cs="Times New Roman"/>
          <w:b/>
          <w:bCs/>
          <w:sz w:val="32"/>
          <w:szCs w:val="32"/>
        </w:rPr>
        <w:t>大力发展</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名术</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着力发展尖端医疗技术，以在国内具有优势的专科技术为龙头，瞄准国际医学前沿领域，参与国际标准、规范、指南制定，冲击国际医学先进水平。以在国内具有特色的专科技术为基础，掌握核心和关键临床诊疗技术，提高研究创新能力和行业内影响力，打造国内一流专科高地。选择重点亚专科和新兴、交叉专科领域，推进技术向精、深发展，培育新的专科增长点，引进发展细胞治疗、基因治疗、液体活检等新技术，提高高发病率、高患病率、高致残率和高死亡率的疾病诊疗技术水平。助推重庆医科大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双一流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建设，成为医学创新技术与人才策源地。以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环重医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创新生态圈为平台，推动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政产学研医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深度融合，加强医院与高等院校、科研院所、医药企业和高新技术企业合作，积极推进科技成果转移转化。</w:t>
      </w:r>
    </w:p>
    <w:p w14:paraId="54A88E81"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（二）精心提供优质医疗服务</w:t>
      </w:r>
    </w:p>
    <w:p w14:paraId="616FCC0B" w14:textId="77777777" w:rsidR="002D0D6D" w:rsidRDefault="00000000">
      <w:pPr>
        <w:overflowPunct w:val="0"/>
        <w:spacing w:line="620" w:lineRule="exact"/>
        <w:ind w:firstLine="63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18.</w:t>
      </w:r>
      <w:r>
        <w:rPr>
          <w:rFonts w:ascii="Times New Roman" w:eastAsia="方正仿宋_GBK" w:hAnsi="Times New Roman" w:cs="Times New Roman"/>
          <w:b/>
          <w:bCs/>
          <w:sz w:val="32"/>
          <w:szCs w:val="32"/>
        </w:rPr>
        <w:t>确保医疗质量安全。</w:t>
      </w:r>
      <w:r>
        <w:rPr>
          <w:rFonts w:ascii="Times New Roman" w:eastAsia="方正仿宋_GBK" w:hAnsi="Times New Roman" w:cs="Times New Roman"/>
          <w:b/>
          <w:sz w:val="32"/>
          <w:szCs w:val="32"/>
        </w:rPr>
        <w:tab/>
      </w:r>
      <w:r>
        <w:rPr>
          <w:rFonts w:ascii="Times New Roman" w:eastAsia="方正仿宋_GBK" w:hAnsi="Times New Roman" w:cs="Times New Roman"/>
          <w:sz w:val="32"/>
          <w:szCs w:val="32"/>
        </w:rPr>
        <w:t>健全科学的医疗质量安全控制体系，做实区级医疗质控中心，加强常态化专业监测指导，推行品管圈、质量环等管理工具，规范落实首诊负责、三级查房等</w:t>
      </w:r>
      <w:r>
        <w:rPr>
          <w:rFonts w:ascii="Times New Roman" w:eastAsia="方正仿宋_GBK" w:hAnsi="Times New Roman" w:cs="Times New Roman"/>
          <w:sz w:val="32"/>
          <w:szCs w:val="32"/>
        </w:rPr>
        <w:lastRenderedPageBreak/>
        <w:t>18</w:t>
      </w:r>
      <w:r>
        <w:rPr>
          <w:rFonts w:ascii="Times New Roman" w:eastAsia="方正仿宋_GBK" w:hAnsi="Times New Roman" w:cs="Times New Roman"/>
          <w:sz w:val="32"/>
          <w:szCs w:val="32"/>
        </w:rPr>
        <w:t>项医疗核心制度，强化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三基三严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员培训，加快推进电子病历分级评价，对医疗执业活动实现动态、全过程管理。全面实施临床路径，加强重大疾病规范化诊疗管理，健全医疗技术临床应用管理制度，规范限制类医疗技术备案管理。加强临床药事管理，以抗菌药物为重点推进合理用药，强化处方监管，提高临床用药的安全性、有效性。持续提高护理技术水平，充分发挥护理在提升医疗质量中的积极作用。加强医院感染防控，规范医疗废物、废水处置，推行生活垃圾分类管理。加快建立现代医院管理制度，加强公立医院绩效考核，优化医院运行机制，强化医院内涵建设，提升医院管理的科学化、专业化和精细化水平。</w:t>
      </w:r>
    </w:p>
    <w:p w14:paraId="18F3B26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19.</w:t>
      </w:r>
      <w:r>
        <w:rPr>
          <w:rFonts w:ascii="Times New Roman" w:eastAsia="方正仿宋_GBK" w:hAnsi="Times New Roman" w:cs="Times New Roman"/>
          <w:b/>
          <w:bCs/>
          <w:sz w:val="32"/>
          <w:szCs w:val="32"/>
        </w:rPr>
        <w:t>加强临床服务能力建设。</w:t>
      </w:r>
      <w:r>
        <w:rPr>
          <w:rFonts w:ascii="Times New Roman" w:eastAsia="方正仿宋_GBK" w:hAnsi="Times New Roman" w:cs="Times New Roman"/>
          <w:sz w:val="32"/>
          <w:szCs w:val="32"/>
        </w:rPr>
        <w:t>重点支持薄弱领域重点专科诊疗能力提升，促进医疗服务体系协调发展。加强麻醉医疗服务，深入开展分娩镇痛试点工作，鼓励医院开设麻醉门诊、疼痛门诊，加强儿童、老年人、肿瘤患者的镇痛服务。着力推广多学科诊疗服务。不断丰富日间医疗服务内涵。继续优化急诊急救服务。建立老年护理服务体系，加强老年护理从业人员培训，提升老年护理服务能力，加快发展社区和居家护理服务，积极开设家庭病床，扩大老年护理服务供给。加强药学服务，加大药师配备力度，重点提高长期用药的药学服务能力。注重加强基层医疗服务能力建设，建设社区医院，提高常见病、多发病和慢性病的诊治、康复服务能力提升急诊抢救、高危孕产</w:t>
      </w:r>
      <w:r>
        <w:rPr>
          <w:rFonts w:ascii="Times New Roman" w:eastAsia="方正仿宋_GBK" w:hAnsi="Times New Roman" w:cs="Times New Roman"/>
          <w:sz w:val="32"/>
          <w:szCs w:val="32"/>
        </w:rPr>
        <w:lastRenderedPageBreak/>
        <w:t>妇筛查、儿科等医疗服务能力。</w:t>
      </w:r>
    </w:p>
    <w:p w14:paraId="580F6B7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20.</w:t>
      </w:r>
      <w:r>
        <w:rPr>
          <w:rFonts w:ascii="Times New Roman" w:eastAsia="方正仿宋_GBK" w:hAnsi="Times New Roman" w:cs="Times New Roman"/>
          <w:b/>
          <w:bCs/>
          <w:sz w:val="32"/>
          <w:szCs w:val="32"/>
        </w:rPr>
        <w:t>持续改善医疗服务品质。</w:t>
      </w:r>
      <w:r>
        <w:rPr>
          <w:rFonts w:ascii="Times New Roman" w:eastAsia="方正仿宋_GBK" w:hAnsi="Times New Roman" w:cs="Times New Roman"/>
          <w:sz w:val="32"/>
          <w:szCs w:val="32"/>
        </w:rPr>
        <w:t>优化诊区设施布局，营造温馨就诊环境。大力推进区域就诊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一卡通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统筹辖区内各医疗机构的挂号软件、网站，建立统一平台。推进预约诊疗服务，有效分流就诊患者。合理调配诊疗资源，推行日间手术，加强急诊力量，畅通急诊绿色通道。发挥信息技术优势，提供费用结算、检查结果推送、健康信息咨询等在线服务，完善入院、出院、转院服务流程，改善患者就医体验。推动远程医疗服务常态化，推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基层检查、上级诊断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的服务模式，电子健康档案和电子病历实现信息共享。提高医疗机构人文服务能力，加强文明用语、隐私保护、医务社工和志愿者服务等人文关怀。保持打击涉医违法犯罪行为的高压态势，推进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平安医院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建设，二级以上公立医院警务室全覆盖。健全院内调解、人民调解、司法调解、医疗风险分担机制有机结合的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三调解一保险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制度体系，妥善化解医疗纠纷，构建和谐医患关系。</w:t>
      </w:r>
    </w:p>
    <w:p w14:paraId="629B66FC"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bCs/>
          <w:sz w:val="32"/>
          <w:szCs w:val="32"/>
        </w:rPr>
        <w:t>（三）发挥中医药服务特色优势</w:t>
      </w:r>
    </w:p>
    <w:p w14:paraId="7ECAC3CF"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21.</w:t>
      </w:r>
      <w:r>
        <w:rPr>
          <w:rFonts w:ascii="Times New Roman" w:eastAsia="方正仿宋_GBK" w:hAnsi="Times New Roman" w:cs="Times New Roman"/>
          <w:b/>
          <w:bCs/>
          <w:sz w:val="32"/>
          <w:szCs w:val="32"/>
        </w:rPr>
        <w:t>提升中医药服务网络能级。</w:t>
      </w:r>
      <w:r>
        <w:rPr>
          <w:rFonts w:ascii="Times New Roman" w:eastAsia="方正仿宋_GBK" w:hAnsi="Times New Roman" w:cs="Times New Roman"/>
          <w:sz w:val="32"/>
          <w:szCs w:val="32"/>
        </w:rPr>
        <w:t>完成重庆市中医骨科医院化龙桥新院建设，创建成为国家三级甲等中医骨伤专科医院。二级以上公立综合医院、妇幼保健机构全部设置中医药科室，鼓励有条件的专科医院设置中医药科室。每个社区卫生服务中心建成中医馆、国医堂等中医综合服务区及信息平台。支持社会力量举办中医诊所、门诊部和特色专科医院，鼓励连锁经营。</w:t>
      </w:r>
      <w:r>
        <w:rPr>
          <w:rFonts w:ascii="Times New Roman" w:eastAsia="方正仿宋_GBK" w:hAnsi="Times New Roman" w:cs="Times New Roman"/>
          <w:sz w:val="32"/>
          <w:szCs w:val="32"/>
        </w:rPr>
        <w:lastRenderedPageBreak/>
        <w:t>强化中医医院以中医药服务为主的办院模式和服务功能，加快建立体现中医药特点的现代医院管理制度。形成以重庆市中医骨科医院为龙头、综合医院等其他类别医院中医药科室为骨干、社区医疗卫生机构为基础、中医门诊部和诊所为补充、融预防保健、疾病治疗和康复于一体的中医药服务网络。</w:t>
      </w:r>
    </w:p>
    <w:p w14:paraId="43C6DC7A"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22.</w:t>
      </w:r>
      <w:r>
        <w:rPr>
          <w:rFonts w:ascii="Times New Roman" w:eastAsia="方正仿宋_GBK" w:hAnsi="Times New Roman" w:cs="Times New Roman"/>
          <w:b/>
          <w:bCs/>
          <w:sz w:val="32"/>
          <w:szCs w:val="32"/>
        </w:rPr>
        <w:t>提高中医药防病治病能力。</w:t>
      </w:r>
      <w:r>
        <w:rPr>
          <w:rFonts w:ascii="Times New Roman" w:eastAsia="方正仿宋_GBK" w:hAnsi="Times New Roman" w:cs="Times New Roman"/>
          <w:sz w:val="32"/>
          <w:szCs w:val="32"/>
        </w:rPr>
        <w:t>实施中医临床优势培育工程，加强骨伤、针灸、推拿、妇科等中医优势专科专病建设，彰显中医药在疾病治疗中的优势。升级实施中医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治未病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工程，在国家基本公共卫生服务项目中丰富中医治未病内容，推行家庭医生中医药签约服务，推广体现中医治未病理念的健康工作和生活方式，建立中医药参与突发公共事件应急网络和应急救治工作协调机制，更好发挥中医药在流感等新发突发传染病防治和公共卫生事件应急处置中的作用。实施中医药康复服务能力提升工程，针对心脑血管病、糖尿病等慢性病和伤残等，加强中医康复科室建设，推广中医康复技术进社区、进家庭、进机构，提升中医药特色康复能力。促进中西医结合，建立综合医院、专科医院中西医会诊制度，将中医纳入多学科会诊体系，建立更加完善的西医学习中医制度。持续实施基层中医药服务能力提升工程，建立融入中医药内容的社区健康管理模式，加强高危人群中医药健康干预，注重发展中医非药物疗法，提升基层西医和中医两种手段综合服务能力。</w:t>
      </w:r>
      <w:r>
        <w:rPr>
          <w:rFonts w:ascii="Times New Roman" w:eastAsia="方正仿宋_GBK" w:hAnsi="Times New Roman" w:cs="Times New Roman"/>
          <w:sz w:val="32"/>
          <w:szCs w:val="32"/>
        </w:rPr>
        <w:t xml:space="preserve"> </w:t>
      </w:r>
    </w:p>
    <w:p w14:paraId="3F050CF6"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23.</w:t>
      </w:r>
      <w:r>
        <w:rPr>
          <w:rFonts w:ascii="Times New Roman" w:eastAsia="方正仿宋_GBK" w:hAnsi="Times New Roman" w:cs="Times New Roman"/>
          <w:b/>
          <w:bCs/>
          <w:sz w:val="32"/>
          <w:szCs w:val="32"/>
        </w:rPr>
        <w:t>加大中医药传承创新力度。</w:t>
      </w:r>
      <w:r>
        <w:rPr>
          <w:rFonts w:ascii="Times New Roman" w:eastAsia="方正仿宋_GBK" w:hAnsi="Times New Roman" w:cs="Times New Roman"/>
          <w:sz w:val="32"/>
          <w:szCs w:val="32"/>
        </w:rPr>
        <w:t>加强对中医药典籍的学习研</w:t>
      </w:r>
      <w:r>
        <w:rPr>
          <w:rFonts w:ascii="Times New Roman" w:eastAsia="方正仿宋_GBK" w:hAnsi="Times New Roman" w:cs="Times New Roman"/>
          <w:sz w:val="32"/>
          <w:szCs w:val="32"/>
        </w:rPr>
        <w:lastRenderedPageBreak/>
        <w:t>究利用，全面系统继承名老中医药专家学术思想和临床诊疗经验，总结中医优势病种临床基本诊疗规律，使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渝州正骨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原创学术体系得以弘扬。加快推进活态传承，完善中医药学术传承制度，加强名老中医药专家传承工作室建设，发展师承教育，实现医疗机构师承教育常态化和制度化，培养多层次的中医药骨干人才。以中医药非物质文化遗产为引导，挖掘活化民间中医名方名术。着力推进中医药创新，以服务链、产业链布局创新链，支持医疗机构与企业、高等学校、科研机构等协同创新，建立产学研用一体化创新模式。加强科研教学能力建设，依托重庆市中医骨科医院，进一步完善重庆中医骨伤研究所功能设置，提升研究能力，成为中医药院校实习教学基地。支持开展科研项目，综合运用现代科技手段，加强对常见病、多发病、慢性病和疑难疾病的中医药防治研究，力争取得一批理论创新、技术创新、服务创新成果。落实中医药健康文化素</w:t>
      </w:r>
      <w:r>
        <w:rPr>
          <w:rFonts w:ascii="Times New Roman" w:eastAsia="方正仿宋_GBK" w:hAnsi="Times New Roman" w:cs="Times New Roman"/>
          <w:snapToGrid w:val="0"/>
          <w:spacing w:val="-11"/>
          <w:sz w:val="32"/>
          <w:szCs w:val="32"/>
        </w:rPr>
        <w:t>养提升工程，加强中医药文化科学传播，繁荣发展中医药文化。</w:t>
      </w:r>
    </w:p>
    <w:p w14:paraId="3FCF0EA3"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三、打造生命周期全程综合健康服务示范区</w:t>
      </w:r>
    </w:p>
    <w:p w14:paraId="057151D2" w14:textId="77777777" w:rsidR="002D0D6D" w:rsidRDefault="00000000">
      <w:pPr>
        <w:shd w:val="clear" w:color="auto" w:fill="FFFFFF"/>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（一）深耕精耕社区卫生服务</w:t>
      </w:r>
    </w:p>
    <w:p w14:paraId="675C8728"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24.</w:t>
      </w:r>
      <w:r>
        <w:rPr>
          <w:rFonts w:ascii="Times New Roman" w:eastAsia="方正仿宋_GBK" w:hAnsi="Times New Roman" w:cs="Times New Roman"/>
          <w:b/>
          <w:bCs/>
          <w:sz w:val="32"/>
          <w:szCs w:val="32"/>
        </w:rPr>
        <w:t>构筑社区居民健康综合服务大平台。</w:t>
      </w:r>
      <w:r>
        <w:rPr>
          <w:rFonts w:ascii="Times New Roman" w:eastAsia="方正仿宋_GBK" w:hAnsi="Times New Roman" w:cs="Times New Roman"/>
          <w:sz w:val="32"/>
          <w:szCs w:val="32"/>
        </w:rPr>
        <w:t>以社区卫生服务机构为载体，大力推动公共卫生、基本医疗、妇幼保健、中医中药、社区养老、医疗救助、红十字应急救护培训、残疾康复、科技科普等与居民健康相关社会资源进一步向社区下沉聚合，为社区卫生服务机构注入资源，各类资源在平台上统筹运行。</w:t>
      </w:r>
      <w:r>
        <w:rPr>
          <w:rFonts w:ascii="Times New Roman" w:eastAsia="方正仿宋_GBK" w:hAnsi="Times New Roman" w:cs="Times New Roman"/>
          <w:sz w:val="32"/>
          <w:szCs w:val="32"/>
        </w:rPr>
        <w:lastRenderedPageBreak/>
        <w:t>大力推动建立社区卫生服务机构与各相关组织机构纵向上下联动、横向左右联系的协同机制，畅通与医院之间全科专科对接、双向转诊、技术支撑渠道，打通与街道、社区、养老机构、志愿者组织等协作关系，坚持平台向社会组织、市场资源开放。深化社区卫生服务机构公共卫生网底作用，拓展社区卫生服务领域，持续推进有效的医养结合服务模式。大力推动升级社区卫生机构设施，改造老旧业务用房，优化机构功能布局，更新、增配一批急诊急救、数字化智能化医疗设备等装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并举加强以全科医生为重点的人员配备，健全涵盖业务、质控、绩效、成本等社区卫生服务中心平台现代管理制度，进一步提升急诊急救能力。发挥平台功能，使社区卫生服务机构成为政府履行基本医疗卫生职责的公共平台、综合医院和社区医务人员开展执业活动的工作平台、社会资源进入社区卫生服务的整合平台、社区居民获得基本卫生服务需求的服务平台、发展医养结合及其他健康产业的支持平台。</w:t>
      </w:r>
    </w:p>
    <w:p w14:paraId="63B9E74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25.</w:t>
      </w:r>
      <w:r>
        <w:rPr>
          <w:rFonts w:ascii="Times New Roman" w:eastAsia="方正仿宋_GBK" w:hAnsi="Times New Roman" w:cs="Times New Roman"/>
          <w:b/>
          <w:bCs/>
          <w:sz w:val="32"/>
          <w:szCs w:val="32"/>
        </w:rPr>
        <w:t>全面建立家庭医生签约服务新模式。</w:t>
      </w:r>
      <w:r>
        <w:rPr>
          <w:rFonts w:ascii="Times New Roman" w:eastAsia="方正仿宋_GBK" w:hAnsi="Times New Roman" w:cs="Times New Roman"/>
          <w:sz w:val="32"/>
          <w:szCs w:val="32"/>
        </w:rPr>
        <w:t>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覆盖广、签约实、服务好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为原则，务实稳步推进家庭医生签约工作，</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实现对有意愿签约的人群愿签尽签，做深做实签约一人、履约一人、服务一人。强化家庭医生在社区家庭健康服务中的责任主体地位，赋予组建与管理团队、调配与使用资源等权力，探索由居民在社区内自主选择家庭医生的竞争机制，激发调动积极性。将基本医疗服务与基本公共卫生服务有机整合融合，</w:t>
      </w:r>
      <w:r>
        <w:rPr>
          <w:rFonts w:ascii="Times New Roman" w:eastAsia="方正仿宋_GBK" w:hAnsi="Times New Roman" w:cs="Times New Roman"/>
          <w:sz w:val="32"/>
          <w:szCs w:val="32"/>
        </w:rPr>
        <w:lastRenderedPageBreak/>
        <w:t>丰富个性化签约服务包，实现家庭医生根据健康人群、高危人群、患病人群以及疾病恢复期人群分层分类需求，实行综合性、防治融合、全程有效的健康管理服务。加强家庭医生签约服务规范化建设，优化家庭医生与团队、社区卫生服务中心平台的职能分工与衔接机制，形成以家庭医生为核心、团队为载体、平台为支撑，为签约居民提供综合的、连续的、全程的健康管理服务模式。</w:t>
      </w:r>
    </w:p>
    <w:p w14:paraId="6DE9FE75"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26.</w:t>
      </w:r>
      <w:r>
        <w:rPr>
          <w:rFonts w:ascii="Times New Roman" w:eastAsia="方正仿宋_GBK" w:hAnsi="Times New Roman" w:cs="Times New Roman"/>
          <w:b/>
          <w:bCs/>
          <w:sz w:val="32"/>
          <w:szCs w:val="32"/>
        </w:rPr>
        <w:t>加快提升服务水平成为居民健康</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守门人</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发展、服务、提质、获得感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四个主题，深入开展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优质服务基层行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活动，持续改进提升服务质量和能力，充分发挥区级质控中心作用，助推社区卫生服务中心等级评审，</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年内</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的社区卫生服务中心达到国家基本标准。坚持以社区卫生服务中心为主体，建立与市级医院多种协作形式的城区医疗联合体，实现远程影像、心电、会诊、教学等全覆盖、常态化，提供坚实技术支撑，促进形成社区首诊、按需转诊的分级诊疗格局。以</w:t>
      </w:r>
      <w:r>
        <w:rPr>
          <w:rFonts w:ascii="Times New Roman" w:eastAsia="方正仿宋_GBK" w:hAnsi="Times New Roman" w:cs="Times New Roman"/>
          <w:sz w:val="32"/>
          <w:szCs w:val="32"/>
        </w:rPr>
        <w:t>66</w:t>
      </w:r>
      <w:r>
        <w:rPr>
          <w:rFonts w:ascii="Times New Roman" w:eastAsia="方正仿宋_GBK" w:hAnsi="Times New Roman" w:cs="Times New Roman"/>
          <w:sz w:val="32"/>
          <w:szCs w:val="32"/>
        </w:rPr>
        <w:t>个基层首诊病种为切入点，提高基础性医疗能力。与医院差别化发展康复、中医、妇科（妇女保健）、儿科（儿童保健）等特色专科，鼓励开设慢性病联合门诊，提高基层慢性病诊疗能力。发展中医药特色服务，推广应用针灸、刮痧、拔罐、敷熨、熏浴等中医药适宜技术，建成一批具有鲜明中医药特色和优势的社区卫生服务中心。加速提升社区护理能力，建设一批社区护理站，以老年护理为重点，提供导管护理、压疮护理、</w:t>
      </w:r>
      <w:r>
        <w:rPr>
          <w:rFonts w:ascii="Times New Roman" w:eastAsia="方正仿宋_GBK" w:hAnsi="Times New Roman" w:cs="Times New Roman"/>
          <w:sz w:val="32"/>
          <w:szCs w:val="32"/>
        </w:rPr>
        <w:lastRenderedPageBreak/>
        <w:t>疼痛护理、失禁护理等专业居家护理服务。充分运用信息化，发展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线上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线下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服务方式。以优先转诊、优先预约检查、优先安排住院等倾斜政策引导居民优先利用家庭医生服务，探索家庭医生对签约居民医保费用管理，使家庭医生成为居民健康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守门人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44D3B7C7" w14:textId="77777777" w:rsidR="002D0D6D" w:rsidRDefault="00000000">
      <w:pPr>
        <w:shd w:val="clear" w:color="auto" w:fill="FFFFFF"/>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（二）做实做优妇幼健康服务</w:t>
      </w:r>
    </w:p>
    <w:p w14:paraId="093E2F1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27.</w:t>
      </w:r>
      <w:r>
        <w:rPr>
          <w:rFonts w:ascii="Times New Roman" w:eastAsia="方正仿宋_GBK" w:hAnsi="Times New Roman" w:cs="Times New Roman"/>
          <w:b/>
          <w:bCs/>
          <w:sz w:val="32"/>
          <w:szCs w:val="32"/>
        </w:rPr>
        <w:t>优化服务资源配置。</w:t>
      </w:r>
      <w:r>
        <w:rPr>
          <w:rFonts w:ascii="Times New Roman" w:eastAsia="方正仿宋_GBK" w:hAnsi="Times New Roman" w:cs="Times New Roman"/>
          <w:sz w:val="32"/>
          <w:szCs w:val="32"/>
        </w:rPr>
        <w:t>健全以妇幼保健机构为核心、以基层医疗卫生机构为基础、以大中型综合医院专科医院和相关科研教学机构为支撑、以民营医院为补充，坚持以保健为中心，保健与临床相结合，面向妇女儿童提供防治结合的妇幼健康服务体系。加强妇幼健康服务机构标准化建设与规范化管理，推动区妇幼保健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一中心五专科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建设，创建达到二级妇幼保健院标准。持续开展基层医疗卫生机构妇女保健和儿童保健等级门诊创建活动。加强市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社区三级妇幼健康服务体系上下协同联动、系统整合，建成妇幼健康联盟，打造涵盖婚前、孕前、孕产、产后和儿童等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个时期的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一条龙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育服务链。实施三孩生育政策，积极推动有关经济社会政策与生育政策有机配套衔接，营造鼓励按政策生育的支持性环境，做好生育登记服务，所有应配置母婴设施的公共场所和用人单位建成标准化的母婴设施，以政策支持、示范带动发展多元化、多样化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岁以下婴幼儿普惠托育服务体系。加强出生人口监测，依据人口动态合理配置服务资源。落实计划生育家庭奖励、扶助制</w:t>
      </w:r>
      <w:r>
        <w:rPr>
          <w:rFonts w:ascii="Times New Roman" w:eastAsia="方正仿宋_GBK" w:hAnsi="Times New Roman" w:cs="Times New Roman"/>
          <w:sz w:val="32"/>
          <w:szCs w:val="32"/>
        </w:rPr>
        <w:lastRenderedPageBreak/>
        <w:t>度，关爱计划生育特殊家庭，提高计划生育家庭发展能力。</w:t>
      </w:r>
    </w:p>
    <w:p w14:paraId="31A0C751" w14:textId="77777777" w:rsidR="002D0D6D" w:rsidRDefault="00000000">
      <w:pPr>
        <w:pStyle w:val="ae"/>
        <w:widowControl w:val="0"/>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28.</w:t>
      </w:r>
      <w:r>
        <w:rPr>
          <w:rFonts w:ascii="Times New Roman" w:eastAsia="方正仿宋_GBK" w:hAnsi="Times New Roman" w:cs="Times New Roman"/>
          <w:b/>
          <w:bCs/>
          <w:sz w:val="32"/>
          <w:szCs w:val="32"/>
        </w:rPr>
        <w:t>保障妇幼安全健康。</w:t>
      </w:r>
      <w:r>
        <w:rPr>
          <w:rFonts w:ascii="Times New Roman" w:eastAsia="方正仿宋_GBK" w:hAnsi="Times New Roman" w:cs="Times New Roman"/>
          <w:sz w:val="32"/>
          <w:szCs w:val="32"/>
        </w:rPr>
        <w:t>推进母子健康手册信息化建设，整合孕前保健、孕期保健、住院分娩、儿童保健、儿童预防接种和计划生育服务内容，为妇女儿童提供系统、规范的生育全程基本医疗保健服务。全面落实妊娠风险筛查与评估、高危孕产妇专案管理、危急重症救治、孕产妇死亡个案报告和约谈通报等母婴安全</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项制度，规范高危儿童保健服务，有效控制孕产妇死亡率和婴儿死亡率。实施婚前医学检查、产前筛查、新生儿疾病筛查等全方位、整链式出生缺陷三级预防措施，建立涵盖孕前、孕期、新生儿各阶段的出生缺陷防治服务制度，推动基因检测技术的科学应用，做好唐氏综合征、耳聋、地中海贫血、先天性心脏病等疾病的出生缺陷综合防控工作，减少出生缺陷发生，提高出生人口素质。整合衔接生育妇幼保健过程中基本公共卫生服务项目、重大公共卫生服务项目、基本医疗保险、生育保险等相关政策措施，提高惠民项目实效。提供规范的青春期、育龄期、孕产期、更年期和老年期妇女生殖保健服务，建立妇女</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等常见病定期筛查制度，加大妇女常见病防治力度。预防艾滋病、梅毒、乙肝母婴传播，严格控制剖宫产率，积极倡导母乳喂养，严格禁止非医学需要的胎儿性别鉴定和选择性别的人工终止妊娠。</w:t>
      </w:r>
    </w:p>
    <w:p w14:paraId="000B38F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29.</w:t>
      </w:r>
      <w:r>
        <w:rPr>
          <w:rFonts w:ascii="Times New Roman" w:eastAsia="方正仿宋_GBK" w:hAnsi="Times New Roman" w:cs="Times New Roman"/>
          <w:b/>
          <w:bCs/>
          <w:sz w:val="32"/>
          <w:szCs w:val="32"/>
        </w:rPr>
        <w:t>促进儿童青少年健康全面发展。</w:t>
      </w:r>
      <w:r>
        <w:rPr>
          <w:rFonts w:ascii="Times New Roman" w:eastAsia="方正仿宋_GBK" w:hAnsi="Times New Roman" w:cs="Times New Roman"/>
          <w:sz w:val="32"/>
          <w:szCs w:val="32"/>
        </w:rPr>
        <w:t>全面加强托幼机构、中小学卫生保健业务指导、技术支持和监督管理，开展生长发育</w:t>
      </w:r>
      <w:r>
        <w:rPr>
          <w:rFonts w:ascii="Times New Roman" w:eastAsia="方正仿宋_GBK" w:hAnsi="Times New Roman" w:cs="Times New Roman"/>
          <w:sz w:val="32"/>
          <w:szCs w:val="32"/>
        </w:rPr>
        <w:lastRenderedPageBreak/>
        <w:t>监测、膳食营养分析、健康危害因素监测评价、疾病筛查等，建立健康档案，提供健康成长环境。积极推进儿童早期发展，支持建设儿童早期发展示范基地，促进儿童体格、心理、认知、情感和社会适应能力的全面发展。实施营养综合干预，预防和减少肥胖发生。普及健康教育和中医预防保健知识，支持儿科健康服务科技创新，加强威胁儿童青少年健康的传染病和常见病防治，推动</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岁儿童残疾筛查、诊断、治疗、康复相衔接，实施儿童青少年心理健康行动，综合防治儿童青少年近视率高、高校学生艾滋病疫情等问题。</w:t>
      </w:r>
    </w:p>
    <w:p w14:paraId="4995C4C2"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（三）提速提质发展健康养老服务</w:t>
      </w:r>
    </w:p>
    <w:p w14:paraId="11AA1C9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30.</w:t>
      </w:r>
      <w:r>
        <w:rPr>
          <w:rFonts w:ascii="Times New Roman" w:eastAsia="方正仿宋_GBK" w:hAnsi="Times New Roman" w:cs="Times New Roman"/>
          <w:b/>
          <w:bCs/>
          <w:sz w:val="32"/>
          <w:szCs w:val="32"/>
        </w:rPr>
        <w:t>扩大健康养老服务资源供给。</w:t>
      </w:r>
      <w:r>
        <w:rPr>
          <w:rFonts w:ascii="Times New Roman" w:eastAsia="方正仿宋_GBK" w:hAnsi="Times New Roman" w:cs="Times New Roman"/>
          <w:sz w:val="32"/>
          <w:szCs w:val="32"/>
        </w:rPr>
        <w:t>围绕大力促进健康老龄化，衔接区域卫生规划和养老服务体系建设规划，统筹整合医疗卫生资源与养老服务资源，多渠道多形式增加健康养老服务资源供给。鼓励以新建、转型等方式，积极发展老年医院、康复医院、护理院等医疗机构，支持具备法人资格的医疗机构举办养老服务机构。推动二级以上综合医院开设老年医学科，中医院开设康复科，增加老年病床位数量。充分发挥社区卫生服务网络作用，开展社区卫生服务中心适老化改造，普遍设置康复、护理、安宁疗护病床和养老床位。合理布局社区卫生护理站建设，推动社区养老机构与护理站或其他医疗设施同址或邻近设置。支持养老机构改扩建医养结合服务设施，举办设置诊所、医务室等医疗机构。促进所有养老机构与医疗卫生机构建</w:t>
      </w:r>
      <w:r>
        <w:rPr>
          <w:rFonts w:ascii="Times New Roman" w:eastAsia="方正仿宋_GBK" w:hAnsi="Times New Roman" w:cs="Times New Roman"/>
          <w:sz w:val="32"/>
          <w:szCs w:val="32"/>
        </w:rPr>
        <w:lastRenderedPageBreak/>
        <w:t>立协作关系。健康养老服务领域全面向社会资本开放，支持社会办大型医养结合机构向集团化、连锁化发展。形成居家社区机构相协调、医养康养相结合，多元化、多层次供给格局。</w:t>
      </w:r>
    </w:p>
    <w:p w14:paraId="4616E93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31.</w:t>
      </w:r>
      <w:r>
        <w:rPr>
          <w:rFonts w:ascii="Times New Roman" w:eastAsia="方正仿宋_GBK" w:hAnsi="Times New Roman" w:cs="Times New Roman"/>
          <w:b/>
          <w:bCs/>
          <w:sz w:val="32"/>
          <w:szCs w:val="32"/>
        </w:rPr>
        <w:t>完善综合连续的健康养老服务链条。</w:t>
      </w:r>
      <w:r>
        <w:rPr>
          <w:rFonts w:ascii="Times New Roman" w:eastAsia="方正仿宋_GBK" w:hAnsi="Times New Roman" w:cs="Times New Roman"/>
          <w:sz w:val="32"/>
          <w:szCs w:val="32"/>
        </w:rPr>
        <w:t>以满足老年人健康服务需求为导向，提供健康教育、预防保健、疾病诊治、康复护理、长期照护、安宁疗护一体化的综合连续健康养老服务。加强健康教育，普及营养膳食、运动健身、心理健康、伤害预防、合理用药等健康知识，倡导组织老年人开展中医养生运动，促进老年人形成健康生活方式。加强预防保健，做实老年人健康管理，推行为老年人免费或低价接种肺炎和流感疫苗，阿尔茨海默病、帕金森病早期筛查，老年人跌倒等意外伤害干预，老年人心理关怀服务等项目，健全老年健康危险因素与老年综合征、老年慢性疾病与并发症、老年失能失智预防体系。加强疾病诊治，将老年人群作为家庭医生签约服务重点，做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愿签尽签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，开展老年友善医疗卫生机构创建活动，</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以上的综合性医院（含中医院）、康复医院、护理院和社区卫生机构建设成为老年友善医疗卫生机构，推动老年医疗服务从以疾病为中心的单病种模式向以患者为中心的多病共治模式转变。加强康复和护理服务，推进康复、护理重心从医院向社区延伸，为老年患者提供早期、系统、专业、连续、就近、可负担的康复医疗服务，完善以机构为支撑、社区为依托、居家为基础，以老年人需求为导向的老年护理服务网络，开展中医特色</w:t>
      </w:r>
      <w:r>
        <w:rPr>
          <w:rFonts w:ascii="Times New Roman" w:eastAsia="方正仿宋_GBK" w:hAnsi="Times New Roman" w:cs="Times New Roman"/>
          <w:sz w:val="32"/>
          <w:szCs w:val="32"/>
        </w:rPr>
        <w:lastRenderedPageBreak/>
        <w:t>老年人康复、护理服务。加强长期照护服务，开展长期护理保险，建立从居家、社区到专业机构相衔接的多层次的长期照护服务体系，优先做好经济困难的高龄、失能失智和计划生育特殊家庭等老年人的长期照护服务，探索建立能够满足老年人全周期、梯度式长期照护需求和实现居家、就近享受服务的长期照护模式。加强安宁疗护服务，建立安宁疗护多学科团队服务模式，为疾病终末期患者提供切实有效的疼痛及其他症状控制、症状管理、舒适照护，对患者及其家属开展心理支持和人文关怀。</w:t>
      </w:r>
    </w:p>
    <w:p w14:paraId="77FD3366"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32.</w:t>
      </w:r>
      <w:r>
        <w:rPr>
          <w:rFonts w:ascii="Times New Roman" w:eastAsia="方正仿宋_GBK" w:hAnsi="Times New Roman" w:cs="Times New Roman"/>
          <w:b/>
          <w:bCs/>
          <w:sz w:val="32"/>
          <w:szCs w:val="32"/>
        </w:rPr>
        <w:t>强化对健康养老服务的支持保障。</w:t>
      </w:r>
      <w:r>
        <w:rPr>
          <w:rFonts w:ascii="Times New Roman" w:eastAsia="方正仿宋_GBK" w:hAnsi="Times New Roman" w:cs="Times New Roman"/>
          <w:sz w:val="32"/>
          <w:szCs w:val="32"/>
        </w:rPr>
        <w:t>在机构建设、科研立项、财政投入、税费减免、资源配置，以及政府购买服务等方面，对老年健康服务予以倾斜。鼓励社会力量举办医养结合机构，政府对社会办医养结合机构区域总量不作规划限制。支持开展上门服务，明确上门医疗护理服务的内容、标准、规范、收费，适当提高上门服务人员的待遇水平，投保责任险、医疗意外险、人身意外险等，防范应对执业风险和人身安全风险。加强老年医学、康复、护理、健康管理、社工、老年服务与管理等专业人才培养，支持公立医疗机构医务人员到医养结合机构执业服务。强化信息支撑，推动老年健康服务信息跨部门跨区域互通共享、深度开发和合理利用，发展智慧健康养老服务。</w:t>
      </w:r>
    </w:p>
    <w:p w14:paraId="47A9C325"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四、打造大健康产业特色发展集聚区</w:t>
      </w:r>
    </w:p>
    <w:p w14:paraId="56B03C48"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lastRenderedPageBreak/>
        <w:t>（一）布局产业空间</w:t>
      </w:r>
    </w:p>
    <w:p w14:paraId="420567D4"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依托区位条件、资源禀赋，强化核心引领、板块联动、极带互动、多点支撑，整体构筑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一圏一廊多点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的全域大健康产业发展格局。</w:t>
      </w:r>
    </w:p>
    <w:p w14:paraId="646D0967"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bidi="ar"/>
        </w:rPr>
        <w:t>33.“</w:t>
      </w:r>
      <w:r>
        <w:rPr>
          <w:rFonts w:ascii="Times New Roman" w:eastAsia="方正仿宋_GBK" w:hAnsi="Times New Roman" w:cs="Times New Roman"/>
          <w:b/>
          <w:bCs/>
          <w:sz w:val="32"/>
          <w:szCs w:val="32"/>
          <w:lang w:bidi="ar"/>
        </w:rPr>
        <w:t>一圈</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引领。</w:t>
      </w:r>
      <w:r>
        <w:rPr>
          <w:rFonts w:ascii="Times New Roman" w:eastAsia="方正仿宋_GBK" w:hAnsi="Times New Roman" w:cs="Times New Roman"/>
          <w:sz w:val="32"/>
          <w:szCs w:val="32"/>
          <w:lang w:bidi="ar"/>
        </w:rPr>
        <w:t>以重庆医科大学为依托，以大坪、石油路区域为载体，高质量建设</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环重医</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创新生态圈，成为全区大健康产业集聚发展的核心区。</w:t>
      </w:r>
    </w:p>
    <w:p w14:paraId="460EA902"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bidi="ar"/>
        </w:rPr>
        <w:t>34.“</w:t>
      </w:r>
      <w:r>
        <w:rPr>
          <w:rFonts w:ascii="Times New Roman" w:eastAsia="方正仿宋_GBK" w:hAnsi="Times New Roman" w:cs="Times New Roman"/>
          <w:b/>
          <w:bCs/>
          <w:sz w:val="32"/>
          <w:szCs w:val="32"/>
          <w:lang w:bidi="ar"/>
        </w:rPr>
        <w:t>一廊</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延伸。</w:t>
      </w:r>
      <w:r>
        <w:rPr>
          <w:rFonts w:ascii="Times New Roman" w:eastAsia="方正仿宋_GBK" w:hAnsi="Times New Roman" w:cs="Times New Roman"/>
          <w:sz w:val="32"/>
          <w:szCs w:val="32"/>
          <w:lang w:bidi="ar"/>
        </w:rPr>
        <w:t>结合</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三甲</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医院在区分布，沿</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袁家岗</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肖家湾</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两路口</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文化宫</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临江门</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道门口</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，打造医疗创新转化走廊。</w:t>
      </w:r>
    </w:p>
    <w:p w14:paraId="3B767D7B"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lang w:bidi="ar"/>
        </w:rPr>
        <w:t>35.“</w:t>
      </w:r>
      <w:r>
        <w:rPr>
          <w:rFonts w:ascii="Times New Roman" w:eastAsia="方正仿宋_GBK" w:hAnsi="Times New Roman" w:cs="Times New Roman"/>
          <w:b/>
          <w:bCs/>
          <w:sz w:val="32"/>
          <w:szCs w:val="32"/>
          <w:lang w:bidi="ar"/>
        </w:rPr>
        <w:t>多点</w:t>
      </w:r>
      <w:r>
        <w:rPr>
          <w:rFonts w:ascii="Times New Roman" w:eastAsia="方正仿宋_GBK" w:hAnsi="Times New Roman" w:cs="Times New Roman"/>
          <w:b/>
          <w:bCs/>
          <w:sz w:val="32"/>
          <w:szCs w:val="32"/>
          <w:lang w:bidi="ar"/>
        </w:rPr>
        <w:t>”</w:t>
      </w:r>
      <w:r>
        <w:rPr>
          <w:rFonts w:ascii="Times New Roman" w:eastAsia="方正仿宋_GBK" w:hAnsi="Times New Roman" w:cs="Times New Roman"/>
          <w:b/>
          <w:bCs/>
          <w:sz w:val="32"/>
          <w:szCs w:val="32"/>
          <w:lang w:bidi="ar"/>
        </w:rPr>
        <w:t>开花。</w:t>
      </w:r>
      <w:r>
        <w:rPr>
          <w:rFonts w:ascii="Times New Roman" w:eastAsia="方正仿宋_GBK" w:hAnsi="Times New Roman" w:cs="Times New Roman"/>
          <w:sz w:val="32"/>
          <w:szCs w:val="32"/>
          <w:lang w:bidi="ar"/>
        </w:rPr>
        <w:t>围绕重医附属口腔医院、重庆市妇幼保健院、重医附属儿童医院等专科医院，补链延链发展口腔、母婴等关联产业，打造一批特色鲜明、具有较强承载能力和集聚功能的健康产业聚集点。</w:t>
      </w:r>
    </w:p>
    <w:p w14:paraId="4BB8A3A9"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（二）丰富产业形态</w:t>
      </w:r>
    </w:p>
    <w:p w14:paraId="056B6B48"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综合考虑产业发展趋势、现实基础，着重围绕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医、药、养、健、管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，确定优先重点产业发展领域，力争</w:t>
      </w:r>
      <w:r>
        <w:rPr>
          <w:rFonts w:ascii="Times New Roman" w:eastAsia="方正仿宋_GBK" w:hAnsi="Times New Roman" w:cs="Times New Roman"/>
          <w:sz w:val="32"/>
          <w:szCs w:val="32"/>
          <w:lang w:bidi="ar"/>
        </w:rPr>
        <w:t>到</w:t>
      </w:r>
      <w:r>
        <w:rPr>
          <w:rFonts w:ascii="Times New Roman" w:eastAsia="方正仿宋_GBK" w:hAnsi="Times New Roman" w:cs="Times New Roman"/>
          <w:sz w:val="32"/>
          <w:szCs w:val="32"/>
          <w:lang w:bidi="ar"/>
        </w:rPr>
        <w:t>2025</w:t>
      </w:r>
      <w:r>
        <w:rPr>
          <w:rFonts w:ascii="Times New Roman" w:eastAsia="方正仿宋_GBK" w:hAnsi="Times New Roman" w:cs="Times New Roman"/>
          <w:sz w:val="32"/>
          <w:szCs w:val="32"/>
          <w:lang w:bidi="ar"/>
        </w:rPr>
        <w:t>年，全区大健康产业增加值突破</w:t>
      </w:r>
      <w:r>
        <w:rPr>
          <w:rFonts w:ascii="Times New Roman" w:eastAsia="方正仿宋_GBK" w:hAnsi="Times New Roman" w:cs="Times New Roman"/>
          <w:sz w:val="32"/>
          <w:szCs w:val="32"/>
          <w:lang w:bidi="ar"/>
        </w:rPr>
        <w:t>200</w:t>
      </w:r>
      <w:r>
        <w:rPr>
          <w:rFonts w:ascii="Times New Roman" w:eastAsia="方正仿宋_GBK" w:hAnsi="Times New Roman" w:cs="Times New Roman"/>
          <w:sz w:val="32"/>
          <w:szCs w:val="32"/>
          <w:lang w:bidi="ar"/>
        </w:rPr>
        <w:t>亿元。</w:t>
      </w:r>
    </w:p>
    <w:p w14:paraId="04FF5751"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36.</w:t>
      </w:r>
      <w:r>
        <w:rPr>
          <w:rFonts w:ascii="Times New Roman" w:eastAsia="方正仿宋_GBK" w:hAnsi="Times New Roman" w:cs="Times New Roman"/>
          <w:b/>
          <w:bCs/>
          <w:sz w:val="32"/>
          <w:szCs w:val="32"/>
        </w:rPr>
        <w:t>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医</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服务为主体。</w:t>
      </w:r>
      <w:r>
        <w:rPr>
          <w:rFonts w:ascii="Times New Roman" w:eastAsia="方正仿宋_GBK" w:hAnsi="Times New Roman" w:cs="Times New Roman"/>
          <w:b/>
          <w:bCs/>
          <w:sz w:val="32"/>
          <w:szCs w:val="32"/>
        </w:rPr>
        <w:t xml:space="preserve"> </w:t>
      </w:r>
      <w:r>
        <w:rPr>
          <w:rFonts w:ascii="Times New Roman" w:eastAsia="方正仿宋_GBK" w:hAnsi="Times New Roman" w:cs="Times New Roman"/>
          <w:sz w:val="32"/>
          <w:szCs w:val="32"/>
          <w:lang w:bidi="ar"/>
        </w:rPr>
        <w:t>推动优质医疗卫生资源提质升级，突出发展美容、口腔等消费型医疗，加快推进智慧医疗建设，拓宽社会办医渠道，推动第三方独立医疗机构加速发展，积极推进医疗卫生国际化。到</w:t>
      </w:r>
      <w:r>
        <w:rPr>
          <w:rFonts w:ascii="Times New Roman" w:eastAsia="方正仿宋_GBK" w:hAnsi="Times New Roman" w:cs="Times New Roman"/>
          <w:sz w:val="32"/>
          <w:szCs w:val="32"/>
          <w:lang w:bidi="ar"/>
        </w:rPr>
        <w:t>2025</w:t>
      </w:r>
      <w:r>
        <w:rPr>
          <w:rFonts w:ascii="Times New Roman" w:eastAsia="方正仿宋_GBK" w:hAnsi="Times New Roman" w:cs="Times New Roman"/>
          <w:sz w:val="32"/>
          <w:szCs w:val="32"/>
          <w:lang w:bidi="ar"/>
        </w:rPr>
        <w:t>年，引入肿瘤、心脑血管</w:t>
      </w:r>
      <w:r>
        <w:rPr>
          <w:rFonts w:ascii="Times New Roman" w:eastAsia="方正仿宋_GBK" w:hAnsi="Times New Roman" w:cs="Times New Roman"/>
          <w:sz w:val="32"/>
          <w:szCs w:val="32"/>
          <w:lang w:bidi="ar"/>
        </w:rPr>
        <w:lastRenderedPageBreak/>
        <w:t>等领域头部医院约</w:t>
      </w:r>
      <w:r>
        <w:rPr>
          <w:rFonts w:ascii="Times New Roman" w:eastAsia="方正仿宋_GBK" w:hAnsi="Times New Roman" w:cs="Times New Roman"/>
          <w:sz w:val="32"/>
          <w:szCs w:val="32"/>
          <w:lang w:bidi="ar"/>
        </w:rPr>
        <w:t>10</w:t>
      </w:r>
      <w:r>
        <w:rPr>
          <w:rFonts w:ascii="Times New Roman" w:eastAsia="方正仿宋_GBK" w:hAnsi="Times New Roman" w:cs="Times New Roman"/>
          <w:sz w:val="32"/>
          <w:szCs w:val="32"/>
          <w:lang w:bidi="ar"/>
        </w:rPr>
        <w:t>家，培育或共建医学检验、影像等第三方医疗机构</w:t>
      </w:r>
      <w:r>
        <w:rPr>
          <w:rFonts w:ascii="Times New Roman" w:eastAsia="方正仿宋_GBK" w:hAnsi="Times New Roman" w:cs="Times New Roman"/>
          <w:sz w:val="32"/>
          <w:szCs w:val="32"/>
          <w:lang w:bidi="ar"/>
        </w:rPr>
        <w:t>10</w:t>
      </w:r>
      <w:r>
        <w:rPr>
          <w:rFonts w:ascii="Times New Roman" w:eastAsia="方正仿宋_GBK" w:hAnsi="Times New Roman" w:cs="Times New Roman"/>
          <w:sz w:val="32"/>
          <w:szCs w:val="32"/>
          <w:lang w:bidi="ar"/>
        </w:rPr>
        <w:t>家，建成新型</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智慧医院</w:t>
      </w:r>
      <w:r>
        <w:rPr>
          <w:rFonts w:ascii="Times New Roman" w:eastAsia="方正仿宋_GBK" w:hAnsi="Times New Roman" w:cs="Times New Roman"/>
          <w:sz w:val="32"/>
          <w:szCs w:val="32"/>
          <w:lang w:bidi="ar"/>
        </w:rPr>
        <w:t>”13</w:t>
      </w:r>
      <w:r>
        <w:rPr>
          <w:rFonts w:ascii="Times New Roman" w:eastAsia="方正仿宋_GBK" w:hAnsi="Times New Roman" w:cs="Times New Roman"/>
          <w:sz w:val="32"/>
          <w:szCs w:val="32"/>
          <w:lang w:bidi="ar"/>
        </w:rPr>
        <w:t>家、互联网医院</w:t>
      </w:r>
      <w:r>
        <w:rPr>
          <w:rFonts w:ascii="Times New Roman" w:eastAsia="方正仿宋_GBK" w:hAnsi="Times New Roman" w:cs="Times New Roman"/>
          <w:sz w:val="32"/>
          <w:szCs w:val="32"/>
          <w:lang w:bidi="ar"/>
        </w:rPr>
        <w:t>12</w:t>
      </w:r>
      <w:r>
        <w:rPr>
          <w:rFonts w:ascii="Times New Roman" w:eastAsia="方正仿宋_GBK" w:hAnsi="Times New Roman" w:cs="Times New Roman"/>
          <w:sz w:val="32"/>
          <w:szCs w:val="32"/>
          <w:lang w:bidi="ar"/>
        </w:rPr>
        <w:t>家，引入成立</w:t>
      </w:r>
      <w:r>
        <w:rPr>
          <w:rFonts w:ascii="Times New Roman" w:eastAsia="方正仿宋_GBK" w:hAnsi="Times New Roman" w:cs="Times New Roman"/>
          <w:sz w:val="32"/>
          <w:szCs w:val="32"/>
          <w:lang w:bidi="ar"/>
        </w:rPr>
        <w:t>1</w:t>
      </w:r>
      <w:r>
        <w:rPr>
          <w:rFonts w:ascii="Times New Roman" w:eastAsia="方正仿宋_GBK" w:hAnsi="Times New Roman" w:cs="Times New Roman"/>
          <w:sz w:val="32"/>
          <w:szCs w:val="32"/>
          <w:lang w:bidi="ar"/>
        </w:rPr>
        <w:t>家及以上以外资合资或港澳独资形式设立的医疗机构或由国际化医院管理团队参与运营管理的医院。</w:t>
      </w:r>
    </w:p>
    <w:p w14:paraId="52C56DB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b/>
          <w:bCs/>
          <w:sz w:val="32"/>
          <w:szCs w:val="32"/>
        </w:rPr>
        <w:t>37.</w:t>
      </w:r>
      <w:r>
        <w:rPr>
          <w:rFonts w:ascii="Times New Roman" w:eastAsia="方正仿宋_GBK" w:hAnsi="Times New Roman" w:cs="Times New Roman"/>
          <w:b/>
          <w:bCs/>
          <w:sz w:val="32"/>
          <w:szCs w:val="32"/>
        </w:rPr>
        <w:t>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药</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流通为重点。</w:t>
      </w:r>
      <w:r>
        <w:rPr>
          <w:rFonts w:ascii="Times New Roman" w:eastAsia="方正仿宋_GBK" w:hAnsi="Times New Roman" w:cs="Times New Roman"/>
          <w:sz w:val="32"/>
          <w:szCs w:val="32"/>
          <w:lang w:bidi="ar"/>
        </w:rPr>
        <w:t>加快形成以大型骨干企业为主体、中小企业为补充的药品流通网络，推动医药零售行业智能化升级，打造药品</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新零售</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服务生态，构建西部地区药品流通桥头堡，到</w:t>
      </w:r>
      <w:r>
        <w:rPr>
          <w:rFonts w:ascii="Times New Roman" w:eastAsia="方正仿宋_GBK" w:hAnsi="Times New Roman" w:cs="Times New Roman"/>
          <w:sz w:val="32"/>
          <w:szCs w:val="32"/>
          <w:lang w:bidi="ar"/>
        </w:rPr>
        <w:t>2025</w:t>
      </w:r>
      <w:r>
        <w:rPr>
          <w:rFonts w:ascii="Times New Roman" w:eastAsia="方正仿宋_GBK" w:hAnsi="Times New Roman" w:cs="Times New Roman"/>
          <w:sz w:val="32"/>
          <w:szCs w:val="32"/>
          <w:lang w:bidi="ar"/>
        </w:rPr>
        <w:t>年，全区药品销售总额达到</w:t>
      </w:r>
      <w:r>
        <w:rPr>
          <w:rFonts w:ascii="Times New Roman" w:eastAsia="方正仿宋_GBK" w:hAnsi="Times New Roman" w:cs="Times New Roman"/>
          <w:sz w:val="32"/>
          <w:szCs w:val="32"/>
          <w:lang w:bidi="ar"/>
        </w:rPr>
        <w:t>600</w:t>
      </w:r>
      <w:r>
        <w:rPr>
          <w:rFonts w:ascii="Times New Roman" w:eastAsia="方正仿宋_GBK" w:hAnsi="Times New Roman" w:cs="Times New Roman"/>
          <w:sz w:val="32"/>
          <w:szCs w:val="32"/>
          <w:lang w:bidi="ar"/>
        </w:rPr>
        <w:t>亿元。依托重庆中药材专业市场，推动建设中药材商品交易中心、中药材电子交易平台，中药材大数据平台等三大平台，构建互联网环境下中药材现代市场流通体系。打造南纪门中医药特色文化街区，建成国医国药体验、中医药文化传播、养生保健调理、产品销售展示、中医药线上一条街和中医药孵化器等六大功能区，培育成为渝中文化旅游新名片。</w:t>
      </w:r>
    </w:p>
    <w:p w14:paraId="7B0E83D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b/>
          <w:bCs/>
          <w:sz w:val="32"/>
          <w:szCs w:val="32"/>
        </w:rPr>
        <w:t>38.</w:t>
      </w:r>
      <w:r>
        <w:rPr>
          <w:rFonts w:ascii="Times New Roman" w:eastAsia="方正仿宋_GBK" w:hAnsi="Times New Roman" w:cs="Times New Roman"/>
          <w:b/>
          <w:bCs/>
          <w:sz w:val="32"/>
          <w:szCs w:val="32"/>
        </w:rPr>
        <w:t>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养</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融合为抓手。</w:t>
      </w:r>
      <w:r>
        <w:rPr>
          <w:rFonts w:ascii="Times New Roman" w:eastAsia="方正仿宋_GBK" w:hAnsi="Times New Roman" w:cs="Times New Roman"/>
          <w:sz w:val="32"/>
          <w:szCs w:val="32"/>
          <w:lang w:bidi="ar"/>
        </w:rPr>
        <w:t>促进医养深度融合，推动健康养老服务产业化，形成以居家为基础、以社区为依托、机构充分发展、医养相结合的多层次健康养老服务体系。推进健康体检、医疗美容以及中医药体验等医疗健康服务与旅游资源融合，建设一批健康旅游特色街区、主题酒店、示范基地，</w:t>
      </w:r>
      <w:r>
        <w:rPr>
          <w:rFonts w:ascii="Times New Roman" w:eastAsia="方正仿宋_GBK" w:hAnsi="Times New Roman" w:cs="Times New Roman"/>
          <w:sz w:val="32"/>
          <w:szCs w:val="32"/>
          <w:lang w:bidi="ar"/>
        </w:rPr>
        <w:t xml:space="preserve"> </w:t>
      </w:r>
      <w:r>
        <w:rPr>
          <w:rFonts w:ascii="Times New Roman" w:eastAsia="方正仿宋_GBK" w:hAnsi="Times New Roman" w:cs="Times New Roman"/>
          <w:sz w:val="32"/>
          <w:szCs w:val="32"/>
          <w:lang w:bidi="ar"/>
        </w:rPr>
        <w:t>促进健康旅游业融合发展。</w:t>
      </w:r>
      <w:r>
        <w:rPr>
          <w:rFonts w:ascii="Times New Roman" w:eastAsia="方正仿宋_GBK" w:hAnsi="Times New Roman" w:cs="Times New Roman"/>
          <w:sz w:val="32"/>
          <w:szCs w:val="32"/>
          <w:lang w:bidi="ar"/>
        </w:rPr>
        <w:t xml:space="preserve"> </w:t>
      </w:r>
      <w:r>
        <w:rPr>
          <w:rFonts w:ascii="Times New Roman" w:eastAsia="方正仿宋_GBK" w:hAnsi="Times New Roman" w:cs="Times New Roman"/>
          <w:sz w:val="32"/>
          <w:szCs w:val="32"/>
          <w:lang w:bidi="ar"/>
        </w:rPr>
        <w:t>加强特色健康食品的研发和销售，形成</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新产品</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新包装</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新营销</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的产业布局。</w:t>
      </w:r>
    </w:p>
    <w:p w14:paraId="76E45C5D"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39.</w:t>
      </w:r>
      <w:r>
        <w:rPr>
          <w:rFonts w:ascii="Times New Roman" w:eastAsia="方正仿宋_GBK" w:hAnsi="Times New Roman" w:cs="Times New Roman"/>
          <w:b/>
          <w:bCs/>
          <w:sz w:val="32"/>
          <w:szCs w:val="32"/>
        </w:rPr>
        <w:t>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康体为纽带。</w:t>
      </w:r>
      <w:r>
        <w:rPr>
          <w:rFonts w:ascii="Times New Roman" w:eastAsia="方正仿宋_GBK" w:hAnsi="Times New Roman" w:cs="Times New Roman"/>
          <w:sz w:val="32"/>
          <w:szCs w:val="32"/>
          <w:lang w:bidi="ar"/>
        </w:rPr>
        <w:t>发展运动健身康体产业，加强基础</w:t>
      </w:r>
      <w:r>
        <w:rPr>
          <w:rFonts w:ascii="Times New Roman" w:eastAsia="方正仿宋_GBK" w:hAnsi="Times New Roman" w:cs="Times New Roman"/>
          <w:sz w:val="32"/>
          <w:szCs w:val="32"/>
          <w:lang w:bidi="ar"/>
        </w:rPr>
        <w:lastRenderedPageBreak/>
        <w:t>设施建设，打造城市全民健身综合体，支持消费引领性健身休闲项目发展，大力发展赛事经济。到</w:t>
      </w:r>
      <w:r>
        <w:rPr>
          <w:rFonts w:ascii="Times New Roman" w:eastAsia="方正仿宋_GBK" w:hAnsi="Times New Roman" w:cs="Times New Roman"/>
          <w:sz w:val="32"/>
          <w:szCs w:val="32"/>
          <w:lang w:bidi="ar"/>
        </w:rPr>
        <w:t>2025</w:t>
      </w:r>
      <w:r>
        <w:rPr>
          <w:rFonts w:ascii="Times New Roman" w:eastAsia="方正仿宋_GBK" w:hAnsi="Times New Roman" w:cs="Times New Roman"/>
          <w:sz w:val="32"/>
          <w:szCs w:val="32"/>
          <w:lang w:bidi="ar"/>
        </w:rPr>
        <w:t>年，初步形成以竞赛表演和健身休闲为驱动，体育用品为支撑，体育场馆、体育培训、体育中介、体育传媒等业态快速发展的良好态势。</w:t>
      </w:r>
    </w:p>
    <w:p w14:paraId="31B861D5"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lang w:bidi="ar"/>
        </w:rPr>
      </w:pPr>
      <w:r>
        <w:rPr>
          <w:rFonts w:ascii="Times New Roman" w:eastAsia="方正仿宋_GBK" w:hAnsi="Times New Roman" w:cs="Times New Roman"/>
          <w:b/>
          <w:bCs/>
          <w:sz w:val="32"/>
          <w:szCs w:val="32"/>
        </w:rPr>
        <w:t>40.</w:t>
      </w:r>
      <w:r>
        <w:rPr>
          <w:rFonts w:ascii="Times New Roman" w:eastAsia="方正仿宋_GBK" w:hAnsi="Times New Roman" w:cs="Times New Roman"/>
          <w:b/>
          <w:bCs/>
          <w:sz w:val="32"/>
          <w:szCs w:val="32"/>
        </w:rPr>
        <w:t>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管</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创新为探索。</w:t>
      </w:r>
      <w:r>
        <w:rPr>
          <w:rFonts w:ascii="Times New Roman" w:eastAsia="方正仿宋_GBK" w:hAnsi="Times New Roman" w:cs="Times New Roman"/>
          <w:sz w:val="32"/>
          <w:szCs w:val="32"/>
          <w:lang w:bidi="ar"/>
        </w:rPr>
        <w:t>培育健康体检、婴幼儿照护等健康管理全产业链条，构建覆盖体检、评估、干预、促进环节的健康管理闭环，发展健康管理服务产业。</w:t>
      </w:r>
      <w:r>
        <w:rPr>
          <w:rFonts w:ascii="Times New Roman" w:eastAsia="方正仿宋_GBK" w:hAnsi="Times New Roman" w:cs="Times New Roman"/>
          <w:sz w:val="32"/>
          <w:szCs w:val="32"/>
          <w:lang w:bidi="ar"/>
        </w:rPr>
        <w:t xml:space="preserve"> </w:t>
      </w:r>
      <w:r>
        <w:rPr>
          <w:rFonts w:ascii="Times New Roman" w:eastAsia="方正仿宋_GBK" w:hAnsi="Times New Roman" w:cs="Times New Roman"/>
          <w:sz w:val="32"/>
          <w:szCs w:val="32"/>
          <w:lang w:bidi="ar"/>
        </w:rPr>
        <w:t>大力发展产业投资基金，加大多元施策金融支持力度，加快发展商业健康保险，加快大健康金融平台建设，构建大健康金融新生态。到</w:t>
      </w:r>
      <w:r>
        <w:rPr>
          <w:rFonts w:ascii="Times New Roman" w:eastAsia="方正仿宋_GBK" w:hAnsi="Times New Roman" w:cs="Times New Roman"/>
          <w:sz w:val="32"/>
          <w:szCs w:val="32"/>
          <w:lang w:bidi="ar"/>
        </w:rPr>
        <w:t>2025</w:t>
      </w:r>
      <w:r>
        <w:rPr>
          <w:rFonts w:ascii="Times New Roman" w:eastAsia="方正仿宋_GBK" w:hAnsi="Times New Roman" w:cs="Times New Roman"/>
          <w:sz w:val="32"/>
          <w:szCs w:val="32"/>
          <w:lang w:bidi="ar"/>
        </w:rPr>
        <w:t>年，新设立各类大健康产业投资基金</w:t>
      </w:r>
      <w:r>
        <w:rPr>
          <w:rFonts w:ascii="Times New Roman" w:eastAsia="方正仿宋_GBK" w:hAnsi="Times New Roman" w:cs="Times New Roman"/>
          <w:sz w:val="32"/>
          <w:szCs w:val="32"/>
          <w:lang w:bidi="ar"/>
        </w:rPr>
        <w:t>2-3</w:t>
      </w:r>
      <w:r>
        <w:rPr>
          <w:rFonts w:ascii="Times New Roman" w:eastAsia="方正仿宋_GBK" w:hAnsi="Times New Roman" w:cs="Times New Roman"/>
          <w:sz w:val="32"/>
          <w:szCs w:val="32"/>
          <w:lang w:bidi="ar"/>
        </w:rPr>
        <w:t>支，新建成大健康金融平台</w:t>
      </w:r>
      <w:r>
        <w:rPr>
          <w:rFonts w:ascii="Times New Roman" w:eastAsia="方正仿宋_GBK" w:hAnsi="Times New Roman" w:cs="Times New Roman"/>
          <w:sz w:val="32"/>
          <w:szCs w:val="32"/>
          <w:lang w:bidi="ar"/>
        </w:rPr>
        <w:t>1-2</w:t>
      </w:r>
      <w:r>
        <w:rPr>
          <w:rFonts w:ascii="Times New Roman" w:eastAsia="方正仿宋_GBK" w:hAnsi="Times New Roman" w:cs="Times New Roman"/>
          <w:sz w:val="32"/>
          <w:szCs w:val="32"/>
          <w:lang w:bidi="ar"/>
        </w:rPr>
        <w:t>个，新增内</w:t>
      </w:r>
      <w:r>
        <w:rPr>
          <w:rFonts w:ascii="Times New Roman" w:eastAsia="方正仿宋_GBK" w:hAnsi="Times New Roman" w:cs="Times New Roman"/>
          <w:sz w:val="32"/>
          <w:szCs w:val="32"/>
          <w:lang w:bidi="ar"/>
        </w:rPr>
        <w:t>/</w:t>
      </w:r>
      <w:r>
        <w:rPr>
          <w:rFonts w:ascii="Times New Roman" w:eastAsia="方正仿宋_GBK" w:hAnsi="Times New Roman" w:cs="Times New Roman"/>
          <w:sz w:val="32"/>
          <w:szCs w:val="32"/>
          <w:lang w:bidi="ar"/>
        </w:rPr>
        <w:t>外资专业健康险机构</w:t>
      </w:r>
      <w:r>
        <w:rPr>
          <w:rFonts w:ascii="Times New Roman" w:eastAsia="方正仿宋_GBK" w:hAnsi="Times New Roman" w:cs="Times New Roman"/>
          <w:sz w:val="32"/>
          <w:szCs w:val="32"/>
          <w:lang w:bidi="ar"/>
        </w:rPr>
        <w:t>3-5</w:t>
      </w:r>
      <w:r>
        <w:rPr>
          <w:rFonts w:ascii="Times New Roman" w:eastAsia="方正仿宋_GBK" w:hAnsi="Times New Roman" w:cs="Times New Roman"/>
          <w:sz w:val="32"/>
          <w:szCs w:val="32"/>
          <w:lang w:bidi="ar"/>
        </w:rPr>
        <w:t>家。</w:t>
      </w:r>
    </w:p>
    <w:p w14:paraId="098E0093"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（三）搭建产业平台</w:t>
      </w:r>
    </w:p>
    <w:p w14:paraId="27B8B2DD"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围绕产业发展所需的共性关键服务，搭建科技、金融、数据、交易、合作等</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大公共服务平台，强化大健康产业发展的要素支撑。</w:t>
      </w:r>
    </w:p>
    <w:p w14:paraId="73B2893F"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41.</w:t>
      </w:r>
      <w:r>
        <w:rPr>
          <w:rFonts w:ascii="Times New Roman" w:eastAsia="方正仿宋_GBK" w:hAnsi="Times New Roman" w:cs="Times New Roman"/>
          <w:b/>
          <w:bCs/>
          <w:sz w:val="32"/>
          <w:szCs w:val="32"/>
        </w:rPr>
        <w:t>搭建科技创新平台。</w:t>
      </w:r>
      <w:r>
        <w:rPr>
          <w:rFonts w:ascii="Times New Roman" w:eastAsia="方正仿宋_GBK" w:hAnsi="Times New Roman" w:cs="Times New Roman"/>
          <w:sz w:val="32"/>
          <w:szCs w:val="32"/>
        </w:rPr>
        <w:t>以环重医创新生态圈为基础，支持建设重点实验室、工程实验室、工程研究中心、产业创新中心、临床医学研究中心、转化医学中心、药品医疗器械区域检验检测等新型创新平台，推动实现创新药物、高端医疗器械、新型健康产品和健康服务等重点领域关键技术突破。</w:t>
      </w:r>
    </w:p>
    <w:p w14:paraId="2348223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42.</w:t>
      </w:r>
      <w:r>
        <w:rPr>
          <w:rFonts w:ascii="Times New Roman" w:eastAsia="方正仿宋_GBK" w:hAnsi="Times New Roman" w:cs="Times New Roman"/>
          <w:b/>
          <w:bCs/>
          <w:sz w:val="32"/>
          <w:szCs w:val="32"/>
        </w:rPr>
        <w:t>搭建投融资平台。</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政府引导、市场运作，公开透明、开放包容，依法合规、防范风险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的原则，设立用好产业</w:t>
      </w:r>
      <w:r>
        <w:rPr>
          <w:rFonts w:ascii="Times New Roman" w:eastAsia="方正仿宋_GBK" w:hAnsi="Times New Roman" w:cs="Times New Roman"/>
          <w:sz w:val="32"/>
          <w:szCs w:val="32"/>
        </w:rPr>
        <w:lastRenderedPageBreak/>
        <w:t>引导基金，完善种子基金、天使基金、风投基金的资本梯队。深化银政企合作，促进健康产业运用多层次资本市场，通过资本推动健康产业价值链拓展。</w:t>
      </w:r>
    </w:p>
    <w:p w14:paraId="2156247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43.</w:t>
      </w:r>
      <w:r>
        <w:rPr>
          <w:rFonts w:ascii="Times New Roman" w:eastAsia="方正仿宋_GBK" w:hAnsi="Times New Roman" w:cs="Times New Roman"/>
          <w:b/>
          <w:bCs/>
          <w:sz w:val="32"/>
          <w:szCs w:val="32"/>
        </w:rPr>
        <w:t>搭建信息共享平台。</w:t>
      </w:r>
      <w:r>
        <w:rPr>
          <w:rFonts w:ascii="Times New Roman" w:eastAsia="方正仿宋_GBK" w:hAnsi="Times New Roman" w:cs="Times New Roman"/>
          <w:sz w:val="32"/>
          <w:szCs w:val="32"/>
        </w:rPr>
        <w:t>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分级授权、分类应用、权责一致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的管理制度，消除数据壁垒，开放健康医疗大数据应用场景，推动数字化健康产品的研发设计、软件开发、信息系统集成、数据处理、数字内容服务，打造健康信息产业集群。</w:t>
      </w:r>
    </w:p>
    <w:p w14:paraId="00C122A7"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44.</w:t>
      </w:r>
      <w:r>
        <w:rPr>
          <w:rFonts w:ascii="Times New Roman" w:eastAsia="方正仿宋_GBK" w:hAnsi="Times New Roman" w:cs="Times New Roman"/>
          <w:b/>
          <w:bCs/>
          <w:sz w:val="32"/>
          <w:szCs w:val="32"/>
        </w:rPr>
        <w:t>搭建展示交易平台。</w:t>
      </w:r>
      <w:r>
        <w:rPr>
          <w:rFonts w:ascii="Times New Roman" w:eastAsia="方正仿宋_GBK" w:hAnsi="Times New Roman" w:cs="Times New Roman"/>
          <w:sz w:val="32"/>
          <w:szCs w:val="32"/>
        </w:rPr>
        <w:t>支持健康企业参加世界养生大会、中国健康产业博览会、智博会、渝洽会等国内外各类健康产业展会，策划举办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健康之声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大型宣传活动，创办健康产业高峰论坛等形式，形成大健康产品展示贸易平台，展示推介全区健康产业政策和发展成果，引导社会资本投资渝中。</w:t>
      </w:r>
    </w:p>
    <w:p w14:paraId="0C5B101A"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45.</w:t>
      </w:r>
      <w:r>
        <w:rPr>
          <w:rFonts w:ascii="Times New Roman" w:eastAsia="方正仿宋_GBK" w:hAnsi="Times New Roman" w:cs="Times New Roman"/>
          <w:b/>
          <w:bCs/>
          <w:sz w:val="32"/>
          <w:szCs w:val="32"/>
        </w:rPr>
        <w:t>搭建开放合作平台，</w:t>
      </w:r>
      <w:r>
        <w:rPr>
          <w:rFonts w:ascii="Times New Roman" w:eastAsia="方正仿宋_GBK" w:hAnsi="Times New Roman" w:cs="Times New Roman"/>
          <w:sz w:val="32"/>
          <w:szCs w:val="32"/>
        </w:rPr>
        <w:t>积极借助自由贸易区、中新合作项目、成渝地区双城经济圈建设等契机，建立健康产业对外合作平台，开展高层次、多形式、宽领域的产业合作，引进学习先进的健康产业技术、产品和管理经验。</w:t>
      </w:r>
    </w:p>
    <w:p w14:paraId="1C85681A"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bCs/>
          <w:sz w:val="32"/>
          <w:szCs w:val="32"/>
        </w:rPr>
        <w:t>（四）培育健康企业</w:t>
      </w:r>
    </w:p>
    <w:p w14:paraId="44F76455"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盘活存量、引入增量、做大总量、提高质量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的原则，壮大市场主体，增强企业发展活力，使健康企业在市场上大展身手。</w:t>
      </w:r>
    </w:p>
    <w:p w14:paraId="61D0D985"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46.</w:t>
      </w:r>
      <w:r>
        <w:rPr>
          <w:rFonts w:ascii="Times New Roman" w:eastAsia="方正仿宋_GBK" w:hAnsi="Times New Roman" w:cs="Times New Roman"/>
          <w:b/>
          <w:bCs/>
          <w:sz w:val="32"/>
          <w:szCs w:val="32"/>
        </w:rPr>
        <w:t>成长一批龙头企业。</w:t>
      </w:r>
      <w:r>
        <w:rPr>
          <w:rFonts w:ascii="Times New Roman" w:eastAsia="方正仿宋_GBK" w:hAnsi="Times New Roman" w:cs="Times New Roman"/>
          <w:sz w:val="32"/>
          <w:szCs w:val="32"/>
        </w:rPr>
        <w:t>招大引强与做大做强相结合，引进国内外知名健康服务企业，支持本土现有企业做大做强，促进</w:t>
      </w:r>
      <w:r>
        <w:rPr>
          <w:rFonts w:ascii="Times New Roman" w:eastAsia="方正仿宋_GBK" w:hAnsi="Times New Roman" w:cs="Times New Roman"/>
          <w:sz w:val="32"/>
          <w:szCs w:val="32"/>
        </w:rPr>
        <w:lastRenderedPageBreak/>
        <w:t>各类资源强强联合、优势互补，培育上水平、规模化的健康服务集团，发展全国性或区域性总部企业，加快形成一批具有核心竞争力、带动性强、影响力大的品牌服务机构。</w:t>
      </w:r>
    </w:p>
    <w:p w14:paraId="2435B429"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47.</w:t>
      </w:r>
      <w:r>
        <w:rPr>
          <w:rFonts w:ascii="Times New Roman" w:eastAsia="方正仿宋_GBK" w:hAnsi="Times New Roman" w:cs="Times New Roman"/>
          <w:b/>
          <w:bCs/>
          <w:sz w:val="32"/>
          <w:szCs w:val="32"/>
        </w:rPr>
        <w:t>扶持一批中小微企业。</w:t>
      </w:r>
      <w:r>
        <w:rPr>
          <w:rFonts w:ascii="Times New Roman" w:eastAsia="方正仿宋_GBK" w:hAnsi="Times New Roman" w:cs="Times New Roman"/>
          <w:sz w:val="32"/>
          <w:szCs w:val="32"/>
        </w:rPr>
        <w:t>推进大众创业、万众创新，完善创业孵化体系和中小微企业创新服务体系，鼓励企业开展商业模式创新，培育一批大健康产业领域的中小创新型企业集群。筛选效益好、技术强、潜力大的企业，采取针对性、阶梯式扶持政策，推动企业不断成长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个转企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企转规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规升总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3B4D518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48.</w:t>
      </w:r>
      <w:r>
        <w:rPr>
          <w:rFonts w:ascii="Times New Roman" w:eastAsia="方正仿宋_GBK" w:hAnsi="Times New Roman" w:cs="Times New Roman"/>
          <w:b/>
          <w:bCs/>
          <w:sz w:val="32"/>
          <w:szCs w:val="32"/>
        </w:rPr>
        <w:t>鼓励发展一批新型业态。</w:t>
      </w:r>
      <w:r>
        <w:rPr>
          <w:rFonts w:ascii="Times New Roman" w:eastAsia="方正仿宋_GBK" w:hAnsi="Times New Roman" w:cs="Times New Roman"/>
          <w:sz w:val="32"/>
          <w:szCs w:val="32"/>
        </w:rPr>
        <w:t>支持社会力量举办独立设置的医学检验、病理诊断、医学影像、消毒供应等专业机构，支持名医组建医生集团，支持发展医疗商场、共享医院、线上线下整合连锁等新服务新模式。注重加大对创新型企业初创成果投资力度，积极培育</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小巨人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独角兽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隐形冠军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企业。</w:t>
      </w:r>
    </w:p>
    <w:p w14:paraId="203C75B7" w14:textId="77777777" w:rsidR="002D0D6D" w:rsidRDefault="00000000">
      <w:pPr>
        <w:shd w:val="clear" w:color="auto" w:fill="FFFFFF"/>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五、打造卫生健康行业治理现代化先行区</w:t>
      </w:r>
    </w:p>
    <w:p w14:paraId="4A7CBBA1"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（一）全面加强党的领导和建设</w:t>
      </w:r>
    </w:p>
    <w:p w14:paraId="2E36FAA3"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49.</w:t>
      </w:r>
      <w:r>
        <w:rPr>
          <w:rFonts w:ascii="Times New Roman" w:eastAsia="方正仿宋_GBK" w:hAnsi="Times New Roman" w:cs="Times New Roman"/>
          <w:b/>
          <w:bCs/>
          <w:sz w:val="32"/>
          <w:szCs w:val="32"/>
        </w:rPr>
        <w:t>坚持党对卫生健康工作的领导。</w:t>
      </w:r>
      <w:r>
        <w:rPr>
          <w:rFonts w:ascii="Times New Roman" w:eastAsia="方正仿宋_GBK" w:hAnsi="Times New Roman" w:cs="Times New Roman"/>
          <w:sz w:val="32"/>
          <w:szCs w:val="32"/>
        </w:rPr>
        <w:t>坚决贯彻落实党的新时代卫生健康工作方针，以党的政治建设为统领，建立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不忘初心、牢记使命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w:t>
      </w:r>
      <w:r>
        <w:rPr>
          <w:rFonts w:ascii="Times New Roman" w:eastAsia="方正仿宋_GBK" w:hAnsi="Times New Roman" w:cs="Times New Roman" w:hint="eastAsia"/>
          <w:sz w:val="32"/>
          <w:szCs w:val="32"/>
        </w:rPr>
        <w:t>牢固树立“四个意识”，坚定“四个自信”，做到“两个维护”</w:t>
      </w:r>
      <w:r>
        <w:rPr>
          <w:rFonts w:ascii="Times New Roman" w:eastAsia="方正仿宋_GBK" w:hAnsi="Times New Roman" w:cs="Times New Roman"/>
          <w:sz w:val="32"/>
          <w:szCs w:val="32"/>
        </w:rPr>
        <w:t>。强化科学理论武装，学懂弄通做实习近平新时代中国特色社会</w:t>
      </w:r>
      <w:r>
        <w:rPr>
          <w:rFonts w:ascii="Times New Roman" w:eastAsia="方正仿宋_GBK" w:hAnsi="Times New Roman" w:cs="Times New Roman" w:hint="eastAsia"/>
          <w:sz w:val="32"/>
          <w:szCs w:val="32"/>
        </w:rPr>
        <w:t>主</w:t>
      </w:r>
      <w:r>
        <w:rPr>
          <w:rFonts w:ascii="Times New Roman" w:eastAsia="方正仿宋_GBK" w:hAnsi="Times New Roman" w:cs="Times New Roman"/>
          <w:sz w:val="32"/>
          <w:szCs w:val="32"/>
        </w:rPr>
        <w:t>义思想，落实意识形态工作责任制。以提升组织力为重点，突出政治功能，开展标准化规范化建设，促进基层党组织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全面进步、全面过硬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，充分发挥党组</w:t>
      </w:r>
      <w:r>
        <w:rPr>
          <w:rFonts w:ascii="Times New Roman" w:eastAsia="方正仿宋_GBK" w:hAnsi="Times New Roman" w:cs="Times New Roman"/>
          <w:sz w:val="32"/>
          <w:szCs w:val="32"/>
        </w:rPr>
        <w:lastRenderedPageBreak/>
        <w:t>织的战斗堡垒作用、领导干部表率作用、党员先锋模范作用。注重统战、老干、群团工作，画好最大同心圆、凝聚强大正能量。坚定不移推进全面从严治党，持续正风肃纪反腐，加强行业作风建设，加大对建设工程、药品采购、惠民资金、行政审批和执法、选人用人等重点领域、重点环节、重点岗位的监督，一体推进不敢腐、不能腐、不想腐。</w:t>
      </w:r>
    </w:p>
    <w:p w14:paraId="0E3A0F51"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50.</w:t>
      </w:r>
      <w:r>
        <w:rPr>
          <w:rFonts w:ascii="Times New Roman" w:eastAsia="方正仿宋_GBK" w:hAnsi="Times New Roman" w:cs="Times New Roman"/>
          <w:b/>
          <w:bCs/>
          <w:sz w:val="32"/>
          <w:szCs w:val="32"/>
        </w:rPr>
        <w:t>切实加强公立医院党建工作。</w:t>
      </w:r>
      <w:r>
        <w:rPr>
          <w:rFonts w:ascii="Times New Roman" w:eastAsia="方正仿宋_GBK" w:hAnsi="Times New Roman" w:cs="Times New Roman"/>
          <w:sz w:val="32"/>
          <w:szCs w:val="32"/>
        </w:rPr>
        <w:t>落实党委领导下的院长负责制，实行集体领导和个人分工负责相结合的制度，发挥党委把方向、管大局、作决策、促改革、保落实的领导作用。健全医院党委与行政领导班子议事决策制度，把党的领导纳入医院章程、融入医院治理各环节。夯实提升医院基层党建工作水平，党支部要做实对党员的直接教育、管理、监督和组织、宣传、凝聚、服务群众工作。坚持应建尽建，确保党组织覆盖公立医院各内设机构。抓好党支部书记选拔培养激励，注重发展医疗专家、学科带头人、优秀青年医务人员入党，建立健全党务工作机构，配齐配强专职党务工作人员。突出抓好思想政治工作和医德医风建设。加强全行业党建指导，推动非公立医院党建工作，实现党的组织和工作全覆盖。</w:t>
      </w:r>
    </w:p>
    <w:p w14:paraId="646A5091"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（二）提高法治化建设水平</w:t>
      </w:r>
    </w:p>
    <w:p w14:paraId="5DA1C91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51.</w:t>
      </w:r>
      <w:r>
        <w:rPr>
          <w:rFonts w:ascii="Times New Roman" w:eastAsia="方正仿宋_GBK" w:hAnsi="Times New Roman" w:cs="Times New Roman"/>
          <w:b/>
          <w:bCs/>
          <w:sz w:val="32"/>
          <w:szCs w:val="32"/>
        </w:rPr>
        <w:t>深入持久开展法治宣传教育，增强全行业法治意识。</w:t>
      </w:r>
      <w:r>
        <w:rPr>
          <w:rFonts w:ascii="Times New Roman" w:eastAsia="方正仿宋_GBK" w:hAnsi="Times New Roman" w:cs="Times New Roman"/>
          <w:sz w:val="32"/>
          <w:szCs w:val="32"/>
        </w:rPr>
        <w:t>加大学法普法力度，把法律法规学习作为党委中心组学习必要内容，纳入公务员、医务人员在岗培训、年度考核，推动全体干</w:t>
      </w:r>
      <w:r>
        <w:rPr>
          <w:rFonts w:ascii="Times New Roman" w:eastAsia="方正仿宋_GBK" w:hAnsi="Times New Roman" w:cs="Times New Roman"/>
          <w:sz w:val="32"/>
          <w:szCs w:val="32"/>
        </w:rPr>
        <w:lastRenderedPageBreak/>
        <w:t>部职工系统、完整地学习掌握卫生健康</w:t>
      </w:r>
      <w:hyperlink r:id="rId13" w:history="1">
        <w:r>
          <w:rPr>
            <w:rFonts w:ascii="Times New Roman" w:eastAsia="方正仿宋_GBK" w:hAnsi="Times New Roman" w:cs="Times New Roman"/>
            <w:sz w:val="32"/>
            <w:szCs w:val="32"/>
          </w:rPr>
          <w:t>法律</w:t>
        </w:r>
      </w:hyperlink>
      <w:r>
        <w:rPr>
          <w:rFonts w:ascii="Times New Roman" w:eastAsia="方正仿宋_GBK" w:hAnsi="Times New Roman" w:cs="Times New Roman"/>
          <w:sz w:val="32"/>
          <w:szCs w:val="32"/>
        </w:rPr>
        <w:t>知识。认真履行法治建设第一责任人职责，落实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谁执法谁普法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的普法责任制，深化</w:t>
      </w:r>
      <w:r>
        <w:rPr>
          <w:rFonts w:ascii="Times New Roman" w:eastAsia="方正仿宋_GBK" w:hAnsi="Times New Roman" w:cs="Times New Roman"/>
          <w:sz w:val="32"/>
          <w:szCs w:val="32"/>
        </w:rPr>
        <w:t>“</w:t>
      </w:r>
      <w:hyperlink r:id="rId14" w:history="1">
        <w:r>
          <w:rPr>
            <w:rFonts w:ascii="Times New Roman" w:eastAsia="方正仿宋_GBK" w:hAnsi="Times New Roman" w:cs="Times New Roman"/>
            <w:sz w:val="32"/>
            <w:szCs w:val="32"/>
          </w:rPr>
          <w:t>法律</w:t>
        </w:r>
      </w:hyperlink>
      <w:r>
        <w:rPr>
          <w:rFonts w:ascii="Times New Roman" w:eastAsia="方正仿宋_GBK" w:hAnsi="Times New Roman" w:cs="Times New Roman"/>
          <w:sz w:val="32"/>
          <w:szCs w:val="32"/>
        </w:rPr>
        <w:t>六进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活动，组织开展形式多样的宣传教育，形成尊法学法守法用法的浓厚氛围。</w:t>
      </w:r>
    </w:p>
    <w:p w14:paraId="22ABEE8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52.</w:t>
      </w:r>
      <w:r>
        <w:rPr>
          <w:rFonts w:ascii="Times New Roman" w:eastAsia="方正仿宋_GBK" w:hAnsi="Times New Roman" w:cs="Times New Roman"/>
          <w:b/>
          <w:bCs/>
          <w:sz w:val="32"/>
          <w:szCs w:val="32"/>
        </w:rPr>
        <w:t>善用法治思维法治方式，做到依法行政依法执业。</w:t>
      </w:r>
      <w:r>
        <w:rPr>
          <w:rFonts w:ascii="Times New Roman" w:eastAsia="方正仿宋_GBK" w:hAnsi="Times New Roman" w:cs="Times New Roman"/>
          <w:sz w:val="32"/>
          <w:szCs w:val="32"/>
        </w:rPr>
        <w:t>制定权力清单责任清单，依法全面正确履职。健全依法决策机制，建立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三重一大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、规范性文件、内部管理制度、合同等合法性审查制度，推行法律顾问制度，逐步建立医疗卫生单位法治工作部门。加快政府职能转变，深化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放管服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改革，承接实施好市级下放审批事项，所有卫生健康行政审批事项实现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一窗通办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一网通办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创新卫生健康行政管理方式。强化卫生健康综合监督执法。做好行政复议、行政诉讼应诉工作，自觉接受党内监督、法律监督、民主监督、社会监督、舆论监督等。全面推进政务公开，涉及公民、法人或其他组织权利和义务的规范性文件一律向社会公开，坚持行政检查、执法公示制度。医疗卫生机构主动公开医疗卫生服务有关信息，提高医疗卫生服务工作的透明度。</w:t>
      </w:r>
    </w:p>
    <w:p w14:paraId="38EA0729"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（三）持续深化医药卫生体制改革</w:t>
      </w:r>
    </w:p>
    <w:p w14:paraId="05217522"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53.</w:t>
      </w:r>
      <w:r>
        <w:rPr>
          <w:rFonts w:ascii="Times New Roman" w:eastAsia="方正仿宋_GBK" w:hAnsi="Times New Roman" w:cs="Times New Roman"/>
          <w:b/>
          <w:bCs/>
          <w:sz w:val="32"/>
          <w:szCs w:val="32"/>
        </w:rPr>
        <w:t>推进体系整合协同机制改革，增强整体效能。</w:t>
      </w:r>
      <w:r>
        <w:rPr>
          <w:rFonts w:ascii="Times New Roman" w:eastAsia="方正仿宋_GBK" w:hAnsi="Times New Roman" w:cs="Times New Roman"/>
          <w:sz w:val="32"/>
          <w:szCs w:val="32"/>
        </w:rPr>
        <w:t>积极整合利用区域、区属医疗卫生资源，充分运用政策引导和市场机制，推动大医院更多资源向基层下沉，畅通慢性期、恢复期患者向下转诊通道，不断提升基层医疗机构服务能力，完善基层</w:t>
      </w:r>
      <w:r>
        <w:rPr>
          <w:rFonts w:ascii="Times New Roman" w:eastAsia="方正仿宋_GBK" w:hAnsi="Times New Roman" w:cs="Times New Roman"/>
          <w:sz w:val="32"/>
          <w:szCs w:val="32"/>
        </w:rPr>
        <w:lastRenderedPageBreak/>
        <w:t>首诊、全专对接、双向转诊、上下联动机制，加快形成分级诊疗格局。改革疾病预防控制体制，按照上级部署成立疾病预防控制局，强化疾控机构监测预警、风险评估、流行病学调查、检验检测、应急处置等核心职能。健全公共卫生机构、医疗机构和社区卫生服务机构深度协同合作机制，推动医防融合、医养结合，促进预防、医疗、康复、健康养老、健康促进等一体化发展，构建整合型卫生健康服务体系。</w:t>
      </w:r>
    </w:p>
    <w:p w14:paraId="6F974688"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b/>
          <w:bCs/>
          <w:sz w:val="32"/>
          <w:szCs w:val="32"/>
        </w:rPr>
        <w:t>54.</w:t>
      </w:r>
      <w:r>
        <w:rPr>
          <w:rFonts w:ascii="Times New Roman" w:eastAsia="方正仿宋_GBK" w:hAnsi="Times New Roman" w:cs="Times New Roman"/>
          <w:b/>
          <w:bCs/>
          <w:sz w:val="32"/>
          <w:szCs w:val="32"/>
        </w:rPr>
        <w:t>推进公立医院综合改革，实现</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三个转变</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坚持政府主导、公益性主导、公立医院主导的公立医院改革发展原则，强化政府办医的领导责任、保障责任、管理责任、监督责任，创新医院治理方式，</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基本建立权责清晰、管理科学、治理完善、运行高效、监督有力的现代医院管理制度。建立健全法人治理结构，落实公立医院经营管理自主权，构建起决策、执行、监督相互协调的公立医院管理体制。优化公立医院运行机制，推动公立医院建立基于全面预算的全业务、全流程闭环管理体系，形成符合医疗发展规律的人、财、物等资源配置体系，强化公立医院绩效考核，深化人事薪酬制度改革，不断提高医院管理专业化、科学化、规范化水平，使公立医院发展方式从规模扩张转向提质增效，运行模式从粗放管理转向精细化管理，资源配置从注重物质要素转向更加注重人才技术要素。</w:t>
      </w:r>
    </w:p>
    <w:p w14:paraId="1979BD8E"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55.</w:t>
      </w:r>
      <w:r>
        <w:rPr>
          <w:rFonts w:ascii="Times New Roman" w:eastAsia="方正仿宋_GBK" w:hAnsi="Times New Roman" w:cs="Times New Roman"/>
          <w:b/>
          <w:bCs/>
          <w:sz w:val="32"/>
          <w:szCs w:val="32"/>
        </w:rPr>
        <w:t>推进</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三医</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联动改革，加强系统集成。</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大卫生、大健康</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理念，学习推广三明医改经验，完善高效有力的医改</w:t>
      </w:r>
      <w:r>
        <w:rPr>
          <w:rFonts w:ascii="Times New Roman" w:eastAsia="方正仿宋_GBK" w:hAnsi="Times New Roman" w:cs="Times New Roman"/>
          <w:sz w:val="32"/>
          <w:szCs w:val="32"/>
        </w:rPr>
        <w:lastRenderedPageBreak/>
        <w:t>领导体制和组织推进机制，坚定</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控总量、腾空间、调结构、保衔接、强监管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改革路径，持续深入推进医疗、医保、医药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三医联动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系统集成改革，形成改革合力。发挥医保在推进医药服务供给侧改革中的引领作用，全面实行招采合一、量价挂钩的药品、医用耗材集中带量采购，建立完善医疗服务价格动态调整机制，优化医疗服务比价关系。深化医保支付方式改革，推行以按病种付费为主的多元复合式医保支付方式，逐步推进按疾病诊断相关分组付费（</w:t>
      </w:r>
      <w:r>
        <w:rPr>
          <w:rFonts w:ascii="Times New Roman" w:eastAsia="方正仿宋_GBK" w:hAnsi="Times New Roman" w:cs="Times New Roman"/>
          <w:sz w:val="32"/>
          <w:szCs w:val="32"/>
        </w:rPr>
        <w:t>DRG</w:t>
      </w:r>
      <w:r>
        <w:rPr>
          <w:rFonts w:ascii="Times New Roman" w:eastAsia="方正仿宋_GBK" w:hAnsi="Times New Roman" w:cs="Times New Roman"/>
          <w:sz w:val="32"/>
          <w:szCs w:val="32"/>
        </w:rPr>
        <w:t>）、按病种分值付费（</w:t>
      </w:r>
      <w:r>
        <w:rPr>
          <w:rFonts w:ascii="Times New Roman" w:eastAsia="方正仿宋_GBK" w:hAnsi="Times New Roman" w:cs="Times New Roman"/>
          <w:sz w:val="32"/>
          <w:szCs w:val="32"/>
        </w:rPr>
        <w:t>DIP</w:t>
      </w:r>
      <w:r>
        <w:rPr>
          <w:rFonts w:ascii="Times New Roman" w:eastAsia="方正仿宋_GBK" w:hAnsi="Times New Roman" w:cs="Times New Roman"/>
          <w:sz w:val="32"/>
          <w:szCs w:val="32"/>
        </w:rPr>
        <w:t>）等，探索建立适应医疗服务模式发展创新的医保基金支付方式和结算管理机制。继续完善基本药物制度，提高各级医疗机构基本药物使用比例，提供优质药学服务。</w:t>
      </w:r>
    </w:p>
    <w:p w14:paraId="6E69A4A9"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56.</w:t>
      </w:r>
      <w:r>
        <w:rPr>
          <w:rFonts w:ascii="Times New Roman" w:eastAsia="方正仿宋_GBK" w:hAnsi="Times New Roman" w:cs="Times New Roman"/>
          <w:b/>
          <w:bCs/>
          <w:sz w:val="32"/>
          <w:szCs w:val="32"/>
        </w:rPr>
        <w:t>融入成渝地区双城经济圈建设，以开放促改革。</w:t>
      </w:r>
      <w:r>
        <w:rPr>
          <w:rFonts w:ascii="Times New Roman" w:eastAsia="方正仿宋_GBK" w:hAnsi="Times New Roman" w:cs="Times New Roman"/>
          <w:sz w:val="32"/>
          <w:szCs w:val="32"/>
        </w:rPr>
        <w:t>主动参与川渝卫生健康一体化发展合作，积极开展公共卫生协同、医疗服务协同、中医药协同、健康产业协同、支撑保障协同。支持重医儿童医院与四川大学华西第二医院联合建好国家儿童区域（西南）医疗中心，支持重庆市中医骨科医院与四川省骨科医院建立专科联盟，支持环重医创新生态圈与环华西国际智慧医谷开展健康产业合作，以两地大型医院、企业合作为龙头，推动多方面合作发展、改革创新。</w:t>
      </w:r>
    </w:p>
    <w:p w14:paraId="65DECA73" w14:textId="77777777" w:rsidR="002D0D6D" w:rsidRDefault="00000000">
      <w:pPr>
        <w:tabs>
          <w:tab w:val="left" w:pos="4536"/>
        </w:tabs>
        <w:overflowPunct w:val="0"/>
        <w:snapToGrid w:val="0"/>
        <w:spacing w:line="62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（四）建设高素质专业化人才队伍</w:t>
      </w:r>
    </w:p>
    <w:p w14:paraId="2F097CB6"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57.</w:t>
      </w:r>
      <w:r>
        <w:rPr>
          <w:rFonts w:ascii="Times New Roman" w:eastAsia="方正仿宋_GBK" w:hAnsi="Times New Roman" w:cs="Times New Roman"/>
          <w:b/>
          <w:bCs/>
          <w:sz w:val="32"/>
          <w:szCs w:val="32"/>
        </w:rPr>
        <w:t>多渠道引进人才，优化人才结构。</w:t>
      </w:r>
      <w:r>
        <w:rPr>
          <w:rFonts w:ascii="Times New Roman" w:eastAsia="方正仿宋_GBK" w:hAnsi="Times New Roman" w:cs="Times New Roman"/>
          <w:sz w:val="32"/>
          <w:szCs w:val="32"/>
        </w:rPr>
        <w:t>对区属公立医疗卫生机构，加大编制使用计划，每年从医学院校应届毕业生中考核</w:t>
      </w:r>
      <w:r>
        <w:rPr>
          <w:rFonts w:ascii="Times New Roman" w:eastAsia="方正仿宋_GBK" w:hAnsi="Times New Roman" w:cs="Times New Roman"/>
          <w:sz w:val="32"/>
          <w:szCs w:val="32"/>
        </w:rPr>
        <w:lastRenderedPageBreak/>
        <w:t>招聘一批、从社会公开考试招聘一批、从医疗卫生行业高级人才中专项引进一批。注重全科医生、公共卫生、中医药专业等紧缺实用人才、复合型人才、高层次人才的储备。进一步改进引才方式，对高端人才灵活采用非全时兼任实职、开设工作站等柔性引才机制。支持健康服务企业引进海内外高层次创新创业人才，吸纳营养师、育婴师等健康产业服务人才。</w:t>
      </w:r>
    </w:p>
    <w:p w14:paraId="1A023147"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58.</w:t>
      </w:r>
      <w:r>
        <w:rPr>
          <w:rFonts w:ascii="Times New Roman" w:eastAsia="方正仿宋_GBK" w:hAnsi="Times New Roman" w:cs="Times New Roman"/>
          <w:b/>
          <w:bCs/>
          <w:sz w:val="32"/>
          <w:szCs w:val="32"/>
        </w:rPr>
        <w:t>全方位培养人才，提高人才素质。</w:t>
      </w:r>
      <w:r>
        <w:rPr>
          <w:rFonts w:ascii="Times New Roman" w:eastAsia="方正仿宋_GBK" w:hAnsi="Times New Roman" w:cs="Times New Roman"/>
          <w:sz w:val="32"/>
          <w:szCs w:val="32"/>
        </w:rPr>
        <w:t>积极推荐医务人员进入国家、重庆市、渝中区等人才库，选拔培养区级学科带头人、区级名中医。建立临床进修学习和在岗大轮训相结合的制度，对包括民营医院在内的行业人员每</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年轮训一遍。与高校合作联办医疗卫生经营管理人才高级培训班，提升综合素质和科学化管理能力。支持医疗卫生机构成为医学院校实习教学基</w:t>
      </w:r>
      <w:r>
        <w:rPr>
          <w:rFonts w:ascii="Times New Roman" w:eastAsia="方正仿宋_GBK" w:hAnsi="Times New Roman" w:cs="Times New Roman"/>
          <w:spacing w:val="-11"/>
          <w:sz w:val="32"/>
          <w:szCs w:val="32"/>
        </w:rPr>
        <w:t>地，拓展医学科研项目，通过教学与科研带动、孵化人才成长。</w:t>
      </w:r>
    </w:p>
    <w:p w14:paraId="61293E7E"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59.</w:t>
      </w:r>
      <w:r>
        <w:rPr>
          <w:rFonts w:ascii="Times New Roman" w:eastAsia="方正仿宋_GBK" w:hAnsi="Times New Roman" w:cs="Times New Roman"/>
          <w:b/>
          <w:bCs/>
          <w:sz w:val="32"/>
          <w:szCs w:val="32"/>
        </w:rPr>
        <w:t>大力度用活人才，健全激励机制。</w:t>
      </w: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两个允许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要求，加快建立符合卫生健康行业特点的人事薪酬制度。探索编制备案制管理，推动同工同酬，用好编制外人力资源。分类完善人才评价机制，畅通职称晋升通道。建立荣誉表彰制度，发挥示范引领作用。做好人才服务工作，对大型医院高管人员比照重点企业高管人员享受同等优惠待遇，为高层次人才提供出入境、居留签证、未成年子女入托入学、随迁落户、医疗保健等各类便捷服务。</w:t>
      </w:r>
    </w:p>
    <w:p w14:paraId="064F4F7A" w14:textId="77777777" w:rsidR="002D0D6D" w:rsidRDefault="00000000">
      <w:pPr>
        <w:overflowPunct w:val="0"/>
        <w:spacing w:line="6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bCs/>
          <w:sz w:val="32"/>
          <w:szCs w:val="32"/>
        </w:rPr>
        <w:t>（五）推进信息化智能化建设</w:t>
      </w:r>
    </w:p>
    <w:p w14:paraId="2BA8BDC9"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60.</w:t>
      </w:r>
      <w:r>
        <w:rPr>
          <w:rFonts w:ascii="Times New Roman" w:eastAsia="方正仿宋_GBK" w:hAnsi="Times New Roman" w:cs="Times New Roman"/>
          <w:b/>
          <w:bCs/>
          <w:sz w:val="32"/>
          <w:szCs w:val="32"/>
        </w:rPr>
        <w:t>深入促进卫生健康信息互联共享。</w:t>
      </w:r>
      <w:r>
        <w:rPr>
          <w:rFonts w:ascii="Times New Roman" w:eastAsia="方正仿宋_GBK" w:hAnsi="Times New Roman" w:cs="Times New Roman"/>
          <w:sz w:val="32"/>
          <w:szCs w:val="32"/>
        </w:rPr>
        <w:t>遵循全国统一的临床医学术语、数据交互接口等标准和技术规范，充分运用</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大数据、云计算、物联网、移动互联网等现代信息技术，完善区域健康信息平台功能，加强信息资源整合和业务协同，实现健康医疗大数据在平台集聚、业务事项在平台办理、政府决策依托平台支撑。持续加强全员人口数据库、电子健康档案数据库、电子病历数据库、基础资源信息数据库建设维护，推动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上云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、开放共享。统筹公共卫生、医疗服务、人口计生、综合管理等各项基础业务应用系统协同共享。完善各医疗卫生机构</w:t>
      </w:r>
      <w:r>
        <w:rPr>
          <w:rFonts w:ascii="Times New Roman" w:eastAsia="方正仿宋_GBK" w:hAnsi="Times New Roman" w:cs="Times New Roman"/>
          <w:sz w:val="32"/>
          <w:szCs w:val="32"/>
        </w:rPr>
        <w:t>HIS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CIS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RIS</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LIS</w:t>
      </w:r>
      <w:r>
        <w:rPr>
          <w:rFonts w:ascii="Times New Roman" w:eastAsia="方正仿宋_GBK" w:hAnsi="Times New Roman" w:cs="Times New Roman"/>
          <w:sz w:val="32"/>
          <w:szCs w:val="32"/>
        </w:rPr>
        <w:t>等信息化建设，电子病历应用水平达到四级及以上，二级以上医院基本建成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。强化安全防护体系建设，确保信息系统运行稳定和数据安全。</w:t>
      </w:r>
    </w:p>
    <w:p w14:paraId="03857FE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61.</w:t>
      </w:r>
      <w:r>
        <w:rPr>
          <w:rFonts w:ascii="Times New Roman" w:eastAsia="方正仿宋_GBK" w:hAnsi="Times New Roman" w:cs="Times New Roman"/>
          <w:b/>
          <w:bCs/>
          <w:sz w:val="32"/>
          <w:szCs w:val="32"/>
        </w:rPr>
        <w:t>全面发展</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互联网</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健康服务</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w:t>
      </w:r>
      <w:r>
        <w:rPr>
          <w:rFonts w:ascii="Times New Roman" w:eastAsia="方正仿宋_GBK" w:hAnsi="Times New Roman" w:cs="Times New Roman"/>
          <w:sz w:val="32"/>
          <w:szCs w:val="32"/>
        </w:rPr>
        <w:t>发展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服务，应用信息技术拓展医疗服务空间和内容，构建覆盖诊前、诊中、诊后的线上线下一体化医疗服务模式，在普遍提供分时段预约诊疗、智能导医分诊、候诊提醒、检验检查结果查询、诊间结算、移动支付等线上服务的基础上，推进开展移动护理、生命体征在线监测、智能医学影像识别、家庭监测等服务。依托实体医疗机构发展互联网医院。创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公共卫生服务，探索运用人群流动、气候变化等大数据技术分析手段，预测疾病流行趋势，加强对传染病等疾病的智能监测。优化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家庭医生签约服务，丰富健康渝中</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功能，为</w:t>
      </w:r>
      <w:r>
        <w:rPr>
          <w:rFonts w:ascii="Times New Roman" w:eastAsia="方正仿宋_GBK" w:hAnsi="Times New Roman" w:cs="Times New Roman"/>
          <w:sz w:val="32"/>
          <w:szCs w:val="32"/>
        </w:rPr>
        <w:lastRenderedPageBreak/>
        <w:t>签约居民在线提供健康咨询、预约转诊、慢性病随访、延伸处方等服务。利用移动终端、穿戴式智能设备，提供智慧化、个性化健康管理服务。开展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药品供应保障、医疗保障结算服务。加强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医学教育和科普服务，构建网络化、数字化、个性化、终身化的医学教育培训体系。推进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人工智能应用服务，推广使用医疗人工智能辅助决策系统和医用机器人、生物三维打印等智能化技术设备。</w:t>
      </w:r>
    </w:p>
    <w:p w14:paraId="3389212E"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楷体_GBK" w:hAnsi="Times New Roman" w:cs="Times New Roman"/>
          <w:sz w:val="32"/>
          <w:szCs w:val="32"/>
        </w:rPr>
      </w:pPr>
      <w:r>
        <w:rPr>
          <w:rFonts w:ascii="Times New Roman" w:eastAsia="方正楷体_GBK" w:hAnsi="Times New Roman" w:cs="Times New Roman"/>
          <w:bCs/>
          <w:sz w:val="32"/>
          <w:szCs w:val="32"/>
        </w:rPr>
        <w:t>（六）强化综合监管执法</w:t>
      </w:r>
    </w:p>
    <w:p w14:paraId="2ECAAE24"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62.</w:t>
      </w:r>
      <w:r>
        <w:rPr>
          <w:rFonts w:ascii="Times New Roman" w:eastAsia="方正仿宋_GBK" w:hAnsi="Times New Roman" w:cs="Times New Roman"/>
          <w:b/>
          <w:bCs/>
          <w:sz w:val="32"/>
          <w:szCs w:val="32"/>
        </w:rPr>
        <w:t>健全综合监管制度。</w:t>
      </w:r>
      <w:r>
        <w:rPr>
          <w:rFonts w:ascii="Times New Roman" w:eastAsia="方正仿宋_GBK" w:hAnsi="Times New Roman" w:cs="Times New Roman"/>
          <w:sz w:val="32"/>
          <w:szCs w:val="32"/>
        </w:rPr>
        <w:t>强化政府主导责任，整合集中医疗卫生行业监管职能和责任，建设规范化综合监督执法机构，建立有关部门综合监管协调机制。落实医疗卫生机构自我管理主体责任，建立决策、执行、监督相互协调、相互制衡、相互促进的治理机制。发挥行业组织自律作用，积极培育医疗卫生行业组织。支持社会各界参与监督，建立举报违法行为奖励力度。形成机构自治、行业自律、政府监管、社会监督相结合的多元化综合监管体系，建立专业高效、统一规范、文明公正的卫生健康执法监督队伍，从注重事前审批转向注重事中事后全流程监管，从单项监管转向综合协同监管，从主要运用行政手段转向统筹运用行政、法律、经济和信息等多种手段。</w:t>
      </w:r>
    </w:p>
    <w:p w14:paraId="3087590C"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63.</w:t>
      </w:r>
      <w:r>
        <w:rPr>
          <w:rFonts w:ascii="Times New Roman" w:eastAsia="方正仿宋_GBK" w:hAnsi="Times New Roman" w:cs="Times New Roman"/>
          <w:b/>
          <w:bCs/>
          <w:sz w:val="32"/>
          <w:szCs w:val="32"/>
        </w:rPr>
        <w:t>加强全行业全过程监管。</w:t>
      </w:r>
      <w:r>
        <w:rPr>
          <w:rFonts w:ascii="Times New Roman" w:eastAsia="方正仿宋_GBK" w:hAnsi="Times New Roman" w:cs="Times New Roman"/>
          <w:sz w:val="32"/>
          <w:szCs w:val="32"/>
        </w:rPr>
        <w:t>加强医疗服务监管，强化对医疗质量和安全、医疗卫生机构及医务人员执业行为、医疗卫生服务行业秩序方面的监管，严格落实医疗质量和安全核心制</w:t>
      </w:r>
      <w:r>
        <w:rPr>
          <w:rFonts w:ascii="Times New Roman" w:eastAsia="方正仿宋_GBK" w:hAnsi="Times New Roman" w:cs="Times New Roman"/>
          <w:sz w:val="32"/>
          <w:szCs w:val="32"/>
        </w:rPr>
        <w:lastRenderedPageBreak/>
        <w:t>度，加强对重点部门、重点专业、重要岗位、关键环节、高风险人员的监管，针对突出问题开展专项整治，严厉打击非法行医，深化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平安医院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加强公共卫生监督，依法加强对环境保护、职业卫生、精神卫生、放射卫生、传染病防治、实验室生物安全、公共场所卫生、饮用水卫生、学校卫生等公共卫生服务的监管，按照风险管理原则，全面落实公共场所卫生监督量化分级管理，对各级各类医疗卫生机构传染病防治进行分类监督综合评价。统筹加强计划生育技术服务、中医药服务、健康产业的监管，对新技术新产业新业态新模式实行包容、审慎、有效监管。</w:t>
      </w:r>
    </w:p>
    <w:p w14:paraId="536FDD27" w14:textId="77777777" w:rsidR="002D0D6D" w:rsidRDefault="00000000">
      <w:pPr>
        <w:pStyle w:val="ae"/>
        <w:widowControl w:val="0"/>
        <w:shd w:val="clear" w:color="auto" w:fill="FFFFFF"/>
        <w:overflowPunct w:val="0"/>
        <w:spacing w:before="0" w:beforeAutospacing="0" w:after="0" w:afterAutospacing="0" w:line="620"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64.</w:t>
      </w:r>
      <w:r>
        <w:rPr>
          <w:rFonts w:ascii="Times New Roman" w:eastAsia="方正仿宋_GBK" w:hAnsi="Times New Roman" w:cs="Times New Roman"/>
          <w:b/>
          <w:bCs/>
          <w:sz w:val="32"/>
          <w:szCs w:val="32"/>
        </w:rPr>
        <w:t>积极创新监管执法机制。</w:t>
      </w:r>
      <w:r>
        <w:rPr>
          <w:rFonts w:ascii="Times New Roman" w:eastAsia="方正仿宋_GBK" w:hAnsi="Times New Roman" w:cs="Times New Roman"/>
          <w:sz w:val="32"/>
          <w:szCs w:val="32"/>
        </w:rPr>
        <w:t>健全行政执法公示、执法全过程记录、重大执法决定法制审核以及行政裁量权基准等制度。落实执法责任制和责任追究制，探索容错纠错和免责机制。完善行政执法和刑事司法衔接程序。全面推行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双随机、一公开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抽查机制。完善医疗卫生行业信用机制，实行医疗卫生机构和医务人员不良执业行为记分和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重点监管清单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制度，依法予以联合惩戒。运用在线监测等信息化手段，打造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智慧卫监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，建立线上线下一体化的监管方式，实现精细化、全程化、动态化监管。</w:t>
      </w:r>
    </w:p>
    <w:p w14:paraId="0583F910" w14:textId="77777777" w:rsidR="002D0D6D" w:rsidRDefault="00000000">
      <w:pPr>
        <w:overflowPunct w:val="0"/>
        <w:spacing w:line="6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14:paraId="32F690C3"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第五部分</w:t>
      </w:r>
    </w:p>
    <w:p w14:paraId="381C5A4A" w14:textId="77777777" w:rsidR="002D0D6D" w:rsidRDefault="00000000">
      <w:pPr>
        <w:overflowPunct w:val="0"/>
        <w:spacing w:line="62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重点项目：搭建发展载体和工作抓手</w:t>
      </w:r>
    </w:p>
    <w:p w14:paraId="32C08D5E" w14:textId="77777777" w:rsidR="002D0D6D" w:rsidRDefault="002D0D6D">
      <w:pPr>
        <w:overflowPunct w:val="0"/>
        <w:spacing w:line="620" w:lineRule="exact"/>
        <w:rPr>
          <w:rFonts w:ascii="Times New Roman" w:eastAsia="黑体" w:hAnsi="Times New Roman" w:cs="Times New Roman"/>
          <w:b/>
          <w:sz w:val="32"/>
          <w:szCs w:val="32"/>
        </w:rPr>
      </w:pPr>
    </w:p>
    <w:p w14:paraId="1FFC29BD" w14:textId="77777777" w:rsidR="002D0D6D" w:rsidRDefault="00000000">
      <w:pPr>
        <w:overflowPunct w:val="0"/>
        <w:spacing w:line="620" w:lineRule="exact"/>
        <w:ind w:firstLineChars="200" w:firstLine="640"/>
        <w:jc w:val="left"/>
        <w:rPr>
          <w:rFonts w:ascii="Times New Roman" w:eastAsia="方正黑体_GBK" w:hAnsi="Times New Roman" w:cs="Times New Roman"/>
          <w:sz w:val="32"/>
          <w:szCs w:val="32"/>
        </w:rPr>
      </w:pPr>
      <w:bookmarkStart w:id="8" w:name="_Toc475645568"/>
      <w:bookmarkStart w:id="9" w:name="_Toc475635964"/>
      <w:r>
        <w:rPr>
          <w:rFonts w:ascii="Times New Roman" w:eastAsia="方正黑体_GBK" w:hAnsi="Times New Roman" w:cs="Times New Roman"/>
          <w:sz w:val="32"/>
          <w:szCs w:val="32"/>
        </w:rPr>
        <w:t>一、公共卫生织网工程</w:t>
      </w:r>
    </w:p>
    <w:p w14:paraId="27DA024A"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织密防护网、筑牢筑实隔离墙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构建起强大的公共卫生体系的要求，抓紧补短板、堵漏洞、强弱项，重点加强区疾控中心基础设施设备建设，改善业务用房和实验室装备条件，完善特种专业技术用车配置，满足流行病学调查、现场采样监测、标本运输、检验检测和应急处置等业务需要，建成可视化、交互式公共卫生应急指挥中心；建设智慧化监管平台，加强职业病监测及防治；加强重大疫情医疗救治设施建设，改造建设可平战转换的应急隔离医院、病区和适宜场馆场所，开展规范化发热门诊、肠道门诊和社区卫生机构哨点建设，增加配备救护车辆、急诊急救医疗设备；整体完善公共卫生服务体系，推进数字化预防接种门诊建设全覆盖，完成区精神卫生中心住院病区改扩建和信息化升级，基本建成社会心理服务体系。充分整合资源，建立密布各社区的红十字志愿服务队，强化人员队伍建设，打造过硬急救技能，参与开展突发事件现场急救等应急处置。</w:t>
      </w:r>
    </w:p>
    <w:p w14:paraId="7196A76C" w14:textId="77777777" w:rsidR="002D0D6D" w:rsidRDefault="00000000">
      <w:pPr>
        <w:overflowPunct w:val="0"/>
        <w:spacing w:line="62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二、医疗服务提质工程</w:t>
      </w:r>
    </w:p>
    <w:p w14:paraId="3BA1D292"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巩固提升医疗服务高地，承载国家医学中心、国家区域医疗中心建设，支持市级医院建设发展，完成重医附一院培训中</w:t>
      </w:r>
      <w:r>
        <w:rPr>
          <w:rFonts w:ascii="Times New Roman" w:eastAsia="方正仿宋_GBK" w:hAnsi="Times New Roman" w:cs="Times New Roman"/>
          <w:sz w:val="32"/>
          <w:szCs w:val="32"/>
        </w:rPr>
        <w:lastRenderedPageBreak/>
        <w:t>心大楼和第二医疗综合大楼、一分院扩建，重医附二院魁星楼改建门诊部、重医儿童医院科技楼、重医附属口腔医院上清寺院区改造装修、市妇幼保健院七星岗院区辅助生殖中心、陆军特色医学中心科研大楼等工程建设，使区域医疗综合服务实力面向全市、辐射西部。加快区级医院建设发展，依托重庆市中医骨科医院重建区人民医院，加强发展内科、重症救治等领域，提高综合医疗服务能力。</w:t>
      </w:r>
      <w:r>
        <w:rPr>
          <w:rFonts w:ascii="Times New Roman" w:eastAsia="方正仿宋_GBK" w:hAnsi="Times New Roman" w:cs="Times New Roman"/>
          <w:sz w:val="32"/>
          <w:szCs w:val="32"/>
          <w:shd w:val="clear" w:color="auto" w:fill="FFFFFF"/>
        </w:rPr>
        <w:t>重庆牙科医院与北京中日友好医院开展医联体建设，在重庆设置联合口腔门诊部，首次引进部级优势医疗资源服务重庆口腔疾病患者。</w:t>
      </w:r>
      <w:r>
        <w:rPr>
          <w:rFonts w:ascii="Times New Roman" w:eastAsia="方正仿宋_GBK" w:hAnsi="Times New Roman" w:cs="Times New Roman"/>
          <w:sz w:val="32"/>
          <w:szCs w:val="32"/>
        </w:rPr>
        <w:t>拓展放射、麻醉等专业能力，在解放碑增设一个数字化舒适无痛口腔诊疗中心。做实区级医疗质控中心，加强医疗质量安全专业化管理。改建医院厕所、食堂、医疗废物废水收集处理设施、院容环境，打造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美丽医院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4A17FA17" w14:textId="77777777" w:rsidR="002D0D6D" w:rsidRDefault="00000000">
      <w:pPr>
        <w:overflowPunct w:val="0"/>
        <w:spacing w:line="62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三、社区卫生筑基工程</w:t>
      </w:r>
    </w:p>
    <w:p w14:paraId="14E21009"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以基层为重点，夯实社区卫生服务基石。对老旧社区卫生服务中心进行新一轮改造，增配一批数字化智能化医疗设备，提升应急、护理、康复、健康管理等能力，与分级诊疗格局相适应，与城市发展同步有机更新。对标国家社区卫生服务能力建设标准，</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以上的中心达到基本标准，创建一批社区医院。完成</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个社区卫生护理站建设，重点提供社区护理、居家护理、日间照料以及基本医疗护理等服务。持续开展国家基本公共卫生服务，筑牢居民健康保障第一道防线。深化家庭</w:t>
      </w:r>
      <w:r>
        <w:rPr>
          <w:rFonts w:ascii="Times New Roman" w:eastAsia="方正仿宋_GBK" w:hAnsi="Times New Roman" w:cs="Times New Roman"/>
          <w:sz w:val="32"/>
          <w:szCs w:val="32"/>
        </w:rPr>
        <w:lastRenderedPageBreak/>
        <w:t>医生签约服务，拓展签约服务内涵，提升签约服务履约能力。</w:t>
      </w:r>
    </w:p>
    <w:p w14:paraId="3F8DEE47"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四、中医特色打造工程</w:t>
      </w:r>
    </w:p>
    <w:p w14:paraId="42FAFEC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做大做强重庆市中医骨科医院，建成投用化龙桥新院，改造升级较场口、储奇门院区，设立重庆中医骨科研究所，成为更多医学院校实习教学基地，建设一批中医重点专科，成功创建为国家三级中医骨伤专科医院，打造西部一流特色中医骨科医院。稳固提升基层中医药服务能力，建设一批社区卫生服务中心精品中医馆，设置一批基层名中医工作室。</w:t>
      </w:r>
    </w:p>
    <w:p w14:paraId="320DAC41" w14:textId="77777777" w:rsidR="002D0D6D" w:rsidRDefault="00000000">
      <w:pPr>
        <w:overflowPunct w:val="0"/>
        <w:spacing w:line="62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五、妇女儿童安康工程</w:t>
      </w:r>
    </w:p>
    <w:p w14:paraId="519612C7"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以二级甲等妇幼保健院为标准，填平补齐短板和薄弱，建设发展区妇幼保健院。依托市级医院，建设高水平危重孕产妇、新生儿救治中心。推进社区卫生服务中心妇幼保健、儿童保健门诊全面规范化。加快发展</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岁以下婴幼儿照护服务，新建居住区与住宅同步建设婴幼儿照护服务设施及配套安全设施，通过购置、置换、租赁等方式完善已建成居住区婴幼儿照护服务设施，发展一批社会化婴幼儿照护服务机构。</w:t>
      </w:r>
    </w:p>
    <w:p w14:paraId="055B3BFB"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六、健康养老服务工程</w:t>
      </w:r>
    </w:p>
    <w:p w14:paraId="1818BDF0"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鼓励新办或转型发展老年病医院、康复医院、护理院。不断推动二级以上综合医院开设老年病科、三级中医医院开设康复科。加力发展社区居家健康养老，逐年开展小区、社区卫生服务机构适老化改造，社区卫生服务中心增加护理、康复、安宁疗护病床，有条件中心开设医养结合病房。改造小泉社会福</w:t>
      </w:r>
      <w:r>
        <w:rPr>
          <w:rFonts w:ascii="Times New Roman" w:eastAsia="方正仿宋_GBK" w:hAnsi="Times New Roman" w:cs="Times New Roman"/>
          <w:sz w:val="32"/>
          <w:szCs w:val="32"/>
        </w:rPr>
        <w:lastRenderedPageBreak/>
        <w:t>利院，建成渝中区失智、失能老年人康复护理中心。支持社会力量举办一批医养结合机构。</w:t>
      </w:r>
    </w:p>
    <w:p w14:paraId="083B6B0B"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七、智慧健康发展工程</w:t>
      </w:r>
    </w:p>
    <w:p w14:paraId="6A864A14"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建强区域健康信息化互联互通平台、健康医疗大数据中心。完善卫生健康业务应用信息系统建设，建好医疗决策分析平台、健康渝中</w:t>
      </w:r>
      <w:r>
        <w:rPr>
          <w:rFonts w:ascii="Times New Roman" w:eastAsia="方正仿宋_GBK" w:hAnsi="Times New Roman" w:cs="Times New Roman"/>
          <w:sz w:val="32"/>
          <w:szCs w:val="32"/>
        </w:rPr>
        <w:t>APP</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智慧卫监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等项目。全面建设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智慧医院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，推进医疗卫生机构的数字化、信息化、智能化改造。发展互联网医院。开放应用场景，推进</w:t>
      </w:r>
      <w:r>
        <w:rPr>
          <w:rFonts w:ascii="Times New Roman" w:eastAsia="方正仿宋_GBK" w:hAnsi="Times New Roman" w:cs="Times New Roman"/>
          <w:sz w:val="32"/>
          <w:szCs w:val="32"/>
        </w:rPr>
        <w:t xml:space="preserve">5G </w:t>
      </w:r>
      <w:r>
        <w:rPr>
          <w:rFonts w:ascii="Times New Roman" w:eastAsia="方正仿宋_GBK" w:hAnsi="Times New Roman" w:cs="Times New Roman"/>
          <w:sz w:val="32"/>
          <w:szCs w:val="32"/>
        </w:rPr>
        <w:t>、人工智能、物联网、云计算、区块链、人工智能等技术在卫生健康领域的广泛应用，产生一批智慧健康服务产品。</w:t>
      </w:r>
    </w:p>
    <w:p w14:paraId="3CD4CD3D" w14:textId="77777777" w:rsidR="002D0D6D" w:rsidRDefault="00000000">
      <w:pPr>
        <w:overflowPunct w:val="0"/>
        <w:spacing w:line="620" w:lineRule="exact"/>
        <w:ind w:firstLineChars="200" w:firstLine="640"/>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t>八、卫生英才成长工程</w:t>
      </w:r>
    </w:p>
    <w:p w14:paraId="4AD26D2F"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坚持人才兴卫战略，实施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领航人才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计划，加强高层次、复合型人才建设，选拔培养学术带头人，新增入选市级以上人才</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名左右。实施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枢纽人才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计划，在公共卫生、医疗、中医、管理各专业领域，培养一批中青年医学骨干人才。实施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守门人才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计划，考核招聘基层急需紧缺人才，培养家庭医生等社区优秀专业技术人才，对医务人员轮训全覆盖，建设一支高端引领、中端支撑、基层稳固的卫生健康人才队伍。</w:t>
      </w:r>
    </w:p>
    <w:p w14:paraId="05B37D9E"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九、行业治理保障工程</w:t>
      </w:r>
    </w:p>
    <w:p w14:paraId="51E6CC32"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强化卫生健康综合监管执法，建设规范化卫生健康监督执法机构，配置快速检测、实时监控、智能分析等设备，增强监督执法能力。加强区医疗纠纷人民调解机构建设，完善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三调</w:t>
      </w:r>
      <w:r>
        <w:rPr>
          <w:rFonts w:ascii="Times New Roman" w:eastAsia="方正仿宋_GBK" w:hAnsi="Times New Roman" w:cs="Times New Roman"/>
          <w:sz w:val="32"/>
          <w:szCs w:val="32"/>
        </w:rPr>
        <w:lastRenderedPageBreak/>
        <w:t>解一保险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医疗纠纷预防和处理机制。深化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平安医院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建设，完善各医疗卫生机构视频监控、防侵入报警系统等物防、人防、技防设施，整治安全隐患。</w:t>
      </w:r>
    </w:p>
    <w:p w14:paraId="1E34840A" w14:textId="77777777" w:rsidR="002D0D6D" w:rsidRDefault="002D0D6D">
      <w:pPr>
        <w:overflowPunct w:val="0"/>
        <w:spacing w:line="620" w:lineRule="exact"/>
        <w:ind w:firstLineChars="200" w:firstLine="640"/>
        <w:rPr>
          <w:rFonts w:ascii="Times New Roman" w:eastAsia="方正仿宋_GBK" w:hAnsi="Times New Roman" w:cs="Times New Roman"/>
          <w:sz w:val="32"/>
          <w:szCs w:val="32"/>
        </w:rPr>
      </w:pPr>
    </w:p>
    <w:p w14:paraId="5FBA405C" w14:textId="77777777" w:rsidR="002D0D6D" w:rsidRDefault="00000000">
      <w:pPr>
        <w:overflowPunct w:val="0"/>
        <w:spacing w:line="6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pacing w:val="-11"/>
          <w:sz w:val="32"/>
          <w:szCs w:val="32"/>
        </w:rPr>
        <w:t>渝中区卫生健康事业十四五期间重点工作及项目清单</w:t>
      </w:r>
    </w:p>
    <w:p w14:paraId="0743E344" w14:textId="77777777" w:rsidR="002D0D6D" w:rsidRDefault="00000000">
      <w:pPr>
        <w:overflowPunct w:val="0"/>
        <w:spacing w:line="6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14:paraId="52725303" w14:textId="77777777" w:rsidR="002D0D6D" w:rsidRDefault="00000000">
      <w:pPr>
        <w:overflowPunct w:val="0"/>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第六部分</w:t>
      </w:r>
    </w:p>
    <w:p w14:paraId="06E7737C" w14:textId="77777777" w:rsidR="002D0D6D" w:rsidRDefault="00000000">
      <w:pPr>
        <w:overflowPunct w:val="0"/>
        <w:spacing w:line="600" w:lineRule="exact"/>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组织实施：保障发展规划落地见效</w:t>
      </w:r>
    </w:p>
    <w:p w14:paraId="784603E8" w14:textId="77777777" w:rsidR="002D0D6D" w:rsidRDefault="002D0D6D">
      <w:pPr>
        <w:overflowPunct w:val="0"/>
        <w:spacing w:line="600" w:lineRule="exact"/>
        <w:rPr>
          <w:rFonts w:ascii="Times New Roman" w:eastAsia="方正黑体_GBK" w:hAnsi="Times New Roman" w:cs="Times New Roman"/>
          <w:sz w:val="32"/>
          <w:szCs w:val="32"/>
        </w:rPr>
      </w:pPr>
    </w:p>
    <w:bookmarkEnd w:id="8"/>
    <w:bookmarkEnd w:id="9"/>
    <w:p w14:paraId="3110CD66" w14:textId="77777777" w:rsidR="002D0D6D" w:rsidRDefault="00000000">
      <w:pPr>
        <w:overflowPunct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一、加强组织领导</w:t>
      </w:r>
    </w:p>
    <w:p w14:paraId="6CA48E1B" w14:textId="77777777" w:rsidR="002D0D6D" w:rsidRDefault="00000000">
      <w:pPr>
        <w:overflowPunct w:val="0"/>
        <w:spacing w:line="60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sz w:val="32"/>
          <w:szCs w:val="32"/>
        </w:rPr>
        <w:t>将卫生健康事业发展的主要目标与任务纳入全区经济与社会发展总体规划，纳入党政目标管理责任制。健康渝中行动推进委员会加强统筹协调，各有关部门加强责任落实、通力协</w:t>
      </w:r>
      <w:r>
        <w:rPr>
          <w:rFonts w:ascii="Times New Roman" w:eastAsia="方正仿宋_GBK" w:hAnsi="Times New Roman" w:cs="Times New Roman"/>
          <w:spacing w:val="-23"/>
          <w:sz w:val="32"/>
          <w:szCs w:val="32"/>
        </w:rPr>
        <w:t>作。健全规划的推进机制，增强规划的引领力、约束力和执行力。</w:t>
      </w:r>
    </w:p>
    <w:p w14:paraId="7FEC89A8" w14:textId="77777777" w:rsidR="002D0D6D" w:rsidRDefault="00000000">
      <w:pPr>
        <w:overflowPunct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二、健全筹资机制</w:t>
      </w:r>
    </w:p>
    <w:p w14:paraId="3069E8F2" w14:textId="77777777" w:rsidR="002D0D6D" w:rsidRDefault="00000000">
      <w:pPr>
        <w:overflowPunct w:val="0"/>
        <w:spacing w:line="600" w:lineRule="exact"/>
        <w:ind w:firstLineChars="200" w:firstLine="640"/>
        <w:rPr>
          <w:rFonts w:ascii="Times New Roman" w:eastAsia="仿宋_GB2312" w:hAnsi="Times New Roman" w:cs="Times New Roman"/>
          <w:sz w:val="32"/>
          <w:szCs w:val="32"/>
        </w:rPr>
      </w:pPr>
      <w:r>
        <w:rPr>
          <w:rFonts w:ascii="Times New Roman" w:eastAsia="方正仿宋_GBK" w:hAnsi="Times New Roman" w:cs="Times New Roman"/>
          <w:sz w:val="32"/>
          <w:szCs w:val="32"/>
        </w:rPr>
        <w:t>健全政府主导的多元卫生健康事业投入机制，发挥财政在提供公共卫生和基本医疗服务中的主导作用，积极争取上级投入，保障区级财政投入，提高财政投入力度和绩效。扩大社会资本投入，鼓励和引导社会力量参与卫生健康领域的投资运营，形成投资主体多元化、投资方式多样化的筹资机制。</w:t>
      </w:r>
    </w:p>
    <w:p w14:paraId="6A1A4994" w14:textId="77777777" w:rsidR="002D0D6D" w:rsidRDefault="00000000">
      <w:pPr>
        <w:overflowPunct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三、加大宣传引导</w:t>
      </w:r>
    </w:p>
    <w:p w14:paraId="0D859F6A" w14:textId="77777777" w:rsidR="002D0D6D" w:rsidRDefault="00000000">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通过电视、报纸和网络等全媒体广泛宣传，提高社会各界对卫生健康事业的关注度，得到群众支持理解。主动做好信息发布，及时回应社会关切，提升舆论引导能力。全方位、多渠道、多形式为卫生健康事业发展营造良好环境。</w:t>
      </w:r>
      <w:r>
        <w:rPr>
          <w:rFonts w:ascii="Times New Roman" w:eastAsia="方正仿宋_GBK" w:hAnsi="Times New Roman" w:cs="Times New Roman"/>
          <w:sz w:val="32"/>
          <w:szCs w:val="32"/>
        </w:rPr>
        <w:t xml:space="preserve"> </w:t>
      </w:r>
    </w:p>
    <w:p w14:paraId="5A416785" w14:textId="77777777" w:rsidR="002D0D6D" w:rsidRDefault="00000000">
      <w:pPr>
        <w:overflowPunct w:val="0"/>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四、做好监测评估</w:t>
      </w:r>
    </w:p>
    <w:p w14:paraId="1A2D3422" w14:textId="77777777" w:rsidR="002D0D6D" w:rsidRDefault="00000000">
      <w:pPr>
        <w:overflowPunct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加强对规划执行情况的检查督导，动态跟踪重要政策、重点任务、重大工程的实施效果，建立健全科学合理的考评体系，定期开展主要指标监测评估，推动规划顺利实施。</w:t>
      </w:r>
    </w:p>
    <w:p w14:paraId="5335B585" w14:textId="77777777" w:rsidR="002D0D6D" w:rsidRDefault="002D0D6D">
      <w:pPr>
        <w:pStyle w:val="a4"/>
        <w:sectPr w:rsidR="002D0D6D">
          <w:footerReference w:type="even" r:id="rId15"/>
          <w:footerReference w:type="default" r:id="rId16"/>
          <w:footerReference w:type="first" r:id="rId17"/>
          <w:pgSz w:w="11906" w:h="16838"/>
          <w:pgMar w:top="1417" w:right="1587" w:bottom="1417" w:left="1587" w:header="850" w:footer="992" w:gutter="0"/>
          <w:cols w:space="0"/>
          <w:docGrid w:type="lines" w:linePitch="312"/>
        </w:sectPr>
      </w:pPr>
    </w:p>
    <w:p w14:paraId="4E819FDC" w14:textId="77777777" w:rsidR="002D0D6D" w:rsidRDefault="00000000">
      <w:pPr>
        <w:spacing w:line="620" w:lineRule="exact"/>
        <w:outlineLvl w:val="0"/>
        <w:rPr>
          <w:rFonts w:ascii="方正黑体_GBK" w:eastAsia="方正黑体_GBK" w:hAnsi="方正黑体_GBK" w:cs="方正黑体_GBK" w:hint="eastAsia"/>
          <w:bCs/>
          <w:sz w:val="32"/>
          <w:szCs w:val="32"/>
        </w:rPr>
      </w:pPr>
      <w:r>
        <w:rPr>
          <w:rFonts w:ascii="方正黑体_GBK" w:eastAsia="方正黑体_GBK" w:hAnsi="方正黑体_GBK" w:cs="方正黑体_GBK" w:hint="eastAsia"/>
          <w:bCs/>
          <w:sz w:val="32"/>
          <w:szCs w:val="32"/>
        </w:rPr>
        <w:lastRenderedPageBreak/>
        <w:t>附件</w:t>
      </w:r>
    </w:p>
    <w:p w14:paraId="5DDE8E04" w14:textId="77777777" w:rsidR="002D0D6D" w:rsidRDefault="002D0D6D">
      <w:pPr>
        <w:pStyle w:val="af"/>
        <w:spacing w:before="0" w:after="0" w:line="620" w:lineRule="exact"/>
      </w:pPr>
    </w:p>
    <w:p w14:paraId="3DFB1A27" w14:textId="77777777" w:rsidR="002D0D6D" w:rsidRDefault="00000000">
      <w:pPr>
        <w:spacing w:line="620" w:lineRule="exact"/>
        <w:jc w:val="center"/>
        <w:rPr>
          <w:rFonts w:ascii="方正小标宋_GBK" w:eastAsia="方正小标宋_GBK" w:hAnsi="方正小标宋_GBK" w:cs="方正小标宋_GBK" w:hint="eastAsia"/>
          <w:bCs/>
          <w:sz w:val="44"/>
          <w:szCs w:val="44"/>
        </w:rPr>
      </w:pPr>
      <w:r>
        <w:rPr>
          <w:rFonts w:ascii="方正小标宋_GBK" w:eastAsia="方正小标宋_GBK" w:hAnsi="方正小标宋_GBK" w:cs="方正小标宋_GBK" w:hint="eastAsia"/>
          <w:bCs/>
          <w:sz w:val="44"/>
          <w:szCs w:val="44"/>
        </w:rPr>
        <w:t>渝中区卫生健康事业</w:t>
      </w:r>
      <w:bookmarkStart w:id="10" w:name="_Toc37250327"/>
      <w:r>
        <w:rPr>
          <w:rFonts w:ascii="方正小标宋_GBK" w:eastAsia="方正小标宋_GBK" w:hAnsi="方正小标宋_GBK" w:cs="方正小标宋_GBK" w:hint="eastAsia"/>
          <w:bCs/>
          <w:sz w:val="44"/>
          <w:szCs w:val="44"/>
        </w:rPr>
        <w:t>十四五期间重点工作及项目清单</w:t>
      </w:r>
    </w:p>
    <w:tbl>
      <w:tblPr>
        <w:tblStyle w:val="af2"/>
        <w:tblpPr w:leftFromText="180" w:rightFromText="180" w:vertAnchor="text" w:horzAnchor="page" w:tblpX="1453" w:tblpY="634"/>
        <w:tblOverlap w:val="never"/>
        <w:tblW w:w="14080" w:type="dxa"/>
        <w:tblLayout w:type="fixed"/>
        <w:tblLook w:val="04A0" w:firstRow="1" w:lastRow="0" w:firstColumn="1" w:lastColumn="0" w:noHBand="0" w:noVBand="1"/>
      </w:tblPr>
      <w:tblGrid>
        <w:gridCol w:w="711"/>
        <w:gridCol w:w="2255"/>
        <w:gridCol w:w="1754"/>
        <w:gridCol w:w="7665"/>
        <w:gridCol w:w="1695"/>
      </w:tblGrid>
      <w:tr w:rsidR="002D0D6D" w14:paraId="7617C352" w14:textId="77777777">
        <w:trPr>
          <w:trHeight w:val="541"/>
        </w:trPr>
        <w:tc>
          <w:tcPr>
            <w:tcW w:w="711" w:type="dxa"/>
            <w:vAlign w:val="center"/>
          </w:tcPr>
          <w:bookmarkEnd w:id="10"/>
          <w:p w14:paraId="652716D1" w14:textId="77777777" w:rsidR="002D0D6D" w:rsidRDefault="00000000">
            <w:pPr>
              <w:pStyle w:val="af"/>
              <w:spacing w:before="0" w:after="0" w:line="0" w:lineRule="atLeast"/>
              <w:rPr>
                <w:rFonts w:ascii="Times New Roman" w:eastAsia="方正黑体_GBK" w:hAnsi="Times New Roman" w:cs="Times New Roman"/>
                <w:b w:val="0"/>
                <w:bCs w:val="0"/>
                <w:sz w:val="24"/>
              </w:rPr>
            </w:pPr>
            <w:r>
              <w:rPr>
                <w:rFonts w:ascii="Times New Roman" w:eastAsia="方正黑体_GBK" w:hAnsi="Times New Roman" w:cs="Times New Roman"/>
                <w:b w:val="0"/>
                <w:bCs w:val="0"/>
                <w:sz w:val="24"/>
              </w:rPr>
              <w:t>序号</w:t>
            </w:r>
          </w:p>
        </w:tc>
        <w:tc>
          <w:tcPr>
            <w:tcW w:w="2255" w:type="dxa"/>
            <w:vAlign w:val="center"/>
          </w:tcPr>
          <w:p w14:paraId="27A34929" w14:textId="77777777" w:rsidR="002D0D6D" w:rsidRDefault="00000000">
            <w:pPr>
              <w:pStyle w:val="af"/>
              <w:spacing w:before="0" w:after="0" w:line="0" w:lineRule="atLeast"/>
              <w:rPr>
                <w:rFonts w:ascii="Times New Roman" w:eastAsia="方正黑体_GBK" w:hAnsi="Times New Roman" w:cs="Times New Roman"/>
                <w:b w:val="0"/>
                <w:bCs w:val="0"/>
                <w:sz w:val="24"/>
              </w:rPr>
            </w:pPr>
            <w:r>
              <w:rPr>
                <w:rFonts w:ascii="Times New Roman" w:eastAsia="方正黑体_GBK" w:hAnsi="Times New Roman" w:cs="Times New Roman"/>
                <w:b w:val="0"/>
                <w:bCs w:val="0"/>
                <w:sz w:val="24"/>
              </w:rPr>
              <w:t>项目类别</w:t>
            </w:r>
          </w:p>
        </w:tc>
        <w:tc>
          <w:tcPr>
            <w:tcW w:w="1754" w:type="dxa"/>
            <w:vAlign w:val="center"/>
          </w:tcPr>
          <w:p w14:paraId="3E3A7FB0" w14:textId="77777777" w:rsidR="002D0D6D" w:rsidRDefault="00000000">
            <w:pPr>
              <w:pStyle w:val="af"/>
              <w:spacing w:before="0" w:after="0" w:line="0" w:lineRule="atLeast"/>
              <w:rPr>
                <w:rFonts w:ascii="Times New Roman" w:eastAsia="方正黑体_GBK" w:hAnsi="Times New Roman" w:cs="Times New Roman"/>
                <w:b w:val="0"/>
                <w:bCs w:val="0"/>
                <w:sz w:val="24"/>
              </w:rPr>
            </w:pPr>
            <w:r>
              <w:rPr>
                <w:rFonts w:ascii="Times New Roman" w:eastAsia="方正黑体_GBK" w:hAnsi="Times New Roman" w:cs="Times New Roman"/>
                <w:b w:val="0"/>
                <w:bCs w:val="0"/>
                <w:sz w:val="24"/>
              </w:rPr>
              <w:t>分</w:t>
            </w:r>
            <w:r>
              <w:rPr>
                <w:rFonts w:ascii="Times New Roman" w:eastAsia="方正黑体_GBK" w:hAnsi="Times New Roman" w:cs="Times New Roman"/>
                <w:b w:val="0"/>
                <w:bCs w:val="0"/>
                <w:sz w:val="24"/>
              </w:rPr>
              <w:t xml:space="preserve">  </w:t>
            </w:r>
            <w:r>
              <w:rPr>
                <w:rFonts w:ascii="Times New Roman" w:eastAsia="方正黑体_GBK" w:hAnsi="Times New Roman" w:cs="Times New Roman"/>
                <w:b w:val="0"/>
                <w:bCs w:val="0"/>
                <w:sz w:val="24"/>
              </w:rPr>
              <w:t>项</w:t>
            </w:r>
          </w:p>
        </w:tc>
        <w:tc>
          <w:tcPr>
            <w:tcW w:w="7665" w:type="dxa"/>
            <w:vAlign w:val="center"/>
          </w:tcPr>
          <w:p w14:paraId="65415BF3" w14:textId="77777777" w:rsidR="002D0D6D" w:rsidRDefault="00000000">
            <w:pPr>
              <w:pStyle w:val="af"/>
              <w:spacing w:before="0" w:after="0" w:line="0" w:lineRule="atLeast"/>
              <w:rPr>
                <w:rFonts w:ascii="Times New Roman" w:eastAsia="方正黑体_GBK" w:hAnsi="Times New Roman" w:cs="Times New Roman"/>
                <w:b w:val="0"/>
                <w:bCs w:val="0"/>
                <w:sz w:val="24"/>
              </w:rPr>
            </w:pPr>
            <w:r>
              <w:rPr>
                <w:rFonts w:ascii="Times New Roman" w:eastAsia="方正黑体_GBK" w:hAnsi="Times New Roman" w:cs="Times New Roman"/>
                <w:b w:val="0"/>
                <w:bCs w:val="0"/>
                <w:sz w:val="24"/>
              </w:rPr>
              <w:t>内</w:t>
            </w:r>
            <w:r>
              <w:rPr>
                <w:rFonts w:ascii="Times New Roman" w:eastAsia="方正黑体_GBK" w:hAnsi="Times New Roman" w:cs="Times New Roman"/>
                <w:b w:val="0"/>
                <w:bCs w:val="0"/>
                <w:sz w:val="24"/>
              </w:rPr>
              <w:t xml:space="preserve">   </w:t>
            </w:r>
            <w:r>
              <w:rPr>
                <w:rFonts w:ascii="Times New Roman" w:eastAsia="方正黑体_GBK" w:hAnsi="Times New Roman" w:cs="Times New Roman"/>
                <w:b w:val="0"/>
                <w:bCs w:val="0"/>
                <w:sz w:val="24"/>
              </w:rPr>
              <w:t>容</w:t>
            </w:r>
          </w:p>
        </w:tc>
        <w:tc>
          <w:tcPr>
            <w:tcW w:w="1695" w:type="dxa"/>
            <w:vAlign w:val="center"/>
          </w:tcPr>
          <w:p w14:paraId="17717164" w14:textId="77777777" w:rsidR="002D0D6D" w:rsidRDefault="00000000">
            <w:pPr>
              <w:pStyle w:val="af"/>
              <w:spacing w:before="0" w:after="0" w:line="0" w:lineRule="atLeast"/>
              <w:rPr>
                <w:rFonts w:ascii="Times New Roman" w:eastAsia="方正黑体_GBK" w:hAnsi="Times New Roman" w:cs="Times New Roman"/>
                <w:b w:val="0"/>
                <w:bCs w:val="0"/>
                <w:sz w:val="24"/>
              </w:rPr>
            </w:pPr>
            <w:r>
              <w:rPr>
                <w:rFonts w:ascii="Times New Roman" w:eastAsia="方正黑体_GBK" w:hAnsi="Times New Roman" w:cs="Times New Roman"/>
                <w:b w:val="0"/>
                <w:bCs w:val="0"/>
                <w:sz w:val="24"/>
              </w:rPr>
              <w:t>计划年限</w:t>
            </w:r>
          </w:p>
        </w:tc>
      </w:tr>
      <w:tr w:rsidR="002D0D6D" w14:paraId="173FFD2C" w14:textId="77777777">
        <w:trPr>
          <w:trHeight w:val="90"/>
        </w:trPr>
        <w:tc>
          <w:tcPr>
            <w:tcW w:w="711" w:type="dxa"/>
            <w:vMerge w:val="restart"/>
            <w:vAlign w:val="center"/>
          </w:tcPr>
          <w:p w14:paraId="08AD1143" w14:textId="77777777" w:rsidR="002D0D6D" w:rsidRDefault="00000000">
            <w:pPr>
              <w:widowControl/>
              <w:spacing w:line="0" w:lineRule="atLeast"/>
              <w:jc w:val="center"/>
              <w:textAlignment w:val="center"/>
              <w:rPr>
                <w:rFonts w:ascii="Times New Roman" w:eastAsia="方正仿宋_GBK" w:hAnsi="Times New Roman" w:cs="Times New Roman"/>
                <w:sz w:val="22"/>
              </w:rPr>
            </w:pPr>
            <w:r>
              <w:rPr>
                <w:rFonts w:ascii="Times New Roman" w:eastAsia="方正仿宋_GBK" w:hAnsi="Times New Roman" w:cs="Times New Roman"/>
                <w:sz w:val="22"/>
              </w:rPr>
              <w:t>一</w:t>
            </w:r>
          </w:p>
        </w:tc>
        <w:tc>
          <w:tcPr>
            <w:tcW w:w="2255" w:type="dxa"/>
            <w:vMerge w:val="restart"/>
            <w:vAlign w:val="center"/>
          </w:tcPr>
          <w:p w14:paraId="727BDD2D"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公共卫生织网工程</w:t>
            </w:r>
          </w:p>
        </w:tc>
        <w:tc>
          <w:tcPr>
            <w:tcW w:w="1754" w:type="dxa"/>
            <w:vAlign w:val="center"/>
          </w:tcPr>
          <w:p w14:paraId="14E0FD23"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疾病预防控制及公共卫生救</w:t>
            </w:r>
            <w:r>
              <w:rPr>
                <w:rFonts w:ascii="Times New Roman" w:eastAsia="方正仿宋_GBK" w:hAnsi="Times New Roman" w:cs="Times New Roman"/>
                <w:b w:val="0"/>
                <w:bCs w:val="0"/>
                <w:spacing w:val="-23"/>
                <w:sz w:val="24"/>
              </w:rPr>
              <w:t>治体系升级改造</w:t>
            </w:r>
          </w:p>
        </w:tc>
        <w:tc>
          <w:tcPr>
            <w:tcW w:w="7665" w:type="dxa"/>
            <w:vAlign w:val="center"/>
          </w:tcPr>
          <w:p w14:paraId="165BEFE0"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加强区疾控中心基础设施设备建设，改善实验室装备条件；加强</w:t>
            </w:r>
            <w:r>
              <w:rPr>
                <w:rFonts w:ascii="Times New Roman" w:eastAsia="方正仿宋_GBK" w:hAnsi="Times New Roman" w:cs="Times New Roman"/>
                <w:b w:val="0"/>
                <w:bCs w:val="0"/>
                <w:sz w:val="24"/>
              </w:rPr>
              <w:t>11</w:t>
            </w:r>
            <w:r>
              <w:rPr>
                <w:rFonts w:ascii="Times New Roman" w:eastAsia="方正仿宋_GBK" w:hAnsi="Times New Roman" w:cs="Times New Roman"/>
                <w:b w:val="0"/>
                <w:bCs w:val="0"/>
                <w:sz w:val="24"/>
              </w:rPr>
              <w:t>个社区卫生服务中心和</w:t>
            </w:r>
            <w:r>
              <w:rPr>
                <w:rFonts w:ascii="Times New Roman" w:eastAsia="方正仿宋_GBK" w:hAnsi="Times New Roman" w:cs="Times New Roman"/>
                <w:b w:val="0"/>
                <w:bCs w:val="0"/>
                <w:sz w:val="24"/>
              </w:rPr>
              <w:t>40</w:t>
            </w:r>
            <w:r>
              <w:rPr>
                <w:rFonts w:ascii="Times New Roman" w:eastAsia="方正仿宋_GBK" w:hAnsi="Times New Roman" w:cs="Times New Roman"/>
                <w:b w:val="0"/>
                <w:bCs w:val="0"/>
                <w:sz w:val="24"/>
              </w:rPr>
              <w:t>个社区卫生服务站信息化建设和应急设备升级改造，配置救护车辆。</w:t>
            </w:r>
          </w:p>
        </w:tc>
        <w:tc>
          <w:tcPr>
            <w:tcW w:w="1695" w:type="dxa"/>
            <w:vAlign w:val="center"/>
          </w:tcPr>
          <w:p w14:paraId="600E14C7"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65F4964F" w14:textId="77777777">
        <w:trPr>
          <w:trHeight w:val="1097"/>
        </w:trPr>
        <w:tc>
          <w:tcPr>
            <w:tcW w:w="711" w:type="dxa"/>
            <w:vMerge/>
            <w:vAlign w:val="center"/>
          </w:tcPr>
          <w:p w14:paraId="0CE04386"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128B2A8C"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7FEBFF8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精神卫生中心改扩建及能力提升</w:t>
            </w:r>
          </w:p>
        </w:tc>
        <w:tc>
          <w:tcPr>
            <w:tcW w:w="7665" w:type="dxa"/>
            <w:vAlign w:val="center"/>
          </w:tcPr>
          <w:p w14:paraId="1BB76AAA"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改扩建区精神卫生中心业务用房，升级软硬件设施设备，新增床位</w:t>
            </w:r>
            <w:r>
              <w:rPr>
                <w:rFonts w:ascii="Times New Roman" w:eastAsia="方正仿宋_GBK" w:hAnsi="Times New Roman" w:cs="Times New Roman"/>
                <w:b w:val="0"/>
                <w:bCs w:val="0"/>
                <w:sz w:val="24"/>
              </w:rPr>
              <w:t>360</w:t>
            </w:r>
            <w:r>
              <w:rPr>
                <w:rFonts w:ascii="Times New Roman" w:eastAsia="方正仿宋_GBK" w:hAnsi="Times New Roman" w:cs="Times New Roman"/>
                <w:b w:val="0"/>
                <w:bCs w:val="0"/>
                <w:sz w:val="24"/>
              </w:rPr>
              <w:t>张。持续开展严重精神障碍患者服务管理工作，进一步提高管理治疗工作质量，使严重精神障碍患者规范管理率</w:t>
            </w:r>
            <w:r>
              <w:rPr>
                <w:rFonts w:ascii="Times New Roman" w:eastAsia="方正仿宋_GBK" w:hAnsi="Times New Roman" w:cs="Times New Roman"/>
                <w:b w:val="0"/>
                <w:bCs w:val="0"/>
                <w:sz w:val="24"/>
              </w:rPr>
              <w:t>≥80%</w:t>
            </w:r>
            <w:r>
              <w:rPr>
                <w:rFonts w:ascii="Times New Roman" w:eastAsia="方正仿宋_GBK" w:hAnsi="Times New Roman" w:cs="Times New Roman"/>
                <w:b w:val="0"/>
                <w:bCs w:val="0"/>
                <w:sz w:val="24"/>
              </w:rPr>
              <w:t>，精神分裂症治疗率</w:t>
            </w:r>
            <w:r>
              <w:rPr>
                <w:rFonts w:ascii="方正仿宋_GBK" w:eastAsia="方正仿宋_GBK" w:hAnsi="方正仿宋_GBK" w:cs="方正仿宋_GBK" w:hint="eastAsia"/>
                <w:b w:val="0"/>
                <w:bCs w:val="0"/>
                <w:sz w:val="24"/>
              </w:rPr>
              <w:t>≥</w:t>
            </w:r>
            <w:r>
              <w:rPr>
                <w:rFonts w:ascii="Times New Roman" w:eastAsia="方正仿宋_GBK" w:hAnsi="Times New Roman" w:cs="Times New Roman"/>
                <w:b w:val="0"/>
                <w:bCs w:val="0"/>
                <w:sz w:val="24"/>
              </w:rPr>
              <w:t>80%</w:t>
            </w:r>
            <w:r>
              <w:rPr>
                <w:rFonts w:ascii="Times New Roman" w:eastAsia="方正仿宋_GBK" w:hAnsi="Times New Roman" w:cs="Times New Roman"/>
                <w:b w:val="0"/>
                <w:bCs w:val="0"/>
                <w:sz w:val="24"/>
              </w:rPr>
              <w:t>，防范严重精神障碍患者肇事肇祸事件出现。</w:t>
            </w:r>
          </w:p>
        </w:tc>
        <w:tc>
          <w:tcPr>
            <w:tcW w:w="1695" w:type="dxa"/>
            <w:vAlign w:val="center"/>
          </w:tcPr>
          <w:p w14:paraId="6683B64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362B3082" w14:textId="77777777">
        <w:trPr>
          <w:trHeight w:val="781"/>
        </w:trPr>
        <w:tc>
          <w:tcPr>
            <w:tcW w:w="711" w:type="dxa"/>
            <w:vMerge/>
            <w:vAlign w:val="center"/>
          </w:tcPr>
          <w:p w14:paraId="733750B4"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2C1FFAD5"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61E69784"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区级应急隔离救治中心建设</w:t>
            </w:r>
          </w:p>
        </w:tc>
        <w:tc>
          <w:tcPr>
            <w:tcW w:w="7665" w:type="dxa"/>
            <w:vAlign w:val="center"/>
          </w:tcPr>
          <w:p w14:paraId="664F907F"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以菜园坝社区卫生服务中的住院部建设为依托，打造可平战转换应急隔离救治中心，满足重大传染病疫情等突发公共卫生事件隔离救治需求。</w:t>
            </w:r>
          </w:p>
        </w:tc>
        <w:tc>
          <w:tcPr>
            <w:tcW w:w="1695" w:type="dxa"/>
            <w:vAlign w:val="center"/>
          </w:tcPr>
          <w:p w14:paraId="15674768"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449D06D0" w14:textId="77777777">
        <w:trPr>
          <w:trHeight w:val="1482"/>
        </w:trPr>
        <w:tc>
          <w:tcPr>
            <w:tcW w:w="711" w:type="dxa"/>
            <w:vMerge/>
            <w:vAlign w:val="center"/>
          </w:tcPr>
          <w:p w14:paraId="31F0A8E5"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788C1F79"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2A04D55"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社会心理服务体系建设</w:t>
            </w:r>
          </w:p>
        </w:tc>
        <w:tc>
          <w:tcPr>
            <w:tcW w:w="7665" w:type="dxa"/>
            <w:vAlign w:val="center"/>
          </w:tcPr>
          <w:p w14:paraId="4AC390C4"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继续推进社会心理服务体系建设，发挥专业心理健康服务机构的作用，充分利用各种宣传途径传播心理健康知识，完善心理健康服务平台，使居民心理健康素养水平达到</w:t>
            </w:r>
            <w:r>
              <w:rPr>
                <w:rFonts w:ascii="Times New Roman" w:eastAsia="方正仿宋_GBK" w:hAnsi="Times New Roman" w:cs="Times New Roman"/>
                <w:b w:val="0"/>
                <w:bCs w:val="0"/>
                <w:sz w:val="24"/>
              </w:rPr>
              <w:t>20%</w:t>
            </w:r>
            <w:r>
              <w:rPr>
                <w:rFonts w:ascii="Times New Roman" w:eastAsia="方正仿宋_GBK" w:hAnsi="Times New Roman" w:cs="Times New Roman"/>
                <w:b w:val="0"/>
                <w:bCs w:val="0"/>
                <w:sz w:val="24"/>
              </w:rPr>
              <w:t>，失眠率、焦虑障碍、抑郁症患病率上升趋势减缓。</w:t>
            </w:r>
          </w:p>
        </w:tc>
        <w:tc>
          <w:tcPr>
            <w:tcW w:w="1695" w:type="dxa"/>
            <w:vAlign w:val="center"/>
          </w:tcPr>
          <w:p w14:paraId="4B9595B4"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0857F851" w14:textId="77777777">
        <w:trPr>
          <w:trHeight w:val="826"/>
        </w:trPr>
        <w:tc>
          <w:tcPr>
            <w:tcW w:w="711" w:type="dxa"/>
            <w:vMerge/>
            <w:vAlign w:val="center"/>
          </w:tcPr>
          <w:p w14:paraId="571B2D08"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489B7315"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0E9ACB0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公共卫生机构等级评审</w:t>
            </w:r>
          </w:p>
        </w:tc>
        <w:tc>
          <w:tcPr>
            <w:tcW w:w="7665" w:type="dxa"/>
            <w:vAlign w:val="center"/>
          </w:tcPr>
          <w:p w14:paraId="636C1360"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强化区疾病预防控制中心规范管理，提高疾病预防控制机构服务质量和水平，拟完成创建三级甲等疾控中心。</w:t>
            </w:r>
          </w:p>
        </w:tc>
        <w:tc>
          <w:tcPr>
            <w:tcW w:w="1695" w:type="dxa"/>
            <w:vAlign w:val="center"/>
          </w:tcPr>
          <w:p w14:paraId="4430346C"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5A103645" w14:textId="77777777">
        <w:trPr>
          <w:trHeight w:val="882"/>
        </w:trPr>
        <w:tc>
          <w:tcPr>
            <w:tcW w:w="711" w:type="dxa"/>
            <w:vMerge/>
            <w:vAlign w:val="center"/>
          </w:tcPr>
          <w:p w14:paraId="31DDF02D"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2A53C365"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6A7BB362"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艾滋病线上平台建设</w:t>
            </w:r>
          </w:p>
        </w:tc>
        <w:tc>
          <w:tcPr>
            <w:tcW w:w="7665" w:type="dxa"/>
            <w:vAlign w:val="center"/>
          </w:tcPr>
          <w:p w14:paraId="269DB190"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艾滋病患者全人群感染率接近</w:t>
            </w:r>
            <w:r>
              <w:rPr>
                <w:rFonts w:ascii="Times New Roman" w:eastAsia="方正仿宋_GBK" w:hAnsi="Times New Roman" w:cs="Times New Roman"/>
                <w:b w:val="0"/>
                <w:bCs w:val="0"/>
                <w:sz w:val="24"/>
              </w:rPr>
              <w:t>0.2%</w:t>
            </w:r>
            <w:r>
              <w:rPr>
                <w:rFonts w:ascii="Times New Roman" w:eastAsia="方正仿宋_GBK" w:hAnsi="Times New Roman" w:cs="Times New Roman"/>
                <w:b w:val="0"/>
                <w:bCs w:val="0"/>
                <w:sz w:val="24"/>
              </w:rPr>
              <w:t>，性传播成为艾滋病的主要传播途径，疫情逐步由易感染艾滋病危险行为人群向一般人群传播，波及范围广，影响因素复杂，干预难度大；在</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健康渝中</w:t>
            </w:r>
            <w:r>
              <w:rPr>
                <w:rFonts w:ascii="Times New Roman" w:eastAsia="方正仿宋_GBK" w:hAnsi="Times New Roman" w:cs="Times New Roman"/>
                <w:b w:val="0"/>
                <w:bCs w:val="0"/>
                <w:sz w:val="24"/>
              </w:rPr>
              <w:t>”APP</w:t>
            </w:r>
            <w:r>
              <w:rPr>
                <w:rFonts w:ascii="Times New Roman" w:eastAsia="方正仿宋_GBK" w:hAnsi="Times New Roman" w:cs="Times New Roman"/>
                <w:b w:val="0"/>
                <w:bCs w:val="0"/>
                <w:sz w:val="24"/>
              </w:rPr>
              <w:t>里搭建艾滋病服务平台，为群众提供在线预约、咨询等更加便捷的服务，更有利于艾滋病防控。</w:t>
            </w:r>
          </w:p>
        </w:tc>
        <w:tc>
          <w:tcPr>
            <w:tcW w:w="1695" w:type="dxa"/>
            <w:vAlign w:val="center"/>
          </w:tcPr>
          <w:p w14:paraId="0AB19790"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1FAFB622" w14:textId="77777777">
        <w:trPr>
          <w:trHeight w:val="629"/>
        </w:trPr>
        <w:tc>
          <w:tcPr>
            <w:tcW w:w="711" w:type="dxa"/>
            <w:vMerge w:val="restart"/>
            <w:vAlign w:val="center"/>
          </w:tcPr>
          <w:p w14:paraId="3AFECF6E" w14:textId="77777777" w:rsidR="002D0D6D" w:rsidRDefault="00000000">
            <w:pPr>
              <w:widowControl/>
              <w:spacing w:line="0" w:lineRule="atLeast"/>
              <w:jc w:val="center"/>
              <w:textAlignment w:val="center"/>
              <w:rPr>
                <w:rFonts w:ascii="Times New Roman" w:eastAsia="方正仿宋_GBK" w:hAnsi="Times New Roman" w:cs="Times New Roman"/>
                <w:sz w:val="22"/>
              </w:rPr>
            </w:pPr>
            <w:r>
              <w:rPr>
                <w:rFonts w:ascii="Times New Roman" w:eastAsia="方正仿宋_GBK" w:hAnsi="Times New Roman" w:cs="Times New Roman"/>
                <w:sz w:val="22"/>
              </w:rPr>
              <w:t>二</w:t>
            </w:r>
          </w:p>
        </w:tc>
        <w:tc>
          <w:tcPr>
            <w:tcW w:w="2255" w:type="dxa"/>
            <w:vMerge w:val="restart"/>
            <w:vAlign w:val="center"/>
          </w:tcPr>
          <w:p w14:paraId="5C688B0C"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医疗服务提质工程</w:t>
            </w:r>
          </w:p>
        </w:tc>
        <w:tc>
          <w:tcPr>
            <w:tcW w:w="1754" w:type="dxa"/>
            <w:vAlign w:val="center"/>
          </w:tcPr>
          <w:p w14:paraId="31AB2E44"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持续提升医疗服务质量安全</w:t>
            </w:r>
          </w:p>
        </w:tc>
        <w:tc>
          <w:tcPr>
            <w:tcW w:w="7665" w:type="dxa"/>
            <w:vAlign w:val="center"/>
          </w:tcPr>
          <w:p w14:paraId="0F1AB78E" w14:textId="77777777" w:rsidR="002D0D6D" w:rsidRDefault="00000000">
            <w:pPr>
              <w:spacing w:line="340" w:lineRule="exact"/>
              <w:rPr>
                <w:rFonts w:ascii="Times New Roman" w:eastAsia="方正仿宋_GBK" w:hAnsi="Times New Roman" w:cs="Times New Roman"/>
                <w:sz w:val="24"/>
              </w:rPr>
            </w:pPr>
            <w:r>
              <w:rPr>
                <w:rFonts w:ascii="Times New Roman" w:eastAsia="方正仿宋_GBK" w:hAnsi="Times New Roman" w:cs="Times New Roman"/>
                <w:sz w:val="24"/>
              </w:rPr>
              <w:t>健全医疗质量管理与控制体系，强化医疗质量管理核心制度落实，完善中医康复、预防医学等区级医疗质量控制中心及专家委员会，充分发挥</w:t>
            </w:r>
            <w:r>
              <w:rPr>
                <w:rFonts w:ascii="Times New Roman" w:eastAsia="方正仿宋_GBK" w:hAnsi="Times New Roman" w:cs="Times New Roman"/>
                <w:spacing w:val="-9"/>
                <w:sz w:val="24"/>
              </w:rPr>
              <w:t>专家委员引领作用，组织开展医疗质量督导检查、管理培训等各项工作。</w:t>
            </w:r>
          </w:p>
        </w:tc>
        <w:tc>
          <w:tcPr>
            <w:tcW w:w="1695" w:type="dxa"/>
            <w:vAlign w:val="center"/>
          </w:tcPr>
          <w:p w14:paraId="0F0075B1"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36A74009" w14:textId="77777777">
        <w:trPr>
          <w:trHeight w:val="839"/>
        </w:trPr>
        <w:tc>
          <w:tcPr>
            <w:tcW w:w="711" w:type="dxa"/>
            <w:vMerge/>
            <w:vAlign w:val="center"/>
          </w:tcPr>
          <w:p w14:paraId="32EAFDFC"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7C1E78E5"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810ECE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完善医疗纠纷调处化解机制</w:t>
            </w:r>
          </w:p>
        </w:tc>
        <w:tc>
          <w:tcPr>
            <w:tcW w:w="7665" w:type="dxa"/>
            <w:vAlign w:val="center"/>
          </w:tcPr>
          <w:p w14:paraId="7C5DB36E" w14:textId="77777777" w:rsidR="002D0D6D" w:rsidRDefault="00000000">
            <w:pPr>
              <w:spacing w:line="340" w:lineRule="exact"/>
              <w:rPr>
                <w:rFonts w:ascii="Times New Roman" w:eastAsia="方正仿宋_GBK" w:hAnsi="Times New Roman" w:cs="Times New Roman"/>
                <w:sz w:val="24"/>
              </w:rPr>
            </w:pPr>
            <w:r>
              <w:rPr>
                <w:rFonts w:ascii="Times New Roman" w:eastAsia="方正仿宋_GBK" w:hAnsi="Times New Roman" w:cs="Times New Roman"/>
                <w:sz w:val="24"/>
              </w:rPr>
              <w:t>持续</w:t>
            </w:r>
            <w:r>
              <w:rPr>
                <w:rFonts w:ascii="Times New Roman" w:eastAsia="方正仿宋_GBK" w:hAnsi="Times New Roman" w:cs="Times New Roman"/>
                <w:sz w:val="24"/>
              </w:rPr>
              <w:t>“</w:t>
            </w:r>
            <w:r>
              <w:rPr>
                <w:rFonts w:ascii="Times New Roman" w:eastAsia="方正仿宋_GBK" w:hAnsi="Times New Roman" w:cs="Times New Roman"/>
                <w:sz w:val="24"/>
              </w:rPr>
              <w:t>调解</w:t>
            </w:r>
            <w:r>
              <w:rPr>
                <w:rFonts w:ascii="Times New Roman" w:eastAsia="方正仿宋_GBK" w:hAnsi="Times New Roman" w:cs="Times New Roman"/>
                <w:sz w:val="24"/>
              </w:rPr>
              <w:t>+</w:t>
            </w:r>
            <w:r>
              <w:rPr>
                <w:rFonts w:ascii="Times New Roman" w:eastAsia="方正仿宋_GBK" w:hAnsi="Times New Roman" w:cs="Times New Roman"/>
                <w:sz w:val="24"/>
              </w:rPr>
              <w:t>保险</w:t>
            </w:r>
            <w:r>
              <w:rPr>
                <w:rFonts w:ascii="Times New Roman" w:eastAsia="方正仿宋_GBK" w:hAnsi="Times New Roman" w:cs="Times New Roman"/>
                <w:sz w:val="24"/>
              </w:rPr>
              <w:t>”</w:t>
            </w:r>
            <w:r>
              <w:rPr>
                <w:rFonts w:ascii="Times New Roman" w:eastAsia="方正仿宋_GBK" w:hAnsi="Times New Roman" w:cs="Times New Roman"/>
                <w:sz w:val="24"/>
              </w:rPr>
              <w:t>处置体系，多元化解医患矛盾。将医院内部调解、人民调解、行政调解、司法调解和医疗责任保险有机结合、相互衔接，发挥</w:t>
            </w:r>
            <w:r>
              <w:rPr>
                <w:rFonts w:ascii="Times New Roman" w:eastAsia="方正仿宋_GBK" w:hAnsi="Times New Roman" w:cs="Times New Roman"/>
                <w:sz w:val="24"/>
              </w:rPr>
              <w:t>“</w:t>
            </w:r>
            <w:r>
              <w:rPr>
                <w:rFonts w:ascii="Times New Roman" w:eastAsia="方正仿宋_GBK" w:hAnsi="Times New Roman" w:cs="Times New Roman"/>
                <w:sz w:val="24"/>
              </w:rPr>
              <w:t>调解</w:t>
            </w:r>
            <w:r>
              <w:rPr>
                <w:rFonts w:ascii="Times New Roman" w:eastAsia="方正仿宋_GBK" w:hAnsi="Times New Roman" w:cs="Times New Roman"/>
                <w:sz w:val="24"/>
              </w:rPr>
              <w:t>+</w:t>
            </w:r>
            <w:r>
              <w:rPr>
                <w:rFonts w:ascii="Times New Roman" w:eastAsia="方正仿宋_GBK" w:hAnsi="Times New Roman" w:cs="Times New Roman"/>
                <w:sz w:val="24"/>
              </w:rPr>
              <w:t>保险</w:t>
            </w:r>
            <w:r>
              <w:rPr>
                <w:rFonts w:ascii="Times New Roman" w:eastAsia="方正仿宋_GBK" w:hAnsi="Times New Roman" w:cs="Times New Roman"/>
                <w:sz w:val="24"/>
              </w:rPr>
              <w:t>”</w:t>
            </w:r>
            <w:r>
              <w:rPr>
                <w:rFonts w:ascii="Times New Roman" w:eastAsia="方正仿宋_GBK" w:hAnsi="Times New Roman" w:cs="Times New Roman"/>
                <w:sz w:val="24"/>
              </w:rPr>
              <w:t>制度优势。</w:t>
            </w:r>
          </w:p>
        </w:tc>
        <w:tc>
          <w:tcPr>
            <w:tcW w:w="1695" w:type="dxa"/>
            <w:vAlign w:val="center"/>
          </w:tcPr>
          <w:p w14:paraId="31B98EC7"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6549193D" w14:textId="77777777">
        <w:trPr>
          <w:trHeight w:val="732"/>
        </w:trPr>
        <w:tc>
          <w:tcPr>
            <w:tcW w:w="711" w:type="dxa"/>
            <w:vMerge/>
            <w:vAlign w:val="center"/>
          </w:tcPr>
          <w:p w14:paraId="495067A5"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2CA4FEA2"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50C95096"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提升重庆牙科医院服务能力</w:t>
            </w:r>
          </w:p>
        </w:tc>
        <w:tc>
          <w:tcPr>
            <w:tcW w:w="7665" w:type="dxa"/>
            <w:vAlign w:val="center"/>
          </w:tcPr>
          <w:p w14:paraId="56256C1F" w14:textId="77777777" w:rsidR="002D0D6D" w:rsidRDefault="00000000">
            <w:pPr>
              <w:spacing w:line="340" w:lineRule="exact"/>
              <w:rPr>
                <w:rFonts w:ascii="Times New Roman" w:eastAsia="方正仿宋_GBK" w:hAnsi="Times New Roman" w:cs="Times New Roman"/>
                <w:sz w:val="24"/>
              </w:rPr>
            </w:pPr>
            <w:r>
              <w:rPr>
                <w:rFonts w:ascii="Times New Roman" w:eastAsia="方正仿宋_GBK" w:hAnsi="Times New Roman" w:cs="Times New Roman"/>
                <w:sz w:val="24"/>
              </w:rPr>
              <w:t>对重庆牙科医院进行改造装修和设备配置，与北京中日友好医院开展医联体建设，在重庆设置联合口腔门诊部，引进部级优势医疗资源服务重庆口腔疾病患者。拓展放射、麻醉等专业能力，在解放碑增设一个数字化舒适无痛口腔诊疗中心。</w:t>
            </w:r>
          </w:p>
        </w:tc>
        <w:tc>
          <w:tcPr>
            <w:tcW w:w="1695" w:type="dxa"/>
            <w:vAlign w:val="center"/>
          </w:tcPr>
          <w:p w14:paraId="74B1D519"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02E733C4" w14:textId="77777777">
        <w:trPr>
          <w:trHeight w:val="283"/>
        </w:trPr>
        <w:tc>
          <w:tcPr>
            <w:tcW w:w="711" w:type="dxa"/>
            <w:vMerge w:val="restart"/>
            <w:vAlign w:val="center"/>
          </w:tcPr>
          <w:p w14:paraId="405A2E6C" w14:textId="77777777" w:rsidR="002D0D6D" w:rsidRDefault="00000000">
            <w:pPr>
              <w:widowControl/>
              <w:spacing w:line="0" w:lineRule="atLeast"/>
              <w:jc w:val="center"/>
              <w:textAlignment w:val="center"/>
              <w:rPr>
                <w:rFonts w:ascii="Times New Roman" w:eastAsia="方正仿宋_GBK" w:hAnsi="Times New Roman" w:cs="Times New Roman"/>
                <w:sz w:val="22"/>
              </w:rPr>
            </w:pPr>
            <w:r>
              <w:rPr>
                <w:rFonts w:ascii="Times New Roman" w:eastAsia="方正仿宋_GBK" w:hAnsi="Times New Roman" w:cs="Times New Roman"/>
                <w:sz w:val="22"/>
              </w:rPr>
              <w:t>三</w:t>
            </w:r>
          </w:p>
        </w:tc>
        <w:tc>
          <w:tcPr>
            <w:tcW w:w="2255" w:type="dxa"/>
            <w:vMerge w:val="restart"/>
            <w:vAlign w:val="center"/>
          </w:tcPr>
          <w:p w14:paraId="5EB3C95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社区卫生筑基工程</w:t>
            </w:r>
          </w:p>
        </w:tc>
        <w:tc>
          <w:tcPr>
            <w:tcW w:w="1754" w:type="dxa"/>
            <w:vAlign w:val="center"/>
          </w:tcPr>
          <w:p w14:paraId="323FDBDC"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社区卫生服务中心装修改造</w:t>
            </w:r>
          </w:p>
        </w:tc>
        <w:tc>
          <w:tcPr>
            <w:tcW w:w="7665" w:type="dxa"/>
            <w:vAlign w:val="center"/>
          </w:tcPr>
          <w:p w14:paraId="56E244D0"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对大溪沟、解放碑、南纪门、朝天门、菜园坝</w:t>
            </w:r>
            <w:r>
              <w:rPr>
                <w:rFonts w:ascii="Times New Roman" w:eastAsia="方正仿宋_GBK" w:hAnsi="Times New Roman" w:cs="Times New Roman"/>
                <w:b w:val="0"/>
                <w:bCs w:val="0"/>
                <w:sz w:val="24"/>
              </w:rPr>
              <w:t>5</w:t>
            </w:r>
            <w:r>
              <w:rPr>
                <w:rFonts w:ascii="Times New Roman" w:eastAsia="方正仿宋_GBK" w:hAnsi="Times New Roman" w:cs="Times New Roman"/>
                <w:b w:val="0"/>
                <w:bCs w:val="0"/>
                <w:sz w:val="24"/>
              </w:rPr>
              <w:t>家社区卫生服务中心</w:t>
            </w:r>
            <w:r>
              <w:rPr>
                <w:rFonts w:ascii="Times New Roman" w:eastAsia="方正仿宋_GBK" w:hAnsi="Times New Roman" w:cs="Times New Roman"/>
                <w:b w:val="0"/>
                <w:bCs w:val="0"/>
                <w:sz w:val="24"/>
              </w:rPr>
              <w:t>10000</w:t>
            </w:r>
            <w:r>
              <w:rPr>
                <w:rFonts w:ascii="Times New Roman" w:eastAsia="方正仿宋_GBK" w:hAnsi="Times New Roman" w:cs="Times New Roman"/>
                <w:b w:val="0"/>
                <w:bCs w:val="0"/>
                <w:sz w:val="24"/>
              </w:rPr>
              <w:t>㎡业务用房进行装修改造，进一步改善就医环境，完善业务功能，提升居民就医体验。将大坪、上清寺</w:t>
            </w:r>
            <w:r>
              <w:rPr>
                <w:rFonts w:ascii="Times New Roman" w:eastAsia="方正仿宋_GBK" w:hAnsi="Times New Roman" w:cs="Times New Roman"/>
                <w:b w:val="0"/>
                <w:bCs w:val="0"/>
                <w:sz w:val="24"/>
              </w:rPr>
              <w:t>2</w:t>
            </w:r>
            <w:r>
              <w:rPr>
                <w:rFonts w:ascii="Times New Roman" w:eastAsia="方正仿宋_GBK" w:hAnsi="Times New Roman" w:cs="Times New Roman"/>
                <w:b w:val="0"/>
                <w:bCs w:val="0"/>
                <w:sz w:val="24"/>
              </w:rPr>
              <w:t>家社区卫生服务中心扩建升级成为社区医院。</w:t>
            </w:r>
          </w:p>
        </w:tc>
        <w:tc>
          <w:tcPr>
            <w:tcW w:w="1695" w:type="dxa"/>
            <w:vAlign w:val="center"/>
          </w:tcPr>
          <w:p w14:paraId="4176BAC0"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4D4ED2FF" w14:textId="77777777">
        <w:trPr>
          <w:trHeight w:val="283"/>
        </w:trPr>
        <w:tc>
          <w:tcPr>
            <w:tcW w:w="711" w:type="dxa"/>
            <w:vMerge/>
            <w:vAlign w:val="center"/>
          </w:tcPr>
          <w:p w14:paraId="7AB99BC6"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3D99F644"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56895882"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社区卫生服务中心设备配置</w:t>
            </w:r>
          </w:p>
        </w:tc>
        <w:tc>
          <w:tcPr>
            <w:tcW w:w="7665" w:type="dxa"/>
            <w:vAlign w:val="center"/>
          </w:tcPr>
          <w:p w14:paraId="6E1549D7"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根据填平补齐、着眼长远和便民利民原则，结合专科建设和现有诊疗科目，按照《社区卫生服务中心服务能力标准》，为各社区卫生服务中心配齐与社区卫生发展相适应、与科室设置相匹配的相关设施设配，配备包括彩超、全自动生化分析仪、</w:t>
            </w:r>
            <w:r>
              <w:rPr>
                <w:rFonts w:ascii="Times New Roman" w:eastAsia="方正仿宋_GBK" w:hAnsi="Times New Roman" w:cs="Times New Roman"/>
                <w:b w:val="0"/>
                <w:bCs w:val="0"/>
                <w:sz w:val="24"/>
              </w:rPr>
              <w:t>DR</w:t>
            </w:r>
            <w:r>
              <w:rPr>
                <w:rFonts w:ascii="Times New Roman" w:eastAsia="方正仿宋_GBK" w:hAnsi="Times New Roman" w:cs="Times New Roman"/>
                <w:b w:val="0"/>
                <w:bCs w:val="0"/>
                <w:sz w:val="24"/>
              </w:rPr>
              <w:t>等常用设备。</w:t>
            </w:r>
          </w:p>
        </w:tc>
        <w:tc>
          <w:tcPr>
            <w:tcW w:w="1695" w:type="dxa"/>
            <w:vAlign w:val="center"/>
          </w:tcPr>
          <w:p w14:paraId="41BEBC69"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5FDC9AD5" w14:textId="77777777">
        <w:trPr>
          <w:trHeight w:val="283"/>
        </w:trPr>
        <w:tc>
          <w:tcPr>
            <w:tcW w:w="711" w:type="dxa"/>
            <w:vMerge/>
            <w:vAlign w:val="center"/>
          </w:tcPr>
          <w:p w14:paraId="64016C15" w14:textId="77777777" w:rsidR="002D0D6D" w:rsidRDefault="002D0D6D">
            <w:pPr>
              <w:widowControl/>
              <w:spacing w:line="0" w:lineRule="atLeast"/>
              <w:jc w:val="center"/>
              <w:textAlignment w:val="center"/>
              <w:rPr>
                <w:rFonts w:ascii="Times New Roman" w:eastAsia="方正仿宋_GBK" w:hAnsi="Times New Roman" w:cs="Times New Roman"/>
                <w:sz w:val="22"/>
              </w:rPr>
            </w:pPr>
          </w:p>
        </w:tc>
        <w:tc>
          <w:tcPr>
            <w:tcW w:w="2255" w:type="dxa"/>
            <w:vMerge/>
            <w:vAlign w:val="center"/>
          </w:tcPr>
          <w:p w14:paraId="259C4D9A"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7859DCF7"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优质服务基层行</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活动</w:t>
            </w:r>
          </w:p>
        </w:tc>
        <w:tc>
          <w:tcPr>
            <w:tcW w:w="7665" w:type="dxa"/>
            <w:vAlign w:val="center"/>
          </w:tcPr>
          <w:p w14:paraId="2A7EEFA2"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持续开展社区卫生服务中心等级评审，完善中心功能任务和资源配置，提升基本医疗和公共卫生服务能力，力争</w:t>
            </w:r>
            <w:r>
              <w:rPr>
                <w:rFonts w:ascii="Times New Roman" w:eastAsia="方正仿宋_GBK" w:hAnsi="Times New Roman" w:cs="Times New Roman"/>
                <w:b w:val="0"/>
                <w:bCs w:val="0"/>
                <w:sz w:val="24"/>
              </w:rPr>
              <w:t>5</w:t>
            </w:r>
            <w:r>
              <w:rPr>
                <w:rFonts w:ascii="Times New Roman" w:eastAsia="方正仿宋_GBK" w:hAnsi="Times New Roman" w:cs="Times New Roman"/>
                <w:b w:val="0"/>
                <w:bCs w:val="0"/>
                <w:sz w:val="24"/>
              </w:rPr>
              <w:t>年内有</w:t>
            </w:r>
            <w:r>
              <w:rPr>
                <w:rFonts w:ascii="Times New Roman" w:eastAsia="方正仿宋_GBK" w:hAnsi="Times New Roman" w:cs="Times New Roman"/>
                <w:b w:val="0"/>
                <w:bCs w:val="0"/>
                <w:sz w:val="24"/>
              </w:rPr>
              <w:t>20%</w:t>
            </w:r>
            <w:r>
              <w:rPr>
                <w:rFonts w:ascii="Times New Roman" w:eastAsia="方正仿宋_GBK" w:hAnsi="Times New Roman" w:cs="Times New Roman"/>
                <w:b w:val="0"/>
                <w:bCs w:val="0"/>
                <w:sz w:val="24"/>
              </w:rPr>
              <w:t>的社区卫生服务中心服务能力达到国家推荐标准。</w:t>
            </w:r>
          </w:p>
        </w:tc>
        <w:tc>
          <w:tcPr>
            <w:tcW w:w="1695" w:type="dxa"/>
            <w:vAlign w:val="center"/>
          </w:tcPr>
          <w:p w14:paraId="62BBF61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0704678B" w14:textId="77777777">
        <w:trPr>
          <w:trHeight w:val="451"/>
        </w:trPr>
        <w:tc>
          <w:tcPr>
            <w:tcW w:w="711" w:type="dxa"/>
            <w:vMerge/>
            <w:vAlign w:val="center"/>
          </w:tcPr>
          <w:p w14:paraId="2D2CCC59"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2AA84C8C"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158D6503"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国家基本公共卫生服务项目实施</w:t>
            </w:r>
          </w:p>
        </w:tc>
        <w:tc>
          <w:tcPr>
            <w:tcW w:w="7665" w:type="dxa"/>
            <w:vAlign w:val="center"/>
          </w:tcPr>
          <w:p w14:paraId="6C68E8DF"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持续开展国家基本公共卫生服务项目，以儿童、孕产妇、老年人、慢性疾病患者为重点人群，面向全体居民免费提供最基本的公共卫生服务，逐步提升基本公共卫生服务均等化水平。</w:t>
            </w:r>
          </w:p>
        </w:tc>
        <w:tc>
          <w:tcPr>
            <w:tcW w:w="1695" w:type="dxa"/>
            <w:vAlign w:val="center"/>
          </w:tcPr>
          <w:p w14:paraId="0FBAA97A"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092DCA12" w14:textId="77777777">
        <w:trPr>
          <w:trHeight w:val="927"/>
        </w:trPr>
        <w:tc>
          <w:tcPr>
            <w:tcW w:w="711" w:type="dxa"/>
            <w:vMerge/>
            <w:vAlign w:val="center"/>
          </w:tcPr>
          <w:p w14:paraId="4F04F824"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0CB06335"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65DAB1D5"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家庭医生签约服务</w:t>
            </w:r>
          </w:p>
        </w:tc>
        <w:tc>
          <w:tcPr>
            <w:tcW w:w="7665" w:type="dxa"/>
            <w:vAlign w:val="center"/>
          </w:tcPr>
          <w:p w14:paraId="11E52075"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持续开展家庭医生签约服务，按照《重庆市精品家庭医生团队建设参考标准》，制定差异化、菜单式服务包，加快推进个性化有偿签约服务，为居民提供预约式、互动式、跟踪式、关怀式、监测式服务。到</w:t>
            </w:r>
            <w:r>
              <w:rPr>
                <w:rFonts w:ascii="Times New Roman" w:eastAsia="方正仿宋_GBK" w:hAnsi="Times New Roman" w:cs="Times New Roman"/>
                <w:b w:val="0"/>
                <w:bCs w:val="0"/>
                <w:sz w:val="24"/>
              </w:rPr>
              <w:t>2025</w:t>
            </w:r>
            <w:r>
              <w:rPr>
                <w:rFonts w:ascii="Times New Roman" w:eastAsia="方正仿宋_GBK" w:hAnsi="Times New Roman" w:cs="Times New Roman"/>
                <w:b w:val="0"/>
                <w:bCs w:val="0"/>
                <w:sz w:val="24"/>
              </w:rPr>
              <w:t>年底，全区建成</w:t>
            </w:r>
            <w:r>
              <w:rPr>
                <w:rFonts w:ascii="Times New Roman" w:eastAsia="方正仿宋_GBK" w:hAnsi="Times New Roman" w:cs="Times New Roman"/>
                <w:b w:val="0"/>
                <w:bCs w:val="0"/>
                <w:sz w:val="24"/>
              </w:rPr>
              <w:t>55</w:t>
            </w:r>
            <w:r>
              <w:rPr>
                <w:rFonts w:ascii="Times New Roman" w:eastAsia="方正仿宋_GBK" w:hAnsi="Times New Roman" w:cs="Times New Roman"/>
                <w:b w:val="0"/>
                <w:bCs w:val="0"/>
                <w:sz w:val="24"/>
              </w:rPr>
              <w:t>个家庭医生团队。</w:t>
            </w:r>
          </w:p>
        </w:tc>
        <w:tc>
          <w:tcPr>
            <w:tcW w:w="1695" w:type="dxa"/>
            <w:vAlign w:val="center"/>
          </w:tcPr>
          <w:p w14:paraId="1E1AE772"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28E7E72E" w14:textId="77777777">
        <w:trPr>
          <w:trHeight w:val="844"/>
        </w:trPr>
        <w:tc>
          <w:tcPr>
            <w:tcW w:w="711" w:type="dxa"/>
            <w:vMerge w:val="restart"/>
            <w:vAlign w:val="center"/>
          </w:tcPr>
          <w:p w14:paraId="3CADDD38"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四</w:t>
            </w:r>
          </w:p>
        </w:tc>
        <w:tc>
          <w:tcPr>
            <w:tcW w:w="2255" w:type="dxa"/>
            <w:vMerge w:val="restart"/>
            <w:vAlign w:val="center"/>
          </w:tcPr>
          <w:p w14:paraId="750C8E8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中医特色打造工程</w:t>
            </w:r>
          </w:p>
        </w:tc>
        <w:tc>
          <w:tcPr>
            <w:tcW w:w="1754" w:type="dxa"/>
            <w:vAlign w:val="center"/>
          </w:tcPr>
          <w:p w14:paraId="7DC49B12"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pacing w:val="-23"/>
                <w:sz w:val="24"/>
              </w:rPr>
              <w:t>重庆市中医骨科医院提档升级</w:t>
            </w:r>
          </w:p>
        </w:tc>
        <w:tc>
          <w:tcPr>
            <w:tcW w:w="7665" w:type="dxa"/>
            <w:vAlign w:val="center"/>
          </w:tcPr>
          <w:p w14:paraId="7A7DED0F"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开展重庆市中医骨科医院三级甲等中医骨伤医院创建工作，完成化龙桥院区一期工程，启动化龙桥院区二期建设、较场口院区和储奇门院区改造，建设一批中医重点专科，打造西部一流特色中医骨科医院。</w:t>
            </w:r>
          </w:p>
        </w:tc>
        <w:tc>
          <w:tcPr>
            <w:tcW w:w="1695" w:type="dxa"/>
            <w:vAlign w:val="center"/>
          </w:tcPr>
          <w:p w14:paraId="4BFC4B77"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67CCD9F1" w14:textId="77777777">
        <w:trPr>
          <w:trHeight w:val="451"/>
        </w:trPr>
        <w:tc>
          <w:tcPr>
            <w:tcW w:w="711" w:type="dxa"/>
            <w:vMerge/>
            <w:vAlign w:val="center"/>
          </w:tcPr>
          <w:p w14:paraId="639C861B"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06D1B512"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61C1F4C"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基层中医药服务能力提升</w:t>
            </w:r>
          </w:p>
        </w:tc>
        <w:tc>
          <w:tcPr>
            <w:tcW w:w="7665" w:type="dxa"/>
            <w:vAlign w:val="center"/>
          </w:tcPr>
          <w:p w14:paraId="6FE98371"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评选名老中医药专家传承工作室</w:t>
            </w:r>
            <w:r>
              <w:rPr>
                <w:rFonts w:ascii="Times New Roman" w:eastAsia="方正仿宋_GBK" w:hAnsi="Times New Roman" w:cs="Times New Roman"/>
                <w:b w:val="0"/>
                <w:bCs w:val="0"/>
                <w:sz w:val="24"/>
              </w:rPr>
              <w:t>20</w:t>
            </w:r>
            <w:r>
              <w:rPr>
                <w:rFonts w:ascii="Times New Roman" w:eastAsia="方正仿宋_GBK" w:hAnsi="Times New Roman" w:cs="Times New Roman"/>
                <w:b w:val="0"/>
                <w:bCs w:val="0"/>
                <w:sz w:val="24"/>
              </w:rPr>
              <w:t>个，区级名中医</w:t>
            </w:r>
            <w:r>
              <w:rPr>
                <w:rFonts w:ascii="Times New Roman" w:eastAsia="方正仿宋_GBK" w:hAnsi="Times New Roman" w:cs="Times New Roman"/>
                <w:b w:val="0"/>
                <w:bCs w:val="0"/>
                <w:sz w:val="24"/>
              </w:rPr>
              <w:t>6</w:t>
            </w:r>
            <w:r>
              <w:rPr>
                <w:rFonts w:ascii="Times New Roman" w:eastAsia="方正仿宋_GBK" w:hAnsi="Times New Roman" w:cs="Times New Roman"/>
                <w:b w:val="0"/>
                <w:bCs w:val="0"/>
                <w:sz w:val="24"/>
              </w:rPr>
              <w:t>个以上；开展基层医疗机构中医药适宜技术培训；每年开展</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中医中药中国行</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渝中活动，举办义诊、讲座等普及中医药健康知识。巩固</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全国基层中医药工作先进单位</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成果，</w:t>
            </w:r>
            <w:r>
              <w:rPr>
                <w:rFonts w:ascii="Times New Roman" w:eastAsia="方正仿宋_GBK" w:hAnsi="Times New Roman" w:cs="Times New Roman"/>
                <w:b w:val="0"/>
                <w:bCs w:val="0"/>
                <w:sz w:val="24"/>
              </w:rPr>
              <w:t>2022</w:t>
            </w:r>
            <w:r>
              <w:rPr>
                <w:rFonts w:ascii="Times New Roman" w:eastAsia="方正仿宋_GBK" w:hAnsi="Times New Roman" w:cs="Times New Roman"/>
                <w:b w:val="0"/>
                <w:bCs w:val="0"/>
                <w:sz w:val="24"/>
              </w:rPr>
              <w:t>年顺利通过复审。</w:t>
            </w:r>
          </w:p>
        </w:tc>
        <w:tc>
          <w:tcPr>
            <w:tcW w:w="1695" w:type="dxa"/>
            <w:vAlign w:val="center"/>
          </w:tcPr>
          <w:p w14:paraId="6C64884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76543FF3" w14:textId="77777777">
        <w:trPr>
          <w:trHeight w:val="883"/>
        </w:trPr>
        <w:tc>
          <w:tcPr>
            <w:tcW w:w="711" w:type="dxa"/>
            <w:vMerge w:val="restart"/>
            <w:vAlign w:val="center"/>
          </w:tcPr>
          <w:p w14:paraId="38D1DDC6"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五</w:t>
            </w:r>
          </w:p>
        </w:tc>
        <w:tc>
          <w:tcPr>
            <w:tcW w:w="2255" w:type="dxa"/>
            <w:vMerge w:val="restart"/>
            <w:vAlign w:val="center"/>
          </w:tcPr>
          <w:p w14:paraId="6635CBFF"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妇女儿童安康工程</w:t>
            </w:r>
          </w:p>
        </w:tc>
        <w:tc>
          <w:tcPr>
            <w:tcW w:w="1754" w:type="dxa"/>
            <w:vAlign w:val="center"/>
          </w:tcPr>
          <w:p w14:paraId="38DFD206"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pacing w:val="-23"/>
                <w:sz w:val="24"/>
              </w:rPr>
              <w:t>发展婴幼儿照护</w:t>
            </w:r>
          </w:p>
        </w:tc>
        <w:tc>
          <w:tcPr>
            <w:tcW w:w="7665" w:type="dxa"/>
            <w:vAlign w:val="center"/>
          </w:tcPr>
          <w:p w14:paraId="7D890897"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到</w:t>
            </w:r>
            <w:r>
              <w:rPr>
                <w:rFonts w:ascii="Times New Roman" w:eastAsia="方正仿宋_GBK" w:hAnsi="Times New Roman" w:cs="Times New Roman"/>
                <w:b w:val="0"/>
                <w:bCs w:val="0"/>
                <w:sz w:val="24"/>
              </w:rPr>
              <w:t>2025</w:t>
            </w:r>
            <w:r>
              <w:rPr>
                <w:rFonts w:ascii="Times New Roman" w:eastAsia="方正仿宋_GBK" w:hAnsi="Times New Roman" w:cs="Times New Roman"/>
                <w:b w:val="0"/>
                <w:bCs w:val="0"/>
                <w:sz w:val="24"/>
              </w:rPr>
              <w:t>年，社区卫生服务中心</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设立婴幼儿照护指导站，建成一批示范托育机构，以政策支持、示范带动发展多元化、多样化的</w:t>
            </w:r>
            <w:r>
              <w:rPr>
                <w:rFonts w:ascii="Times New Roman" w:eastAsia="方正仿宋_GBK" w:hAnsi="Times New Roman" w:cs="Times New Roman"/>
                <w:b w:val="0"/>
                <w:bCs w:val="0"/>
                <w:sz w:val="24"/>
              </w:rPr>
              <w:t>3</w:t>
            </w:r>
            <w:r>
              <w:rPr>
                <w:rFonts w:ascii="Times New Roman" w:eastAsia="方正仿宋_GBK" w:hAnsi="Times New Roman" w:cs="Times New Roman"/>
                <w:b w:val="0"/>
                <w:bCs w:val="0"/>
                <w:sz w:val="24"/>
              </w:rPr>
              <w:t>岁以下婴幼儿照护服务，婴幼儿照护服务水平明显提升，人民群众的婴幼儿照护服务需求得到进一步满足。</w:t>
            </w:r>
          </w:p>
        </w:tc>
        <w:tc>
          <w:tcPr>
            <w:tcW w:w="1695" w:type="dxa"/>
            <w:vAlign w:val="center"/>
          </w:tcPr>
          <w:p w14:paraId="0D1B95F3" w14:textId="77777777" w:rsidR="002D0D6D" w:rsidRDefault="00000000">
            <w:pPr>
              <w:spacing w:line="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2021-2025</w:t>
            </w:r>
            <w:r>
              <w:rPr>
                <w:rFonts w:ascii="Times New Roman" w:eastAsia="方正仿宋_GBK" w:hAnsi="Times New Roman" w:cs="Times New Roman"/>
                <w:sz w:val="24"/>
              </w:rPr>
              <w:t>年</w:t>
            </w:r>
          </w:p>
        </w:tc>
      </w:tr>
      <w:tr w:rsidR="002D0D6D" w14:paraId="2E6C5DF5" w14:textId="77777777">
        <w:trPr>
          <w:trHeight w:val="762"/>
        </w:trPr>
        <w:tc>
          <w:tcPr>
            <w:tcW w:w="711" w:type="dxa"/>
            <w:vMerge/>
            <w:vAlign w:val="center"/>
          </w:tcPr>
          <w:p w14:paraId="192641B8"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6BB3EDCF"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70B7005A"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推进生育全程服务</w:t>
            </w:r>
          </w:p>
        </w:tc>
        <w:tc>
          <w:tcPr>
            <w:tcW w:w="7665" w:type="dxa"/>
            <w:vAlign w:val="center"/>
          </w:tcPr>
          <w:p w14:paraId="37957B1A" w14:textId="77777777" w:rsidR="002D0D6D" w:rsidRDefault="00000000">
            <w:pPr>
              <w:pStyle w:val="af"/>
              <w:spacing w:before="0" w:after="0" w:line="32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加强婚前、孕前、孕产期、新生儿期和儿童期保健工作，实施妇女两癌筛查、新生儿疾病筛查等民生项目，加强危重孕产妇和新生儿救治保障体系建设，确保妇幼健康和母婴安全。</w:t>
            </w:r>
          </w:p>
        </w:tc>
        <w:tc>
          <w:tcPr>
            <w:tcW w:w="1695" w:type="dxa"/>
            <w:vAlign w:val="center"/>
          </w:tcPr>
          <w:p w14:paraId="7CA05867"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5D8D08BC" w14:textId="77777777">
        <w:trPr>
          <w:trHeight w:val="90"/>
        </w:trPr>
        <w:tc>
          <w:tcPr>
            <w:tcW w:w="711" w:type="dxa"/>
            <w:vMerge/>
            <w:vAlign w:val="center"/>
          </w:tcPr>
          <w:p w14:paraId="0E5D4145"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2A9DAF90"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7E64E354"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妇幼保健机构标准化建设</w:t>
            </w:r>
          </w:p>
        </w:tc>
        <w:tc>
          <w:tcPr>
            <w:tcW w:w="7665" w:type="dxa"/>
            <w:vAlign w:val="center"/>
          </w:tcPr>
          <w:p w14:paraId="7F71FA4F" w14:textId="77777777" w:rsidR="002D0D6D" w:rsidRDefault="00000000">
            <w:pPr>
              <w:spacing w:line="340" w:lineRule="exact"/>
              <w:rPr>
                <w:rFonts w:ascii="Times New Roman" w:eastAsia="方正仿宋_GBK" w:hAnsi="Times New Roman" w:cs="Times New Roman"/>
              </w:rPr>
            </w:pPr>
            <w:r>
              <w:rPr>
                <w:rFonts w:ascii="Times New Roman" w:eastAsia="方正仿宋_GBK" w:hAnsi="Times New Roman" w:cs="Times New Roman"/>
                <w:sz w:val="24"/>
              </w:rPr>
              <w:t>加强妇幼保健机构基础设施建设，实现社区卫生服务中心妇幼保健、儿</w:t>
            </w:r>
            <w:r>
              <w:rPr>
                <w:rFonts w:ascii="Times New Roman" w:eastAsia="方正仿宋_GBK" w:hAnsi="Times New Roman" w:cs="Times New Roman"/>
                <w:spacing w:val="-17"/>
                <w:sz w:val="24"/>
              </w:rPr>
              <w:t>童保健门诊全面规范化，拟选址迁建区妇保院，完成创建二级妇幼保健院。</w:t>
            </w:r>
            <w:r>
              <w:rPr>
                <w:rFonts w:ascii="Times New Roman" w:eastAsia="方正仿宋_GBK" w:hAnsi="Times New Roman" w:cs="Times New Roman"/>
                <w:spacing w:val="-17"/>
                <w:sz w:val="24"/>
              </w:rPr>
              <w:t xml:space="preserve"> </w:t>
            </w:r>
          </w:p>
        </w:tc>
        <w:tc>
          <w:tcPr>
            <w:tcW w:w="1695" w:type="dxa"/>
            <w:vAlign w:val="center"/>
          </w:tcPr>
          <w:p w14:paraId="529C9F03"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326BC788" w14:textId="77777777">
        <w:trPr>
          <w:trHeight w:val="334"/>
        </w:trPr>
        <w:tc>
          <w:tcPr>
            <w:tcW w:w="711" w:type="dxa"/>
            <w:vMerge w:val="restart"/>
            <w:vAlign w:val="center"/>
          </w:tcPr>
          <w:p w14:paraId="0694FB8D"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六</w:t>
            </w:r>
          </w:p>
        </w:tc>
        <w:tc>
          <w:tcPr>
            <w:tcW w:w="2255" w:type="dxa"/>
            <w:vMerge w:val="restart"/>
            <w:vAlign w:val="center"/>
          </w:tcPr>
          <w:p w14:paraId="1C830F3D"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健康养老服务工程</w:t>
            </w:r>
          </w:p>
        </w:tc>
        <w:tc>
          <w:tcPr>
            <w:tcW w:w="1754" w:type="dxa"/>
            <w:vAlign w:val="center"/>
          </w:tcPr>
          <w:p w14:paraId="6AEC67C8"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提升综合医院</w:t>
            </w:r>
            <w:r>
              <w:rPr>
                <w:rFonts w:ascii="Times New Roman" w:eastAsia="方正仿宋_GBK" w:hAnsi="Times New Roman" w:cs="Times New Roman"/>
                <w:b w:val="0"/>
                <w:bCs w:val="0"/>
                <w:sz w:val="24"/>
              </w:rPr>
              <w:lastRenderedPageBreak/>
              <w:t>养老能力</w:t>
            </w:r>
          </w:p>
        </w:tc>
        <w:tc>
          <w:tcPr>
            <w:tcW w:w="7665" w:type="dxa"/>
            <w:vAlign w:val="center"/>
          </w:tcPr>
          <w:p w14:paraId="0A564E95"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lastRenderedPageBreak/>
              <w:t>推进二级以上综合医院开设老年病科，三级以上中医院开设康复科</w:t>
            </w:r>
          </w:p>
        </w:tc>
        <w:tc>
          <w:tcPr>
            <w:tcW w:w="1695" w:type="dxa"/>
            <w:vAlign w:val="center"/>
          </w:tcPr>
          <w:p w14:paraId="2C116566" w14:textId="77777777" w:rsidR="002D0D6D" w:rsidRDefault="00000000">
            <w:pPr>
              <w:spacing w:line="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2021-2025</w:t>
            </w:r>
            <w:r>
              <w:rPr>
                <w:rFonts w:ascii="Times New Roman" w:eastAsia="方正仿宋_GBK" w:hAnsi="Times New Roman" w:cs="Times New Roman"/>
                <w:sz w:val="24"/>
              </w:rPr>
              <w:t>年</w:t>
            </w:r>
          </w:p>
        </w:tc>
      </w:tr>
      <w:tr w:rsidR="002D0D6D" w14:paraId="721DF01F" w14:textId="77777777">
        <w:trPr>
          <w:trHeight w:val="271"/>
        </w:trPr>
        <w:tc>
          <w:tcPr>
            <w:tcW w:w="711" w:type="dxa"/>
            <w:vMerge/>
            <w:vAlign w:val="center"/>
          </w:tcPr>
          <w:p w14:paraId="6BD27F33"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0566BCB8"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5162959E"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医疗机构医养结合建设</w:t>
            </w:r>
          </w:p>
        </w:tc>
        <w:tc>
          <w:tcPr>
            <w:tcW w:w="7665" w:type="dxa"/>
            <w:vAlign w:val="center"/>
          </w:tcPr>
          <w:p w14:paraId="4E129FC5"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在七星岗、南纪门</w:t>
            </w:r>
            <w:r>
              <w:rPr>
                <w:rFonts w:ascii="Times New Roman" w:eastAsia="方正仿宋_GBK" w:hAnsi="Times New Roman" w:cs="Times New Roman"/>
                <w:b w:val="0"/>
                <w:bCs w:val="0"/>
                <w:sz w:val="24"/>
              </w:rPr>
              <w:t>2</w:t>
            </w:r>
            <w:r>
              <w:rPr>
                <w:rFonts w:ascii="Times New Roman" w:eastAsia="方正仿宋_GBK" w:hAnsi="Times New Roman" w:cs="Times New Roman"/>
                <w:b w:val="0"/>
                <w:bCs w:val="0"/>
                <w:sz w:val="24"/>
              </w:rPr>
              <w:t>个街道社区卫生服务中心建设养老服务中心，在有条件的社区卫生中心开设医养结合病房，不断推进社区护理站建设</w:t>
            </w:r>
          </w:p>
        </w:tc>
        <w:tc>
          <w:tcPr>
            <w:tcW w:w="1695" w:type="dxa"/>
            <w:vAlign w:val="center"/>
          </w:tcPr>
          <w:p w14:paraId="3B882C72" w14:textId="77777777" w:rsidR="002D0D6D" w:rsidRDefault="00000000">
            <w:pPr>
              <w:spacing w:line="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2021-2025</w:t>
            </w:r>
            <w:r>
              <w:rPr>
                <w:rFonts w:ascii="Times New Roman" w:eastAsia="方正仿宋_GBK" w:hAnsi="Times New Roman" w:cs="Times New Roman"/>
                <w:sz w:val="24"/>
              </w:rPr>
              <w:t>年</w:t>
            </w:r>
          </w:p>
        </w:tc>
      </w:tr>
      <w:tr w:rsidR="002D0D6D" w14:paraId="53A3BC46" w14:textId="77777777">
        <w:trPr>
          <w:trHeight w:val="1017"/>
        </w:trPr>
        <w:tc>
          <w:tcPr>
            <w:tcW w:w="711" w:type="dxa"/>
            <w:vMerge w:val="restart"/>
            <w:vAlign w:val="center"/>
          </w:tcPr>
          <w:p w14:paraId="0191C5E2"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七</w:t>
            </w:r>
          </w:p>
        </w:tc>
        <w:tc>
          <w:tcPr>
            <w:tcW w:w="2255" w:type="dxa"/>
            <w:vMerge w:val="restart"/>
            <w:vAlign w:val="center"/>
          </w:tcPr>
          <w:p w14:paraId="506122E0"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智慧健康发展工程</w:t>
            </w:r>
          </w:p>
        </w:tc>
        <w:tc>
          <w:tcPr>
            <w:tcW w:w="1754" w:type="dxa"/>
            <w:vAlign w:val="center"/>
          </w:tcPr>
          <w:p w14:paraId="3983D8EC"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区域卫生健康</w:t>
            </w:r>
            <w:r>
              <w:rPr>
                <w:rFonts w:ascii="Times New Roman" w:eastAsia="方正仿宋_GBK" w:hAnsi="Times New Roman" w:cs="Times New Roman"/>
                <w:b w:val="0"/>
                <w:bCs w:val="0"/>
                <w:spacing w:val="-23"/>
                <w:sz w:val="24"/>
              </w:rPr>
              <w:t>信息数据库建设</w:t>
            </w:r>
          </w:p>
        </w:tc>
        <w:tc>
          <w:tcPr>
            <w:tcW w:w="7665" w:type="dxa"/>
            <w:vAlign w:val="center"/>
          </w:tcPr>
          <w:p w14:paraId="1225AA1B"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建立覆盖和整合全区公共卫生、电子健康档案、电子病历、诊疗信息、人口数据等卫生建设数据资源的信息平台系统，实现与各级部门、医疗卫生机构数据交互，形成卫生健康大数据智能化应用基础支撑，强化区域卫生健康信息安全。</w:t>
            </w:r>
          </w:p>
        </w:tc>
        <w:tc>
          <w:tcPr>
            <w:tcW w:w="1695" w:type="dxa"/>
            <w:vAlign w:val="center"/>
          </w:tcPr>
          <w:p w14:paraId="49FB9584"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sz w:val="24"/>
              </w:rPr>
              <w:t>2021-2025</w:t>
            </w:r>
            <w:r>
              <w:rPr>
                <w:rFonts w:ascii="Times New Roman" w:eastAsia="方正仿宋_GBK" w:hAnsi="Times New Roman" w:cs="Times New Roman"/>
                <w:b w:val="0"/>
                <w:sz w:val="24"/>
              </w:rPr>
              <w:t>年</w:t>
            </w:r>
          </w:p>
        </w:tc>
      </w:tr>
      <w:tr w:rsidR="002D0D6D" w14:paraId="087FB0A3" w14:textId="77777777">
        <w:trPr>
          <w:trHeight w:val="464"/>
        </w:trPr>
        <w:tc>
          <w:tcPr>
            <w:tcW w:w="711" w:type="dxa"/>
            <w:vMerge/>
            <w:vAlign w:val="center"/>
          </w:tcPr>
          <w:p w14:paraId="4B7AA2AB"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3ABF60C6"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5AF05FEC"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预防接种数字化门诊建设</w:t>
            </w:r>
          </w:p>
        </w:tc>
        <w:tc>
          <w:tcPr>
            <w:tcW w:w="7665" w:type="dxa"/>
            <w:vAlign w:val="center"/>
          </w:tcPr>
          <w:p w14:paraId="529CD253"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全区</w:t>
            </w:r>
            <w:r>
              <w:rPr>
                <w:rFonts w:ascii="Times New Roman" w:eastAsia="方正仿宋_GBK" w:hAnsi="Times New Roman" w:cs="Times New Roman"/>
                <w:b w:val="0"/>
                <w:bCs w:val="0"/>
                <w:sz w:val="24"/>
              </w:rPr>
              <w:t>12</w:t>
            </w:r>
            <w:r>
              <w:rPr>
                <w:rFonts w:ascii="Times New Roman" w:eastAsia="方正仿宋_GBK" w:hAnsi="Times New Roman" w:cs="Times New Roman"/>
                <w:b w:val="0"/>
                <w:bCs w:val="0"/>
                <w:sz w:val="24"/>
              </w:rPr>
              <w:t>家常规预防接种门诊建成数字化门诊，方便群众接种疫苗，加强疫苗接种管理，提高疫苗接种率，充分发挥疫苗对于预防疾病的重要作用。</w:t>
            </w:r>
          </w:p>
        </w:tc>
        <w:tc>
          <w:tcPr>
            <w:tcW w:w="1695" w:type="dxa"/>
            <w:vAlign w:val="center"/>
          </w:tcPr>
          <w:p w14:paraId="653DA213"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752BB0C8" w14:textId="77777777">
        <w:trPr>
          <w:trHeight w:val="1241"/>
        </w:trPr>
        <w:tc>
          <w:tcPr>
            <w:tcW w:w="711" w:type="dxa"/>
            <w:vMerge/>
            <w:vAlign w:val="center"/>
          </w:tcPr>
          <w:p w14:paraId="25A808C0"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3A6475AF"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B037C70"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疾病监测体系建设</w:t>
            </w:r>
          </w:p>
        </w:tc>
        <w:tc>
          <w:tcPr>
            <w:tcW w:w="7665" w:type="dxa"/>
            <w:vAlign w:val="center"/>
          </w:tcPr>
          <w:p w14:paraId="0FC9A191"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加强疾控中心信息化建设，建立疾控信息平台，搭建心脑血管疾病、癌症、慢性呼吸系统疾病、传染病、地方病、糖尿病疾病大数据平台，建成覆盖全区的病例登记随访系统，开展相关数据分析、研究，为疾病的精准防治提供决策支持。对实验室进行改造升级，为加强传染病监测预警提供实验室检测支持。建立优化有序的公共卫生事件处置流程。</w:t>
            </w:r>
          </w:p>
        </w:tc>
        <w:tc>
          <w:tcPr>
            <w:tcW w:w="1695" w:type="dxa"/>
            <w:vAlign w:val="center"/>
          </w:tcPr>
          <w:p w14:paraId="4547F917"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7978CF73" w14:textId="77777777">
        <w:trPr>
          <w:trHeight w:val="1241"/>
        </w:trPr>
        <w:tc>
          <w:tcPr>
            <w:tcW w:w="711" w:type="dxa"/>
            <w:vMerge/>
            <w:vAlign w:val="center"/>
          </w:tcPr>
          <w:p w14:paraId="2829E929"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6AE29126"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10E7550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妇幼健康信息系统建设</w:t>
            </w:r>
          </w:p>
        </w:tc>
        <w:tc>
          <w:tcPr>
            <w:tcW w:w="7665" w:type="dxa"/>
            <w:vAlign w:val="center"/>
          </w:tcPr>
          <w:p w14:paraId="15B652C0"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推进儿童健康管理系统与居民健康档案系统、儿童健康管理系统与托幼机构卫生保健管理系统、孕产妇健康管理系统与助产机构孕产期保健系统、区级妇幼健康信息系统与市级妇幼健康信息系统的互联互通，提高信息交换效率。</w:t>
            </w:r>
          </w:p>
        </w:tc>
        <w:tc>
          <w:tcPr>
            <w:tcW w:w="1695" w:type="dxa"/>
            <w:vAlign w:val="center"/>
          </w:tcPr>
          <w:p w14:paraId="0E915BBB"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2021-2023</w:t>
            </w:r>
            <w:r>
              <w:rPr>
                <w:rFonts w:ascii="Times New Roman" w:eastAsia="方正仿宋_GBK" w:hAnsi="Times New Roman" w:cs="Times New Roman"/>
                <w:b w:val="0"/>
                <w:bCs w:val="0"/>
                <w:sz w:val="24"/>
              </w:rPr>
              <w:t>年</w:t>
            </w:r>
          </w:p>
        </w:tc>
      </w:tr>
      <w:tr w:rsidR="002D0D6D" w14:paraId="042C4CF4" w14:textId="77777777">
        <w:trPr>
          <w:trHeight w:val="1241"/>
        </w:trPr>
        <w:tc>
          <w:tcPr>
            <w:tcW w:w="711" w:type="dxa"/>
            <w:vMerge/>
            <w:vAlign w:val="center"/>
          </w:tcPr>
          <w:p w14:paraId="2ABB69A9"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72D14E09"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62ABA0B6"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智慧卫监建设</w:t>
            </w:r>
          </w:p>
        </w:tc>
        <w:tc>
          <w:tcPr>
            <w:tcW w:w="7665" w:type="dxa"/>
            <w:vAlign w:val="center"/>
          </w:tcPr>
          <w:p w14:paraId="6D414041"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建成集在线监测、信息共享、大数据分析为一体的卫生监督在线监测与信息共享平台，对医疗废物的收集、转运、暂存、处置收运各环节开展实时监控。对放射诊疗场所辐射防护效果的变化情况开展实时在线获取医疗机构医疗辐射防护效果的变化情况。</w:t>
            </w:r>
          </w:p>
        </w:tc>
        <w:tc>
          <w:tcPr>
            <w:tcW w:w="1695" w:type="dxa"/>
            <w:vAlign w:val="center"/>
          </w:tcPr>
          <w:p w14:paraId="7B4AEB28"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2021-2023</w:t>
            </w:r>
            <w:r>
              <w:rPr>
                <w:rFonts w:ascii="Times New Roman" w:eastAsia="方正仿宋_GBK" w:hAnsi="Times New Roman" w:cs="Times New Roman"/>
                <w:b w:val="0"/>
                <w:bCs w:val="0"/>
                <w:sz w:val="24"/>
              </w:rPr>
              <w:t>年</w:t>
            </w:r>
          </w:p>
        </w:tc>
      </w:tr>
      <w:tr w:rsidR="002D0D6D" w14:paraId="278179CE" w14:textId="77777777">
        <w:trPr>
          <w:trHeight w:val="674"/>
        </w:trPr>
        <w:tc>
          <w:tcPr>
            <w:tcW w:w="711" w:type="dxa"/>
            <w:vMerge/>
            <w:vAlign w:val="center"/>
          </w:tcPr>
          <w:p w14:paraId="3290E404"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7B8829D8"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1BA2CBF"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医疗决策分析监管平台建设</w:t>
            </w:r>
          </w:p>
        </w:tc>
        <w:tc>
          <w:tcPr>
            <w:tcW w:w="7665" w:type="dxa"/>
            <w:vAlign w:val="center"/>
          </w:tcPr>
          <w:p w14:paraId="4E5356CE" w14:textId="77777777" w:rsidR="002D0D6D" w:rsidRDefault="00000000">
            <w:pPr>
              <w:pStyle w:val="af"/>
              <w:spacing w:before="0" w:after="0" w:line="340" w:lineRule="exac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建立渝中区医疗决策分析监管平台，主要整合区域内基层医疗、妇幼保健、计划免疫、精神卫生、分级诊疗、区域影像、区域检验、辅助诊断、医改监测等业务信息系统，涵盖辖区社区卫生服务机构、公共卫生</w:t>
            </w:r>
            <w:r>
              <w:rPr>
                <w:rFonts w:ascii="Times New Roman" w:eastAsia="方正仿宋_GBK" w:hAnsi="Times New Roman" w:cs="Times New Roman"/>
                <w:b w:val="0"/>
                <w:bCs w:val="0"/>
                <w:sz w:val="24"/>
              </w:rPr>
              <w:lastRenderedPageBreak/>
              <w:t>机构、专业医疗机构、第三方检测机构等，实现各单位各业务系统的统一规划、统一管理、统一使用，形成集汇总、整理、归类、展示、使用、交互为一体的区域卫生健康综合信息。</w:t>
            </w:r>
          </w:p>
        </w:tc>
        <w:tc>
          <w:tcPr>
            <w:tcW w:w="1695" w:type="dxa"/>
            <w:vAlign w:val="center"/>
          </w:tcPr>
          <w:p w14:paraId="6E35F83F"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lastRenderedPageBreak/>
              <w:t>2021-2025</w:t>
            </w:r>
            <w:r>
              <w:rPr>
                <w:rFonts w:ascii="Times New Roman" w:eastAsia="方正仿宋_GBK" w:hAnsi="Times New Roman" w:cs="Times New Roman"/>
                <w:b w:val="0"/>
                <w:bCs w:val="0"/>
                <w:sz w:val="24"/>
              </w:rPr>
              <w:t>年</w:t>
            </w:r>
          </w:p>
        </w:tc>
      </w:tr>
      <w:tr w:rsidR="002D0D6D" w14:paraId="07AC3EE5" w14:textId="77777777">
        <w:trPr>
          <w:trHeight w:val="1122"/>
        </w:trPr>
        <w:tc>
          <w:tcPr>
            <w:tcW w:w="711" w:type="dxa"/>
            <w:vMerge/>
            <w:vAlign w:val="center"/>
          </w:tcPr>
          <w:p w14:paraId="2D2AA37C"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57CEA91B"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2E3A6194"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智慧医院建设</w:t>
            </w:r>
          </w:p>
        </w:tc>
        <w:tc>
          <w:tcPr>
            <w:tcW w:w="7665" w:type="dxa"/>
            <w:vAlign w:val="center"/>
          </w:tcPr>
          <w:p w14:paraId="10BE2C68"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持续推进二级以上公立医院</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智慧医院</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示范建设，改善患者就医体验。进一步提高重庆市中医骨科医院智慧医疗、智慧服务、智慧管理水平。推进电子病历系统功能应用水平分级评价，实现二级医院电子病历达到分级评价</w:t>
            </w:r>
            <w:r>
              <w:rPr>
                <w:rFonts w:ascii="Times New Roman" w:eastAsia="方正仿宋_GBK" w:hAnsi="Times New Roman" w:cs="Times New Roman"/>
                <w:b w:val="0"/>
                <w:bCs w:val="0"/>
                <w:sz w:val="24"/>
              </w:rPr>
              <w:t>3</w:t>
            </w:r>
            <w:r>
              <w:rPr>
                <w:rFonts w:ascii="Times New Roman" w:eastAsia="方正仿宋_GBK" w:hAnsi="Times New Roman" w:cs="Times New Roman"/>
                <w:b w:val="0"/>
                <w:bCs w:val="0"/>
                <w:sz w:val="24"/>
              </w:rPr>
              <w:t>级以上，三级医院达到分级评价</w:t>
            </w:r>
            <w:r>
              <w:rPr>
                <w:rFonts w:ascii="Times New Roman" w:eastAsia="方正仿宋_GBK" w:hAnsi="Times New Roman" w:cs="Times New Roman"/>
                <w:b w:val="0"/>
                <w:bCs w:val="0"/>
                <w:sz w:val="24"/>
              </w:rPr>
              <w:t>4</w:t>
            </w:r>
            <w:r>
              <w:rPr>
                <w:rFonts w:ascii="Times New Roman" w:eastAsia="方正仿宋_GBK" w:hAnsi="Times New Roman" w:cs="Times New Roman"/>
                <w:b w:val="0"/>
                <w:bCs w:val="0"/>
                <w:sz w:val="24"/>
              </w:rPr>
              <w:t>级以上。</w:t>
            </w:r>
          </w:p>
        </w:tc>
        <w:tc>
          <w:tcPr>
            <w:tcW w:w="1695" w:type="dxa"/>
            <w:vAlign w:val="center"/>
          </w:tcPr>
          <w:p w14:paraId="6ABA49C0"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7F57DECC" w14:textId="77777777">
        <w:trPr>
          <w:trHeight w:val="2799"/>
        </w:trPr>
        <w:tc>
          <w:tcPr>
            <w:tcW w:w="711" w:type="dxa"/>
            <w:vAlign w:val="center"/>
          </w:tcPr>
          <w:p w14:paraId="75F57922"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八</w:t>
            </w:r>
          </w:p>
        </w:tc>
        <w:tc>
          <w:tcPr>
            <w:tcW w:w="2255" w:type="dxa"/>
            <w:vAlign w:val="center"/>
          </w:tcPr>
          <w:p w14:paraId="6534F20E"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卫生英才成长工程</w:t>
            </w:r>
          </w:p>
        </w:tc>
        <w:tc>
          <w:tcPr>
            <w:tcW w:w="1754" w:type="dxa"/>
            <w:vAlign w:val="center"/>
          </w:tcPr>
          <w:p w14:paraId="3B36E1B9"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实施</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领航人才</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枢纽人才</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守门人才</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计划</w:t>
            </w:r>
          </w:p>
        </w:tc>
        <w:tc>
          <w:tcPr>
            <w:tcW w:w="7665" w:type="dxa"/>
            <w:vAlign w:val="center"/>
          </w:tcPr>
          <w:p w14:paraId="437E397E"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1.</w:t>
            </w:r>
            <w:r>
              <w:rPr>
                <w:rFonts w:ascii="Times New Roman" w:eastAsia="方正仿宋_GBK" w:hAnsi="Times New Roman" w:cs="Times New Roman"/>
                <w:b w:val="0"/>
                <w:bCs w:val="0"/>
                <w:sz w:val="24"/>
              </w:rPr>
              <w:t>实施</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渝中名医</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项目：培育遴选</w:t>
            </w:r>
            <w:r>
              <w:rPr>
                <w:rFonts w:ascii="Times New Roman" w:eastAsia="方正仿宋_GBK" w:hAnsi="Times New Roman" w:cs="Times New Roman"/>
                <w:b w:val="0"/>
                <w:bCs w:val="0"/>
                <w:sz w:val="24"/>
              </w:rPr>
              <w:t>10</w:t>
            </w:r>
            <w:r>
              <w:rPr>
                <w:rFonts w:ascii="Times New Roman" w:eastAsia="方正仿宋_GBK" w:hAnsi="Times New Roman" w:cs="Times New Roman"/>
                <w:b w:val="0"/>
                <w:bCs w:val="0"/>
                <w:sz w:val="24"/>
              </w:rPr>
              <w:t>名学科带头人、</w:t>
            </w:r>
            <w:r>
              <w:rPr>
                <w:rFonts w:ascii="Times New Roman" w:eastAsia="方正仿宋_GBK" w:hAnsi="Times New Roman" w:cs="Times New Roman"/>
                <w:b w:val="0"/>
                <w:bCs w:val="0"/>
                <w:sz w:val="24"/>
              </w:rPr>
              <w:t>30</w:t>
            </w:r>
            <w:r>
              <w:rPr>
                <w:rFonts w:ascii="Times New Roman" w:eastAsia="方正仿宋_GBK" w:hAnsi="Times New Roman" w:cs="Times New Roman"/>
                <w:b w:val="0"/>
                <w:bCs w:val="0"/>
                <w:sz w:val="24"/>
              </w:rPr>
              <w:t>名学术带头人、</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名青年骨干；（按每年遴选</w:t>
            </w:r>
            <w:r>
              <w:rPr>
                <w:rFonts w:ascii="Times New Roman" w:eastAsia="方正仿宋_GBK" w:hAnsi="Times New Roman" w:cs="Times New Roman"/>
                <w:b w:val="0"/>
                <w:bCs w:val="0"/>
                <w:sz w:val="24"/>
              </w:rPr>
              <w:t>2</w:t>
            </w:r>
            <w:r>
              <w:rPr>
                <w:rFonts w:ascii="Times New Roman" w:eastAsia="方正仿宋_GBK" w:hAnsi="Times New Roman" w:cs="Times New Roman"/>
                <w:b w:val="0"/>
                <w:bCs w:val="0"/>
                <w:sz w:val="24"/>
              </w:rPr>
              <w:t>名学科带头人、</w:t>
            </w:r>
            <w:r>
              <w:rPr>
                <w:rFonts w:ascii="Times New Roman" w:eastAsia="方正仿宋_GBK" w:hAnsi="Times New Roman" w:cs="Times New Roman"/>
                <w:b w:val="0"/>
                <w:bCs w:val="0"/>
                <w:sz w:val="24"/>
              </w:rPr>
              <w:t>6</w:t>
            </w:r>
            <w:r>
              <w:rPr>
                <w:rFonts w:ascii="Times New Roman" w:eastAsia="方正仿宋_GBK" w:hAnsi="Times New Roman" w:cs="Times New Roman"/>
                <w:b w:val="0"/>
                <w:bCs w:val="0"/>
                <w:sz w:val="24"/>
              </w:rPr>
              <w:t>名学术带头人、</w:t>
            </w:r>
            <w:r>
              <w:rPr>
                <w:rFonts w:ascii="Times New Roman" w:eastAsia="方正仿宋_GBK" w:hAnsi="Times New Roman" w:cs="Times New Roman"/>
                <w:b w:val="0"/>
                <w:bCs w:val="0"/>
                <w:sz w:val="24"/>
              </w:rPr>
              <w:t>20</w:t>
            </w:r>
            <w:r>
              <w:rPr>
                <w:rFonts w:ascii="Times New Roman" w:eastAsia="方正仿宋_GBK" w:hAnsi="Times New Roman" w:cs="Times New Roman"/>
                <w:b w:val="0"/>
                <w:bCs w:val="0"/>
                <w:sz w:val="24"/>
              </w:rPr>
              <w:t>名青年骨干稳步推进。）</w:t>
            </w:r>
            <w:r>
              <w:rPr>
                <w:rFonts w:ascii="Times New Roman" w:eastAsia="方正仿宋_GBK" w:hAnsi="Times New Roman" w:cs="Times New Roman"/>
                <w:b w:val="0"/>
                <w:bCs w:val="0"/>
                <w:sz w:val="24"/>
              </w:rPr>
              <w:t>2.</w:t>
            </w:r>
            <w:r>
              <w:rPr>
                <w:rFonts w:ascii="Times New Roman" w:eastAsia="方正仿宋_GBK" w:hAnsi="Times New Roman" w:cs="Times New Roman"/>
                <w:b w:val="0"/>
                <w:bCs w:val="0"/>
                <w:sz w:val="24"/>
              </w:rPr>
              <w:t>实施名医培养项目：新增入选市级以上人才</w:t>
            </w:r>
            <w:r>
              <w:rPr>
                <w:rFonts w:ascii="Times New Roman" w:eastAsia="方正仿宋_GBK" w:hAnsi="Times New Roman" w:cs="Times New Roman"/>
                <w:b w:val="0"/>
                <w:bCs w:val="0"/>
                <w:sz w:val="24"/>
              </w:rPr>
              <w:t>5</w:t>
            </w:r>
            <w:r>
              <w:rPr>
                <w:rFonts w:ascii="Times New Roman" w:eastAsia="方正仿宋_GBK" w:hAnsi="Times New Roman" w:cs="Times New Roman"/>
                <w:b w:val="0"/>
                <w:bCs w:val="0"/>
                <w:sz w:val="24"/>
              </w:rPr>
              <w:t>名左右；评选</w:t>
            </w:r>
            <w:r>
              <w:rPr>
                <w:rFonts w:ascii="Times New Roman" w:eastAsia="方正仿宋_GBK" w:hAnsi="Times New Roman" w:cs="Times New Roman"/>
                <w:b w:val="0"/>
                <w:bCs w:val="0"/>
                <w:sz w:val="24"/>
              </w:rPr>
              <w:t>6</w:t>
            </w:r>
            <w:r>
              <w:rPr>
                <w:rFonts w:ascii="Times New Roman" w:eastAsia="方正仿宋_GBK" w:hAnsi="Times New Roman" w:cs="Times New Roman"/>
                <w:b w:val="0"/>
                <w:bCs w:val="0"/>
                <w:sz w:val="24"/>
              </w:rPr>
              <w:t>个区级名中医，新建</w:t>
            </w:r>
            <w:r>
              <w:rPr>
                <w:rFonts w:ascii="Times New Roman" w:eastAsia="方正仿宋_GBK" w:hAnsi="Times New Roman" w:cs="Times New Roman"/>
                <w:b w:val="0"/>
                <w:bCs w:val="0"/>
                <w:sz w:val="24"/>
              </w:rPr>
              <w:t>20</w:t>
            </w:r>
            <w:r>
              <w:rPr>
                <w:rFonts w:ascii="Times New Roman" w:eastAsia="方正仿宋_GBK" w:hAnsi="Times New Roman" w:cs="Times New Roman"/>
                <w:b w:val="0"/>
                <w:bCs w:val="0"/>
                <w:sz w:val="24"/>
              </w:rPr>
              <w:t>个名中医（名老中医药专家传承）工作室建设工作；培养</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名左右中青年医学骨干人才；培养家庭医生等社区优秀专业技术人才，对基层医务人员轮训全覆盖，全面提高基层医疗卫生队伍医疗技术水平，建设一支高端引领、中端支撑、基层稳固的卫生健康人才队伍。</w:t>
            </w:r>
          </w:p>
          <w:p w14:paraId="5C7074F5"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3.</w:t>
            </w:r>
            <w:r>
              <w:rPr>
                <w:rFonts w:ascii="Times New Roman" w:eastAsia="方正仿宋_GBK" w:hAnsi="Times New Roman" w:cs="Times New Roman"/>
                <w:b w:val="0"/>
                <w:bCs w:val="0"/>
                <w:sz w:val="24"/>
              </w:rPr>
              <w:t>实施优秀医疗人才引进项目：公开招聘公共卫生、医疗、中医、管理各专业领域基层急需紧缺人才</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名左右。</w:t>
            </w:r>
          </w:p>
        </w:tc>
        <w:tc>
          <w:tcPr>
            <w:tcW w:w="1695" w:type="dxa"/>
            <w:vAlign w:val="center"/>
          </w:tcPr>
          <w:p w14:paraId="6143C134" w14:textId="77777777" w:rsidR="002D0D6D" w:rsidRDefault="00000000">
            <w:pPr>
              <w:spacing w:line="0" w:lineRule="atLeast"/>
              <w:jc w:val="center"/>
              <w:rPr>
                <w:rFonts w:ascii="Times New Roman" w:eastAsia="方正仿宋_GBK" w:hAnsi="Times New Roman" w:cs="Times New Roman"/>
                <w:sz w:val="24"/>
              </w:rPr>
            </w:pPr>
            <w:r>
              <w:rPr>
                <w:rFonts w:ascii="Times New Roman" w:eastAsia="方正仿宋_GBK" w:hAnsi="Times New Roman" w:cs="Times New Roman"/>
                <w:sz w:val="24"/>
              </w:rPr>
              <w:t>2021-2025</w:t>
            </w:r>
            <w:r>
              <w:rPr>
                <w:rFonts w:ascii="Times New Roman" w:eastAsia="方正仿宋_GBK" w:hAnsi="Times New Roman" w:cs="Times New Roman"/>
                <w:sz w:val="24"/>
              </w:rPr>
              <w:t>年</w:t>
            </w:r>
          </w:p>
        </w:tc>
      </w:tr>
      <w:tr w:rsidR="002D0D6D" w14:paraId="0835A21C" w14:textId="77777777">
        <w:trPr>
          <w:trHeight w:val="194"/>
        </w:trPr>
        <w:tc>
          <w:tcPr>
            <w:tcW w:w="711" w:type="dxa"/>
            <w:vMerge w:val="restart"/>
            <w:vAlign w:val="center"/>
          </w:tcPr>
          <w:p w14:paraId="690B426D"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t>九</w:t>
            </w:r>
          </w:p>
        </w:tc>
        <w:tc>
          <w:tcPr>
            <w:tcW w:w="2255" w:type="dxa"/>
            <w:vMerge w:val="restart"/>
            <w:vAlign w:val="center"/>
          </w:tcPr>
          <w:p w14:paraId="7000356C"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行业治理保障工程</w:t>
            </w:r>
          </w:p>
        </w:tc>
        <w:tc>
          <w:tcPr>
            <w:tcW w:w="1754" w:type="dxa"/>
            <w:vAlign w:val="center"/>
          </w:tcPr>
          <w:p w14:paraId="530E6AA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深入推进</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放管服</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改革</w:t>
            </w:r>
          </w:p>
        </w:tc>
        <w:tc>
          <w:tcPr>
            <w:tcW w:w="7665" w:type="dxa"/>
            <w:vAlign w:val="center"/>
          </w:tcPr>
          <w:p w14:paraId="6B1EF477" w14:textId="77777777" w:rsidR="002D0D6D" w:rsidRDefault="00000000">
            <w:pPr>
              <w:spacing w:line="0" w:lineRule="atLeast"/>
              <w:rPr>
                <w:rFonts w:ascii="Times New Roman" w:eastAsia="方正仿宋_GBK" w:hAnsi="Times New Roman" w:cs="Times New Roman"/>
                <w:sz w:val="24"/>
              </w:rPr>
            </w:pPr>
            <w:r>
              <w:rPr>
                <w:rFonts w:ascii="Times New Roman" w:eastAsia="方正仿宋_GBK" w:hAnsi="Times New Roman" w:cs="Times New Roman"/>
                <w:sz w:val="24"/>
              </w:rPr>
              <w:t>全面贯彻实施行政权力下放及行政审批制度改革要求，进一步规范行政审批，优化审批流程，缩短办理时限，推进全程网办，提升获得感。</w:t>
            </w:r>
          </w:p>
        </w:tc>
        <w:tc>
          <w:tcPr>
            <w:tcW w:w="1695" w:type="dxa"/>
            <w:vAlign w:val="center"/>
          </w:tcPr>
          <w:p w14:paraId="1D956AF9"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458486A9" w14:textId="77777777">
        <w:trPr>
          <w:trHeight w:val="90"/>
        </w:trPr>
        <w:tc>
          <w:tcPr>
            <w:tcW w:w="711" w:type="dxa"/>
            <w:vMerge/>
            <w:vAlign w:val="center"/>
          </w:tcPr>
          <w:p w14:paraId="0C98C2DF"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5B78AF6A"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3FEE5D82"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健全医疗卫生行业综合监管</w:t>
            </w:r>
          </w:p>
        </w:tc>
        <w:tc>
          <w:tcPr>
            <w:tcW w:w="7665" w:type="dxa"/>
            <w:vAlign w:val="center"/>
          </w:tcPr>
          <w:p w14:paraId="36862290" w14:textId="77777777" w:rsidR="002D0D6D" w:rsidRDefault="00000000">
            <w:pPr>
              <w:spacing w:line="0" w:lineRule="atLeast"/>
              <w:rPr>
                <w:rFonts w:ascii="Times New Roman" w:eastAsia="方正仿宋_GBK" w:hAnsi="Times New Roman" w:cs="Times New Roman"/>
                <w:sz w:val="24"/>
              </w:rPr>
            </w:pPr>
            <w:r>
              <w:rPr>
                <w:rFonts w:ascii="Times New Roman" w:eastAsia="方正仿宋_GBK" w:hAnsi="Times New Roman" w:cs="Times New Roman"/>
                <w:sz w:val="24"/>
              </w:rPr>
              <w:t>依法采取多种形式，全面加强医疗卫生行业管理和执法，规范提供医疗卫生服务，维护人民群众健康权益，建立健全机构自治、行业自律、政府监管、社会监督相结合的医疗卫生综合监督管理体系。</w:t>
            </w:r>
          </w:p>
        </w:tc>
        <w:tc>
          <w:tcPr>
            <w:tcW w:w="1695" w:type="dxa"/>
            <w:vAlign w:val="center"/>
          </w:tcPr>
          <w:p w14:paraId="52E8BC16"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1A70E0FD" w14:textId="77777777">
        <w:trPr>
          <w:trHeight w:val="90"/>
        </w:trPr>
        <w:tc>
          <w:tcPr>
            <w:tcW w:w="711" w:type="dxa"/>
            <w:vMerge w:val="restart"/>
            <w:vAlign w:val="center"/>
          </w:tcPr>
          <w:p w14:paraId="082EE61A" w14:textId="77777777" w:rsidR="002D0D6D" w:rsidRDefault="00000000">
            <w:pPr>
              <w:widowControl/>
              <w:spacing w:line="0" w:lineRule="atLeast"/>
              <w:jc w:val="center"/>
              <w:textAlignment w:val="center"/>
              <w:rPr>
                <w:rFonts w:ascii="Times New Roman" w:eastAsia="方正仿宋_GBK" w:hAnsi="Times New Roman" w:cs="Times New Roman"/>
                <w:sz w:val="24"/>
              </w:rPr>
            </w:pPr>
            <w:r>
              <w:rPr>
                <w:rFonts w:ascii="Times New Roman" w:eastAsia="方正仿宋_GBK" w:hAnsi="Times New Roman" w:cs="Times New Roman"/>
                <w:sz w:val="24"/>
              </w:rPr>
              <w:lastRenderedPageBreak/>
              <w:t>十</w:t>
            </w:r>
          </w:p>
        </w:tc>
        <w:tc>
          <w:tcPr>
            <w:tcW w:w="2255" w:type="dxa"/>
            <w:vMerge w:val="restart"/>
            <w:vAlign w:val="center"/>
          </w:tcPr>
          <w:p w14:paraId="0A3E2BB8"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其他卫生健康工作</w:t>
            </w:r>
          </w:p>
        </w:tc>
        <w:tc>
          <w:tcPr>
            <w:tcW w:w="1754" w:type="dxa"/>
            <w:vAlign w:val="center"/>
          </w:tcPr>
          <w:p w14:paraId="0E1FF522"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健康知识普及行动</w:t>
            </w:r>
          </w:p>
        </w:tc>
        <w:tc>
          <w:tcPr>
            <w:tcW w:w="7665" w:type="dxa"/>
            <w:vAlign w:val="center"/>
          </w:tcPr>
          <w:p w14:paraId="7B0BD12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加强健康科普知识发布传播，调动医务人员开展健康促进与教育的积极性，开展红十字应急救护</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五进</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活动，逐年提升辖区居民健康素养，到</w:t>
            </w:r>
            <w:r>
              <w:rPr>
                <w:rFonts w:ascii="Times New Roman" w:eastAsia="方正仿宋_GBK" w:hAnsi="Times New Roman" w:cs="Times New Roman"/>
                <w:b w:val="0"/>
                <w:bCs w:val="0"/>
                <w:sz w:val="24"/>
              </w:rPr>
              <w:t>2025</w:t>
            </w:r>
            <w:r>
              <w:rPr>
                <w:rFonts w:ascii="Times New Roman" w:eastAsia="方正仿宋_GBK" w:hAnsi="Times New Roman" w:cs="Times New Roman"/>
                <w:b w:val="0"/>
                <w:bCs w:val="0"/>
                <w:sz w:val="24"/>
              </w:rPr>
              <w:t>年居民健康素养率</w:t>
            </w:r>
            <w:r>
              <w:rPr>
                <w:rFonts w:ascii="Times New Roman" w:eastAsia="方正仿宋_GBK" w:hAnsi="Times New Roman" w:cs="Times New Roman"/>
                <w:b w:val="0"/>
                <w:bCs w:val="0"/>
                <w:sz w:val="24"/>
              </w:rPr>
              <w:t>26%</w:t>
            </w:r>
            <w:r>
              <w:rPr>
                <w:rFonts w:ascii="Times New Roman" w:eastAsia="方正仿宋_GBK" w:hAnsi="Times New Roman" w:cs="Times New Roman"/>
                <w:b w:val="0"/>
                <w:bCs w:val="0"/>
                <w:sz w:val="24"/>
              </w:rPr>
              <w:t>以上。</w:t>
            </w:r>
          </w:p>
        </w:tc>
        <w:tc>
          <w:tcPr>
            <w:tcW w:w="1695" w:type="dxa"/>
            <w:vAlign w:val="center"/>
          </w:tcPr>
          <w:p w14:paraId="0F646B31"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2F55D63C" w14:textId="77777777">
        <w:trPr>
          <w:trHeight w:val="154"/>
        </w:trPr>
        <w:tc>
          <w:tcPr>
            <w:tcW w:w="711" w:type="dxa"/>
            <w:vMerge/>
            <w:vAlign w:val="center"/>
          </w:tcPr>
          <w:p w14:paraId="77740780"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39509F2E" w14:textId="77777777" w:rsidR="002D0D6D" w:rsidRDefault="002D0D6D">
            <w:pPr>
              <w:pStyle w:val="af"/>
              <w:spacing w:before="0" w:after="0" w:line="0" w:lineRule="atLeast"/>
              <w:jc w:val="left"/>
              <w:rPr>
                <w:rFonts w:ascii="Times New Roman" w:eastAsia="方正仿宋_GBK" w:hAnsi="Times New Roman" w:cs="Times New Roman"/>
                <w:b w:val="0"/>
                <w:bCs w:val="0"/>
                <w:sz w:val="24"/>
              </w:rPr>
            </w:pPr>
          </w:p>
        </w:tc>
        <w:tc>
          <w:tcPr>
            <w:tcW w:w="1754" w:type="dxa"/>
            <w:vAlign w:val="center"/>
          </w:tcPr>
          <w:p w14:paraId="64F76DEB"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无烟环境创建行动</w:t>
            </w:r>
          </w:p>
        </w:tc>
        <w:tc>
          <w:tcPr>
            <w:tcW w:w="7665" w:type="dxa"/>
            <w:vAlign w:val="center"/>
          </w:tcPr>
          <w:p w14:paraId="0340B1C8"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加大无烟环境创建力度，推进室内公共场所全面禁烟。倡导个人戒烟，营造无烟家庭。开展无烟党政机关创建，到</w:t>
            </w:r>
            <w:r>
              <w:rPr>
                <w:rFonts w:ascii="Times New Roman" w:eastAsia="方正仿宋_GBK" w:hAnsi="Times New Roman" w:cs="Times New Roman"/>
                <w:b w:val="0"/>
                <w:bCs w:val="0"/>
                <w:sz w:val="24"/>
              </w:rPr>
              <w:t>2022</w:t>
            </w:r>
            <w:r>
              <w:rPr>
                <w:rFonts w:ascii="Times New Roman" w:eastAsia="方正仿宋_GBK" w:hAnsi="Times New Roman" w:cs="Times New Roman"/>
                <w:b w:val="0"/>
                <w:bCs w:val="0"/>
                <w:sz w:val="24"/>
              </w:rPr>
              <w:t>年全区党政机关建设成为无烟机关。</w:t>
            </w:r>
          </w:p>
        </w:tc>
        <w:tc>
          <w:tcPr>
            <w:tcW w:w="1695" w:type="dxa"/>
            <w:vAlign w:val="center"/>
          </w:tcPr>
          <w:p w14:paraId="63F0FE3A"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2021-2022</w:t>
            </w:r>
            <w:r>
              <w:rPr>
                <w:rFonts w:ascii="Times New Roman" w:eastAsia="方正仿宋_GBK" w:hAnsi="Times New Roman" w:cs="Times New Roman"/>
                <w:b w:val="0"/>
                <w:bCs w:val="0"/>
                <w:sz w:val="24"/>
              </w:rPr>
              <w:t>年</w:t>
            </w:r>
          </w:p>
        </w:tc>
      </w:tr>
      <w:tr w:rsidR="002D0D6D" w14:paraId="2F62463F" w14:textId="77777777">
        <w:trPr>
          <w:trHeight w:val="1540"/>
        </w:trPr>
        <w:tc>
          <w:tcPr>
            <w:tcW w:w="711" w:type="dxa"/>
            <w:vMerge/>
            <w:vAlign w:val="center"/>
          </w:tcPr>
          <w:p w14:paraId="0B087A24"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5F426F59" w14:textId="77777777" w:rsidR="002D0D6D" w:rsidRDefault="002D0D6D">
            <w:pPr>
              <w:pStyle w:val="af"/>
              <w:spacing w:before="0" w:after="0" w:line="0" w:lineRule="atLeast"/>
              <w:jc w:val="left"/>
              <w:rPr>
                <w:rFonts w:ascii="Times New Roman" w:eastAsia="方正仿宋_GBK" w:hAnsi="Times New Roman" w:cs="Times New Roman"/>
                <w:b w:val="0"/>
                <w:bCs w:val="0"/>
                <w:sz w:val="24"/>
              </w:rPr>
            </w:pPr>
          </w:p>
        </w:tc>
        <w:tc>
          <w:tcPr>
            <w:tcW w:w="1754" w:type="dxa"/>
            <w:vAlign w:val="center"/>
          </w:tcPr>
          <w:p w14:paraId="12B692FC"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pacing w:val="-23"/>
                <w:sz w:val="24"/>
              </w:rPr>
              <w:t>深化职业病防治</w:t>
            </w:r>
          </w:p>
        </w:tc>
        <w:tc>
          <w:tcPr>
            <w:tcW w:w="7665" w:type="dxa"/>
            <w:vAlign w:val="center"/>
          </w:tcPr>
          <w:p w14:paraId="0131855F"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完善技术支撑，加强监管体系建设加强以市、区两级疾控中心及其他职业健康技术机构为技术支撑的防治体系建设，发挥各技术机构在职业健康检查、职业健康风险评估方面的作用。建设以公立医疗机构为主体的职业健康检查和诊断救治机构。加强职业健康监督执法力量，加强队伍建设，完善装备配置，加大监管力度。</w:t>
            </w:r>
          </w:p>
        </w:tc>
        <w:tc>
          <w:tcPr>
            <w:tcW w:w="1695" w:type="dxa"/>
            <w:vAlign w:val="center"/>
          </w:tcPr>
          <w:p w14:paraId="63D64D59"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r w:rsidR="002D0D6D" w14:paraId="524A0628" w14:textId="77777777">
        <w:trPr>
          <w:trHeight w:val="990"/>
        </w:trPr>
        <w:tc>
          <w:tcPr>
            <w:tcW w:w="711" w:type="dxa"/>
            <w:vMerge/>
            <w:vAlign w:val="center"/>
          </w:tcPr>
          <w:p w14:paraId="682DA7F1" w14:textId="77777777" w:rsidR="002D0D6D" w:rsidRDefault="002D0D6D">
            <w:pPr>
              <w:widowControl/>
              <w:spacing w:line="0" w:lineRule="atLeast"/>
              <w:jc w:val="center"/>
              <w:textAlignment w:val="center"/>
              <w:rPr>
                <w:rFonts w:ascii="Times New Roman" w:eastAsia="方正仿宋_GBK" w:hAnsi="Times New Roman" w:cs="Times New Roman"/>
                <w:sz w:val="24"/>
              </w:rPr>
            </w:pPr>
          </w:p>
        </w:tc>
        <w:tc>
          <w:tcPr>
            <w:tcW w:w="2255" w:type="dxa"/>
            <w:vMerge/>
            <w:vAlign w:val="center"/>
          </w:tcPr>
          <w:p w14:paraId="3A90A636" w14:textId="77777777" w:rsidR="002D0D6D" w:rsidRDefault="002D0D6D">
            <w:pPr>
              <w:pStyle w:val="af"/>
              <w:spacing w:before="0" w:after="0" w:line="0" w:lineRule="atLeast"/>
              <w:rPr>
                <w:rFonts w:ascii="Times New Roman" w:eastAsia="方正仿宋_GBK" w:hAnsi="Times New Roman" w:cs="Times New Roman"/>
                <w:b w:val="0"/>
                <w:bCs w:val="0"/>
                <w:sz w:val="24"/>
              </w:rPr>
            </w:pPr>
          </w:p>
        </w:tc>
        <w:tc>
          <w:tcPr>
            <w:tcW w:w="1754" w:type="dxa"/>
            <w:vAlign w:val="center"/>
          </w:tcPr>
          <w:p w14:paraId="5A454167"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关爱扶助计划生育特殊家庭</w:t>
            </w:r>
          </w:p>
        </w:tc>
        <w:tc>
          <w:tcPr>
            <w:tcW w:w="7665" w:type="dxa"/>
            <w:vAlign w:val="center"/>
          </w:tcPr>
          <w:p w14:paraId="2DEAF9D1" w14:textId="77777777" w:rsidR="002D0D6D" w:rsidRDefault="00000000">
            <w:pPr>
              <w:pStyle w:val="af"/>
              <w:spacing w:before="0" w:after="0" w:line="0" w:lineRule="atLeast"/>
              <w:jc w:val="both"/>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以</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暖心行动</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为抓手，以落实特殊家庭联系人制度、家庭医生签约服务、优先便利医疗服务</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三个全覆盖</w:t>
            </w:r>
            <w:r>
              <w:rPr>
                <w:rFonts w:ascii="Times New Roman" w:eastAsia="方正仿宋_GBK" w:hAnsi="Times New Roman" w:cs="Times New Roman"/>
                <w:b w:val="0"/>
                <w:bCs w:val="0"/>
                <w:sz w:val="24"/>
              </w:rPr>
              <w:t>”</w:t>
            </w:r>
            <w:r>
              <w:rPr>
                <w:rFonts w:ascii="Times New Roman" w:eastAsia="方正仿宋_GBK" w:hAnsi="Times New Roman" w:cs="Times New Roman"/>
                <w:b w:val="0"/>
                <w:bCs w:val="0"/>
                <w:sz w:val="24"/>
              </w:rPr>
              <w:t>为重点，提高扶助关怀工作质量，实现</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落实双岗联系人，</w:t>
            </w:r>
            <w:r>
              <w:rPr>
                <w:rFonts w:ascii="Times New Roman" w:eastAsia="方正仿宋_GBK" w:hAnsi="Times New Roman" w:cs="Times New Roman"/>
                <w:b w:val="0"/>
                <w:bCs w:val="0"/>
                <w:sz w:val="24"/>
              </w:rPr>
              <w:t>100%</w:t>
            </w:r>
            <w:r>
              <w:rPr>
                <w:rFonts w:ascii="Times New Roman" w:eastAsia="方正仿宋_GBK" w:hAnsi="Times New Roman" w:cs="Times New Roman"/>
                <w:b w:val="0"/>
                <w:bCs w:val="0"/>
                <w:sz w:val="24"/>
              </w:rPr>
              <w:t>享受优先便利医疗服务，家庭医生应签尽签，为计划生育特殊家庭提供日常关怀和心理支持服务。</w:t>
            </w:r>
          </w:p>
        </w:tc>
        <w:tc>
          <w:tcPr>
            <w:tcW w:w="1695" w:type="dxa"/>
            <w:vAlign w:val="center"/>
          </w:tcPr>
          <w:p w14:paraId="2A7E81E5" w14:textId="77777777" w:rsidR="002D0D6D" w:rsidRDefault="00000000">
            <w:pPr>
              <w:pStyle w:val="af"/>
              <w:spacing w:before="0" w:after="0" w:line="0" w:lineRule="atLeast"/>
              <w:rPr>
                <w:rFonts w:ascii="Times New Roman" w:eastAsia="方正仿宋_GBK" w:hAnsi="Times New Roman" w:cs="Times New Roman"/>
                <w:b w:val="0"/>
                <w:bCs w:val="0"/>
                <w:sz w:val="24"/>
              </w:rPr>
            </w:pPr>
            <w:r>
              <w:rPr>
                <w:rFonts w:ascii="Times New Roman" w:eastAsia="方正仿宋_GBK" w:hAnsi="Times New Roman" w:cs="Times New Roman"/>
                <w:b w:val="0"/>
                <w:bCs w:val="0"/>
                <w:sz w:val="24"/>
              </w:rPr>
              <w:t>2021-2025</w:t>
            </w:r>
            <w:r>
              <w:rPr>
                <w:rFonts w:ascii="Times New Roman" w:eastAsia="方正仿宋_GBK" w:hAnsi="Times New Roman" w:cs="Times New Roman"/>
                <w:b w:val="0"/>
                <w:bCs w:val="0"/>
                <w:sz w:val="24"/>
              </w:rPr>
              <w:t>年</w:t>
            </w:r>
          </w:p>
        </w:tc>
      </w:tr>
    </w:tbl>
    <w:p w14:paraId="7CDB0FCF" w14:textId="77777777" w:rsidR="002D0D6D" w:rsidRDefault="002D0D6D">
      <w:pPr>
        <w:spacing w:line="600" w:lineRule="exact"/>
        <w:rPr>
          <w:rFonts w:ascii="Times New Roman" w:eastAsia="方正仿宋_GBK" w:hAnsi="Times New Roman" w:cs="Times New Roman"/>
          <w:szCs w:val="21"/>
        </w:rPr>
      </w:pPr>
    </w:p>
    <w:p w14:paraId="7AFA6BE3" w14:textId="77777777" w:rsidR="002D0D6D" w:rsidRDefault="002D0D6D">
      <w:pPr>
        <w:pStyle w:val="a0"/>
        <w:ind w:left="2250" w:hanging="1200"/>
        <w:sectPr w:rsidR="002D0D6D">
          <w:footerReference w:type="default" r:id="rId18"/>
          <w:pgSz w:w="16838" w:h="11906" w:orient="landscape"/>
          <w:pgMar w:top="1417" w:right="1417" w:bottom="1417" w:left="1417" w:header="850" w:footer="992" w:gutter="0"/>
          <w:cols w:space="0"/>
          <w:docGrid w:type="lines" w:linePitch="312"/>
        </w:sectPr>
      </w:pPr>
    </w:p>
    <w:p w14:paraId="7409CEAF" w14:textId="77777777" w:rsidR="002D0D6D" w:rsidRDefault="002D0D6D">
      <w:pPr>
        <w:pStyle w:val="a4"/>
        <w:spacing w:after="0" w:line="620" w:lineRule="exact"/>
      </w:pPr>
    </w:p>
    <w:p w14:paraId="374B0D14" w14:textId="77777777" w:rsidR="002D0D6D" w:rsidRDefault="002D0D6D">
      <w:pPr>
        <w:spacing w:line="620" w:lineRule="exact"/>
      </w:pPr>
    </w:p>
    <w:p w14:paraId="55419BB2" w14:textId="77777777" w:rsidR="002D0D6D" w:rsidRDefault="002D0D6D">
      <w:pPr>
        <w:pStyle w:val="a4"/>
        <w:spacing w:after="0" w:line="620" w:lineRule="exact"/>
      </w:pPr>
    </w:p>
    <w:p w14:paraId="50FED6ED" w14:textId="77777777" w:rsidR="002D0D6D" w:rsidRDefault="002D0D6D">
      <w:pPr>
        <w:pStyle w:val="a4"/>
        <w:spacing w:after="0" w:line="620" w:lineRule="exact"/>
      </w:pPr>
    </w:p>
    <w:p w14:paraId="5B882514" w14:textId="77777777" w:rsidR="002D0D6D" w:rsidRDefault="002D0D6D">
      <w:pPr>
        <w:spacing w:line="620" w:lineRule="exact"/>
      </w:pPr>
    </w:p>
    <w:p w14:paraId="11034816" w14:textId="77777777" w:rsidR="002D0D6D" w:rsidRDefault="002D0D6D">
      <w:pPr>
        <w:pStyle w:val="a4"/>
        <w:spacing w:after="0" w:line="620" w:lineRule="exact"/>
      </w:pPr>
    </w:p>
    <w:p w14:paraId="45F122F9" w14:textId="77777777" w:rsidR="002D0D6D" w:rsidRDefault="002D0D6D">
      <w:pPr>
        <w:spacing w:line="620" w:lineRule="exact"/>
      </w:pPr>
    </w:p>
    <w:p w14:paraId="4ED78006" w14:textId="77777777" w:rsidR="002D0D6D" w:rsidRDefault="002D0D6D">
      <w:pPr>
        <w:pStyle w:val="a4"/>
        <w:spacing w:after="0" w:line="620" w:lineRule="exact"/>
      </w:pPr>
    </w:p>
    <w:p w14:paraId="3C5750A7" w14:textId="77777777" w:rsidR="002D0D6D" w:rsidRDefault="002D0D6D">
      <w:pPr>
        <w:spacing w:line="620" w:lineRule="exact"/>
      </w:pPr>
    </w:p>
    <w:p w14:paraId="7CBDF4C6" w14:textId="77777777" w:rsidR="002D0D6D" w:rsidRDefault="002D0D6D">
      <w:pPr>
        <w:pStyle w:val="a4"/>
        <w:spacing w:after="0" w:line="620" w:lineRule="exact"/>
      </w:pPr>
    </w:p>
    <w:p w14:paraId="1E645587" w14:textId="77777777" w:rsidR="002D0D6D" w:rsidRDefault="002D0D6D">
      <w:pPr>
        <w:spacing w:line="620" w:lineRule="exact"/>
      </w:pPr>
    </w:p>
    <w:p w14:paraId="0A31F0CA" w14:textId="77777777" w:rsidR="002D0D6D" w:rsidRDefault="002D0D6D">
      <w:pPr>
        <w:pStyle w:val="a4"/>
        <w:spacing w:after="0" w:line="620" w:lineRule="exact"/>
      </w:pPr>
    </w:p>
    <w:p w14:paraId="38EF3991" w14:textId="77777777" w:rsidR="002D0D6D" w:rsidRDefault="002D0D6D">
      <w:pPr>
        <w:pStyle w:val="a4"/>
        <w:spacing w:after="0" w:line="620" w:lineRule="exact"/>
      </w:pPr>
    </w:p>
    <w:p w14:paraId="4C8054C1" w14:textId="77777777" w:rsidR="002D0D6D" w:rsidRDefault="002D0D6D">
      <w:pPr>
        <w:spacing w:line="620" w:lineRule="exact"/>
      </w:pPr>
    </w:p>
    <w:p w14:paraId="72404B39" w14:textId="77777777" w:rsidR="002D0D6D" w:rsidRDefault="002D0D6D">
      <w:pPr>
        <w:pStyle w:val="a4"/>
        <w:spacing w:after="0" w:line="620" w:lineRule="exact"/>
      </w:pPr>
    </w:p>
    <w:p w14:paraId="2792C51E" w14:textId="77777777" w:rsidR="002D0D6D" w:rsidRDefault="002D0D6D">
      <w:pPr>
        <w:spacing w:line="620" w:lineRule="exact"/>
      </w:pPr>
    </w:p>
    <w:p w14:paraId="44A0C9AB" w14:textId="77777777" w:rsidR="002D0D6D" w:rsidRDefault="002D0D6D">
      <w:pPr>
        <w:pStyle w:val="a4"/>
        <w:spacing w:after="0" w:line="620" w:lineRule="exact"/>
      </w:pPr>
    </w:p>
    <w:p w14:paraId="676580AE" w14:textId="77777777" w:rsidR="002D0D6D" w:rsidRDefault="002D0D6D">
      <w:pPr>
        <w:spacing w:line="620" w:lineRule="exact"/>
      </w:pPr>
    </w:p>
    <w:p w14:paraId="3C069211" w14:textId="77777777" w:rsidR="002D0D6D" w:rsidRDefault="002D0D6D">
      <w:pPr>
        <w:pStyle w:val="a4"/>
        <w:spacing w:after="0" w:line="620" w:lineRule="exact"/>
      </w:pPr>
    </w:p>
    <w:p w14:paraId="631E5D81" w14:textId="77777777" w:rsidR="002D0D6D" w:rsidRDefault="002D0D6D">
      <w:pPr>
        <w:spacing w:line="620" w:lineRule="exact"/>
      </w:pPr>
    </w:p>
    <w:p w14:paraId="1EF61B12" w14:textId="77777777" w:rsidR="002D0D6D" w:rsidRDefault="002D0D6D">
      <w:pPr>
        <w:pStyle w:val="a4"/>
        <w:spacing w:after="0" w:line="620" w:lineRule="exact"/>
      </w:pPr>
    </w:p>
    <w:p w14:paraId="62794905" w14:textId="77777777" w:rsidR="002D0D6D" w:rsidRDefault="002D0D6D">
      <w:pPr>
        <w:pStyle w:val="a4"/>
        <w:spacing w:after="0" w:line="620" w:lineRule="exact"/>
      </w:pPr>
    </w:p>
    <w:p w14:paraId="61F32998" w14:textId="77777777" w:rsidR="002D0D6D" w:rsidRDefault="002D0D6D">
      <w:pPr>
        <w:spacing w:line="640" w:lineRule="exact"/>
        <w:sectPr w:rsidR="002D0D6D">
          <w:pgSz w:w="11906" w:h="16838"/>
          <w:pgMar w:top="1417" w:right="1587" w:bottom="1417" w:left="1587" w:header="850" w:footer="992" w:gutter="0"/>
          <w:cols w:space="0"/>
          <w:docGrid w:type="lines" w:linePitch="312"/>
        </w:sectPr>
      </w:pPr>
    </w:p>
    <w:p w14:paraId="488F91D2" w14:textId="77777777" w:rsidR="002D0D6D" w:rsidRDefault="002D0D6D">
      <w:pPr>
        <w:pStyle w:val="a4"/>
        <w:spacing w:after="0" w:line="640" w:lineRule="exact"/>
      </w:pPr>
    </w:p>
    <w:p w14:paraId="46DA0AD1" w14:textId="77777777" w:rsidR="002D0D6D" w:rsidRDefault="002D0D6D">
      <w:pPr>
        <w:spacing w:line="640" w:lineRule="exact"/>
      </w:pPr>
    </w:p>
    <w:p w14:paraId="35DDD27C" w14:textId="77777777" w:rsidR="002D0D6D" w:rsidRDefault="002D0D6D">
      <w:pPr>
        <w:spacing w:line="640" w:lineRule="exact"/>
      </w:pPr>
    </w:p>
    <w:p w14:paraId="19E0C1BB" w14:textId="77777777" w:rsidR="002D0D6D" w:rsidRDefault="002D0D6D">
      <w:pPr>
        <w:pStyle w:val="a4"/>
        <w:spacing w:after="0" w:line="640" w:lineRule="exact"/>
      </w:pPr>
    </w:p>
    <w:p w14:paraId="5E74DEE0" w14:textId="77777777" w:rsidR="002D0D6D" w:rsidRDefault="002D0D6D">
      <w:pPr>
        <w:spacing w:line="640" w:lineRule="exact"/>
      </w:pPr>
    </w:p>
    <w:p w14:paraId="44971D34" w14:textId="77777777" w:rsidR="002D0D6D" w:rsidRDefault="002D0D6D">
      <w:pPr>
        <w:pStyle w:val="a4"/>
        <w:spacing w:after="0" w:line="640" w:lineRule="exact"/>
      </w:pPr>
    </w:p>
    <w:p w14:paraId="744827F5" w14:textId="77777777" w:rsidR="002D0D6D" w:rsidRDefault="002D0D6D">
      <w:pPr>
        <w:spacing w:line="640" w:lineRule="exact"/>
      </w:pPr>
    </w:p>
    <w:p w14:paraId="0F31DA91" w14:textId="77777777" w:rsidR="002D0D6D" w:rsidRDefault="002D0D6D">
      <w:pPr>
        <w:pStyle w:val="a4"/>
        <w:spacing w:after="0" w:line="640" w:lineRule="exact"/>
      </w:pPr>
    </w:p>
    <w:p w14:paraId="069AAA32" w14:textId="77777777" w:rsidR="002D0D6D" w:rsidRDefault="002D0D6D">
      <w:pPr>
        <w:pStyle w:val="a4"/>
        <w:spacing w:after="0" w:line="640" w:lineRule="exact"/>
      </w:pPr>
    </w:p>
    <w:p w14:paraId="767FF882" w14:textId="77777777" w:rsidR="002D0D6D" w:rsidRDefault="002D0D6D">
      <w:pPr>
        <w:spacing w:line="640" w:lineRule="exact"/>
      </w:pPr>
    </w:p>
    <w:p w14:paraId="266D83D8" w14:textId="77777777" w:rsidR="002D0D6D" w:rsidRDefault="002D0D6D">
      <w:pPr>
        <w:pStyle w:val="a4"/>
        <w:spacing w:after="0" w:line="640" w:lineRule="exact"/>
      </w:pPr>
    </w:p>
    <w:p w14:paraId="5267CF9B" w14:textId="77777777" w:rsidR="002D0D6D" w:rsidRDefault="002D0D6D">
      <w:pPr>
        <w:spacing w:line="640" w:lineRule="exact"/>
      </w:pPr>
    </w:p>
    <w:p w14:paraId="73945ADA" w14:textId="77777777" w:rsidR="002D0D6D" w:rsidRDefault="002D0D6D">
      <w:pPr>
        <w:pStyle w:val="a4"/>
        <w:spacing w:after="0" w:line="640" w:lineRule="exact"/>
      </w:pPr>
    </w:p>
    <w:p w14:paraId="1D6E4C77" w14:textId="77777777" w:rsidR="002D0D6D" w:rsidRDefault="002D0D6D">
      <w:pPr>
        <w:spacing w:line="640" w:lineRule="exact"/>
      </w:pPr>
    </w:p>
    <w:p w14:paraId="2B784108" w14:textId="77777777" w:rsidR="002D0D6D" w:rsidRDefault="002D0D6D">
      <w:pPr>
        <w:pStyle w:val="a4"/>
        <w:spacing w:after="0" w:line="640" w:lineRule="exact"/>
      </w:pPr>
    </w:p>
    <w:p w14:paraId="3F63948A" w14:textId="77777777" w:rsidR="002D0D6D" w:rsidRDefault="002D0D6D">
      <w:pPr>
        <w:pStyle w:val="a4"/>
        <w:spacing w:after="0" w:line="640" w:lineRule="exact"/>
      </w:pPr>
    </w:p>
    <w:p w14:paraId="6A465AA8" w14:textId="77777777" w:rsidR="002D0D6D" w:rsidRDefault="002D0D6D">
      <w:pPr>
        <w:spacing w:line="640" w:lineRule="exact"/>
      </w:pPr>
    </w:p>
    <w:p w14:paraId="2810C7C8" w14:textId="77777777" w:rsidR="002D0D6D" w:rsidRDefault="002D0D6D">
      <w:pPr>
        <w:pStyle w:val="a4"/>
        <w:spacing w:after="0" w:line="640" w:lineRule="exact"/>
      </w:pPr>
    </w:p>
    <w:p w14:paraId="26CD1AF3" w14:textId="77777777" w:rsidR="002D0D6D" w:rsidRDefault="002D0D6D">
      <w:pPr>
        <w:spacing w:line="620" w:lineRule="exact"/>
      </w:pPr>
    </w:p>
    <w:p w14:paraId="258FA735" w14:textId="77777777" w:rsidR="002D0D6D" w:rsidRDefault="002D0D6D">
      <w:pPr>
        <w:pStyle w:val="a4"/>
        <w:spacing w:after="0" w:line="620" w:lineRule="exact"/>
      </w:pPr>
    </w:p>
    <w:p w14:paraId="130E684F" w14:textId="77777777" w:rsidR="002D0D6D" w:rsidRDefault="002D0D6D">
      <w:pPr>
        <w:spacing w:line="620" w:lineRule="exact"/>
      </w:pPr>
    </w:p>
    <w:p w14:paraId="2AC46030" w14:textId="77777777" w:rsidR="002D0D6D" w:rsidRDefault="00000000">
      <w:pPr>
        <w:pBdr>
          <w:top w:val="single" w:sz="4" w:space="1" w:color="auto"/>
          <w:bottom w:val="single" w:sz="4" w:space="5" w:color="auto"/>
          <w:between w:val="single" w:sz="4" w:space="1" w:color="auto"/>
        </w:pBdr>
        <w:adjustRightInd w:val="0"/>
        <w:snapToGrid w:val="0"/>
        <w:spacing w:line="440" w:lineRule="exact"/>
        <w:rPr>
          <w:rFonts w:ascii="Times New Roman" w:hAnsi="Times New Roman" w:cs="Times New Roman"/>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重庆市渝中区人民政府办公室</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eastAsia="方正仿宋_GBK" w:hAnsi="Times New Roman" w:cs="Times New Roman"/>
          <w:color w:val="000000"/>
          <w:sz w:val="28"/>
          <w:szCs w:val="28"/>
        </w:rPr>
        <w:t xml:space="preserve">  20</w:t>
      </w:r>
      <w:r>
        <w:rPr>
          <w:rFonts w:ascii="Times New Roman" w:hAnsi="Times New Roman" w:cs="Times New Roman"/>
          <w:color w:val="000000"/>
          <w:sz w:val="28"/>
          <w:szCs w:val="28"/>
        </w:rPr>
        <w:t>22</w:t>
      </w:r>
      <w:r>
        <w:rPr>
          <w:rFonts w:ascii="Times New Roman" w:eastAsia="方正仿宋_GBK" w:hAnsi="Times New Roman" w:cs="Times New Roman"/>
          <w:color w:val="000000"/>
          <w:sz w:val="28"/>
          <w:szCs w:val="28"/>
        </w:rPr>
        <w:t>年</w:t>
      </w:r>
      <w:r>
        <w:rPr>
          <w:rFonts w:ascii="Times New Roman" w:hAnsi="Times New Roman" w:cs="Times New Roman" w:hint="eastAsia"/>
          <w:color w:val="000000"/>
          <w:sz w:val="28"/>
          <w:szCs w:val="28"/>
        </w:rPr>
        <w:t>3</w:t>
      </w:r>
      <w:r>
        <w:rPr>
          <w:rFonts w:ascii="Times New Roman" w:eastAsia="方正仿宋_GBK" w:hAnsi="Times New Roman" w:cs="Times New Roman"/>
          <w:color w:val="000000"/>
          <w:sz w:val="28"/>
          <w:szCs w:val="28"/>
        </w:rPr>
        <w:t>月</w:t>
      </w:r>
      <w:r>
        <w:rPr>
          <w:rFonts w:ascii="Times New Roman" w:hAnsi="Times New Roman" w:cs="Times New Roman" w:hint="eastAsia"/>
          <w:color w:val="000000"/>
          <w:sz w:val="28"/>
          <w:szCs w:val="28"/>
        </w:rPr>
        <w:t>30</w:t>
      </w:r>
      <w:r>
        <w:rPr>
          <w:rFonts w:ascii="Times New Roman" w:eastAsia="方正仿宋_GBK" w:hAnsi="Times New Roman" w:cs="Times New Roman"/>
          <w:color w:val="000000"/>
          <w:sz w:val="28"/>
          <w:szCs w:val="28"/>
        </w:rPr>
        <w:t>日印发</w:t>
      </w:r>
    </w:p>
    <w:sectPr w:rsidR="002D0D6D">
      <w:footerReference w:type="even" r:id="rId19"/>
      <w:footerReference w:type="default" r:id="rId20"/>
      <w:pgSz w:w="11906" w:h="16838"/>
      <w:pgMar w:top="1417" w:right="1587" w:bottom="1417" w:left="1587" w:header="850"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CACF7" w14:textId="77777777" w:rsidR="004F3095" w:rsidRDefault="004F3095">
      <w:r>
        <w:separator/>
      </w:r>
    </w:p>
  </w:endnote>
  <w:endnote w:type="continuationSeparator" w:id="0">
    <w:p w14:paraId="2E8AB907" w14:textId="77777777" w:rsidR="004F3095" w:rsidRDefault="004F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A00002BF" w:usb1="38CF7CFA" w:usb2="00082016" w:usb3="00000000" w:csb0="00040001"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0A9A0" w14:textId="77777777" w:rsidR="002D0D6D" w:rsidRDefault="00000000">
    <w:pPr>
      <w:pStyle w:val="aa"/>
    </w:pPr>
    <w:r>
      <w:rPr>
        <w:noProof/>
      </w:rPr>
      <mc:AlternateContent>
        <mc:Choice Requires="wps">
          <w:drawing>
            <wp:anchor distT="0" distB="0" distL="114300" distR="114300" simplePos="0" relativeHeight="251661312" behindDoc="0" locked="0" layoutInCell="1" allowOverlap="1" wp14:anchorId="137ED236" wp14:editId="03531878">
              <wp:simplePos x="0" y="0"/>
              <wp:positionH relativeFrom="margin">
                <wp:posOffset>0</wp:posOffset>
              </wp:positionH>
              <wp:positionV relativeFrom="paragraph">
                <wp:posOffset>-133350</wp:posOffset>
              </wp:positionV>
              <wp:extent cx="1196975"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9697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C0C89" w14:textId="77777777" w:rsidR="002D0D6D"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37ED236" id="_x0000_t202" coordsize="21600,21600" o:spt="202" path="m,l,21600r21600,l21600,xe">
              <v:stroke joinstyle="miter"/>
              <v:path gradientshapeok="t" o:connecttype="rect"/>
            </v:shapetype>
            <v:shape id="文本框 2" o:spid="_x0000_s1026" type="#_x0000_t202" style="position:absolute;margin-left:0;margin-top:-10.5pt;width:94.25pt;height:2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" filled="f" stroked="f" strokeweight=".5pt">
              <v:textbox inset="0,0,0,0">
                <w:txbxContent>
                  <w:p w14:paraId="199C0C89" w14:textId="77777777" w:rsidR="002D0D6D"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C760C" w14:textId="77777777" w:rsidR="002D0D6D" w:rsidRDefault="00000000">
    <w:pPr>
      <w:pStyle w:val="aa"/>
      <w:tabs>
        <w:tab w:val="clear" w:pos="4153"/>
        <w:tab w:val="clear" w:pos="8306"/>
        <w:tab w:val="right" w:pos="8732"/>
      </w:tabs>
    </w:pPr>
    <w:r>
      <w:rPr>
        <w:noProof/>
      </w:rPr>
      <mc:AlternateContent>
        <mc:Choice Requires="wps">
          <w:drawing>
            <wp:anchor distT="0" distB="0" distL="114300" distR="114300" simplePos="0" relativeHeight="251660288" behindDoc="0" locked="0" layoutInCell="1" allowOverlap="1" wp14:anchorId="25DE6593" wp14:editId="5FEB71CC">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34339" w14:textId="77777777" w:rsidR="002D0D6D" w:rsidRDefault="00000000">
                          <w:pPr>
                            <w:pStyle w:val="a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DE6593" id="_x0000_t202" coordsize="21600,21600" o:spt="202" path="m,l,21600r21600,l21600,xe">
              <v:stroke joinstyle="miter"/>
              <v:path gradientshapeok="t" o:connecttype="rect"/>
            </v:shapetype>
            <v:shape id="文本框 1"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8C34339" w14:textId="77777777" w:rsidR="002D0D6D" w:rsidRDefault="00000000">
                    <w:pPr>
                      <w:pStyle w:val="aa"/>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id w:val="5174930"/>
        <w:showingPlcHdr/>
      </w:sdtPr>
      <w:sdtEndPr>
        <w:rPr>
          <w:sz w:val="24"/>
          <w:szCs w:val="24"/>
        </w:r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826F2" w14:textId="77777777" w:rsidR="002D0D6D" w:rsidRDefault="00000000">
    <w:pPr>
      <w:pStyle w:val="aa"/>
    </w:pPr>
    <w:r>
      <w:rPr>
        <w:noProof/>
      </w:rPr>
      <mc:AlternateContent>
        <mc:Choice Requires="wps">
          <w:drawing>
            <wp:anchor distT="0" distB="0" distL="114300" distR="114300" simplePos="0" relativeHeight="251662336" behindDoc="0" locked="0" layoutInCell="1" allowOverlap="1" wp14:anchorId="66799532" wp14:editId="615D8331">
              <wp:simplePos x="0" y="0"/>
              <wp:positionH relativeFrom="margin">
                <wp:posOffset>4365625</wp:posOffset>
              </wp:positionH>
              <wp:positionV relativeFrom="paragraph">
                <wp:posOffset>-123190</wp:posOffset>
              </wp:positionV>
              <wp:extent cx="1179195" cy="2692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7919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CC06C6"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6799532" id="_x0000_t202" coordsize="21600,21600" o:spt="202" path="m,l,21600r21600,l21600,xe">
              <v:stroke joinstyle="miter"/>
              <v:path gradientshapeok="t" o:connecttype="rect"/>
            </v:shapetype>
            <v:shape id="文本框 3" o:spid="_x0000_s1028" type="#_x0000_t202" style="position:absolute;margin-left:343.75pt;margin-top:-9.7pt;width:92.85pt;height:21.2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" filled="f" stroked="f" strokeweight=".5pt">
              <v:textbox inset="0,0,0,0">
                <w:txbxContent>
                  <w:p w14:paraId="38CC06C6"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651DB" w14:textId="77777777" w:rsidR="002D0D6D" w:rsidRDefault="00000000">
    <w:pPr>
      <w:pStyle w:val="aa"/>
    </w:pPr>
    <w:r>
      <w:rPr>
        <w:noProof/>
      </w:rPr>
      <mc:AlternateContent>
        <mc:Choice Requires="wps">
          <w:drawing>
            <wp:anchor distT="0" distB="0" distL="114300" distR="114300" simplePos="0" relativeHeight="251664384" behindDoc="0" locked="0" layoutInCell="1" allowOverlap="1" wp14:anchorId="5B7EDB72" wp14:editId="2CB58CCA">
              <wp:simplePos x="0" y="0"/>
              <wp:positionH relativeFrom="margin">
                <wp:posOffset>0</wp:posOffset>
              </wp:positionH>
              <wp:positionV relativeFrom="paragraph">
                <wp:posOffset>-133350</wp:posOffset>
              </wp:positionV>
              <wp:extent cx="1129030" cy="2794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2903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FEAF21" w14:textId="77777777" w:rsidR="002D0D6D"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B7EDB72" id="_x0000_t202" coordsize="21600,21600" o:spt="202" path="m,l,21600r21600,l21600,xe">
              <v:stroke joinstyle="miter"/>
              <v:path gradientshapeok="t" o:connecttype="rect"/>
            </v:shapetype>
            <v:shape id="文本框 5" o:spid="_x0000_s1029" type="#_x0000_t202" style="position:absolute;margin-left:0;margin-top:-10.5pt;width:88.9pt;height:22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" filled="f" stroked="f" strokeweight=".5pt">
              <v:textbox inset="0,0,0,0">
                <w:txbxContent>
                  <w:p w14:paraId="44FEAF21" w14:textId="77777777" w:rsidR="002D0D6D" w:rsidRDefault="00000000">
                    <w:pPr>
                      <w:pStyle w:val="aa"/>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9DBD" w14:textId="77777777" w:rsidR="002D0D6D" w:rsidRDefault="00000000">
    <w:pPr>
      <w:pStyle w:val="aa"/>
      <w:jc w:val="right"/>
      <w:rPr>
        <w:sz w:val="32"/>
        <w:szCs w:val="32"/>
      </w:rPr>
    </w:pPr>
    <w:r>
      <w:rPr>
        <w:noProof/>
      </w:rPr>
      <mc:AlternateContent>
        <mc:Choice Requires="wps">
          <w:drawing>
            <wp:anchor distT="0" distB="0" distL="114300" distR="114300" simplePos="0" relativeHeight="251663360" behindDoc="0" locked="0" layoutInCell="1" allowOverlap="1" wp14:anchorId="4BE6FC32" wp14:editId="7765E9B2">
              <wp:simplePos x="0" y="0"/>
              <wp:positionH relativeFrom="margin">
                <wp:posOffset>4367530</wp:posOffset>
              </wp:positionH>
              <wp:positionV relativeFrom="paragraph">
                <wp:posOffset>-18415</wp:posOffset>
              </wp:positionV>
              <wp:extent cx="1177290" cy="2781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729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398E8"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4BE6FC32" id="_x0000_t202" coordsize="21600,21600" o:spt="202" path="m,l,21600r21600,l21600,xe">
              <v:stroke joinstyle="miter"/>
              <v:path gradientshapeok="t" o:connecttype="rect"/>
            </v:shapetype>
            <v:shape id="文本框 4" o:spid="_x0000_s1030" type="#_x0000_t202" style="position:absolute;left:0;text-align:left;margin-left:343.9pt;margin-top:-1.45pt;width:92.7pt;height:21.9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" filled="f" stroked="f" strokeweight=".5pt">
              <v:textbox inset="0,0,0,0">
                <w:txbxContent>
                  <w:p w14:paraId="29B398E8"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sdt>
      <w:sdtPr>
        <w:id w:val="-327982814"/>
      </w:sdtPr>
      <w:sdtEndPr>
        <w:rPr>
          <w:sz w:val="32"/>
          <w:szCs w:val="32"/>
        </w:rPr>
      </w:sdtEndP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7C34" w14:textId="77777777" w:rsidR="002D0D6D" w:rsidRDefault="002D0D6D">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0CCB9" w14:textId="77777777" w:rsidR="002D0D6D" w:rsidRDefault="00000000">
    <w:pPr>
      <w:pStyle w:val="aa"/>
      <w:tabs>
        <w:tab w:val="center" w:pos="6605"/>
        <w:tab w:val="left" w:pos="7200"/>
      </w:tabs>
    </w:pPr>
    <w:r>
      <w:rPr>
        <w:noProof/>
      </w:rPr>
      <mc:AlternateContent>
        <mc:Choice Requires="wps">
          <w:drawing>
            <wp:anchor distT="0" distB="0" distL="114300" distR="114300" simplePos="0" relativeHeight="251665408" behindDoc="0" locked="0" layoutInCell="1" allowOverlap="1" wp14:anchorId="1BC34235" wp14:editId="2CCFBE80">
              <wp:simplePos x="0" y="0"/>
              <wp:positionH relativeFrom="margin">
                <wp:posOffset>7656195</wp:posOffset>
              </wp:positionH>
              <wp:positionV relativeFrom="paragraph">
                <wp:posOffset>-133350</wp:posOffset>
              </wp:positionV>
              <wp:extent cx="1236345" cy="279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3634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2A6F6"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BC34235" id="_x0000_t202" coordsize="21600,21600" o:spt="202" path="m,l,21600r21600,l21600,xe">
              <v:stroke joinstyle="miter"/>
              <v:path gradientshapeok="t" o:connecttype="rect"/>
            </v:shapetype>
            <v:shape id="文本框 6" o:spid="_x0000_s1031" type="#_x0000_t202" style="position:absolute;margin-left:602.85pt;margin-top:-10.5pt;width:97.35pt;height:22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" filled="f" stroked="f" strokeweight=".5pt">
              <v:textbox inset="0,0,0,0">
                <w:txbxContent>
                  <w:p w14:paraId="5AD2A6F6" w14:textId="77777777" w:rsidR="002D0D6D" w:rsidRDefault="00000000">
                    <w:pPr>
                      <w:pStyle w:val="aa"/>
                      <w:ind w:firstLineChars="200" w:firstLine="56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59</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BCEE" w14:textId="77777777" w:rsidR="002D0D6D" w:rsidRDefault="002D0D6D">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B342F" w14:textId="77777777" w:rsidR="002D0D6D" w:rsidRDefault="002D0D6D">
    <w:pPr>
      <w:pStyle w:val="aa"/>
      <w:tabs>
        <w:tab w:val="center" w:pos="6605"/>
        <w:tab w:val="left" w:pos="7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A36BA" w14:textId="77777777" w:rsidR="004F3095" w:rsidRDefault="004F3095">
      <w:r>
        <w:separator/>
      </w:r>
    </w:p>
  </w:footnote>
  <w:footnote w:type="continuationSeparator" w:id="0">
    <w:p w14:paraId="449B8131" w14:textId="77777777" w:rsidR="004F3095" w:rsidRDefault="004F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AA418" w14:textId="77777777" w:rsidR="002D0D6D" w:rsidRDefault="002D0D6D">
    <w:pPr>
      <w:pStyle w:val="ac"/>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1482775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16cid:durableId="5828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doNotCompress"/>
  <w:hdrShapeDefaults>
    <o:shapedefaults v:ext="edit" spidmax="2053"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E3NzIyZTdkZTU1NjZlNzAxNTc1YThjYzQwOGQ4MGUifQ=="/>
  </w:docVars>
  <w:rsids>
    <w:rsidRoot w:val="003C2A9D"/>
    <w:rsid w:val="EBFF9D0D"/>
    <w:rsid w:val="000036DE"/>
    <w:rsid w:val="000226DA"/>
    <w:rsid w:val="0002497E"/>
    <w:rsid w:val="000346B7"/>
    <w:rsid w:val="00037BCF"/>
    <w:rsid w:val="000443B7"/>
    <w:rsid w:val="000600B5"/>
    <w:rsid w:val="00070068"/>
    <w:rsid w:val="00070AE7"/>
    <w:rsid w:val="000759EE"/>
    <w:rsid w:val="000A2307"/>
    <w:rsid w:val="000B1196"/>
    <w:rsid w:val="000C700C"/>
    <w:rsid w:val="000D0298"/>
    <w:rsid w:val="000D1968"/>
    <w:rsid w:val="000F67FC"/>
    <w:rsid w:val="00115201"/>
    <w:rsid w:val="00132D6C"/>
    <w:rsid w:val="001452C4"/>
    <w:rsid w:val="00155CBE"/>
    <w:rsid w:val="00171A9F"/>
    <w:rsid w:val="00180972"/>
    <w:rsid w:val="001825B2"/>
    <w:rsid w:val="001C2048"/>
    <w:rsid w:val="001C5EB8"/>
    <w:rsid w:val="001C6805"/>
    <w:rsid w:val="001D4367"/>
    <w:rsid w:val="001E5C85"/>
    <w:rsid w:val="001F3153"/>
    <w:rsid w:val="001F3B4B"/>
    <w:rsid w:val="00205CFD"/>
    <w:rsid w:val="00210021"/>
    <w:rsid w:val="00234440"/>
    <w:rsid w:val="00256F53"/>
    <w:rsid w:val="002611BA"/>
    <w:rsid w:val="00265EF3"/>
    <w:rsid w:val="00270888"/>
    <w:rsid w:val="002725C3"/>
    <w:rsid w:val="00274281"/>
    <w:rsid w:val="002808DD"/>
    <w:rsid w:val="002847B1"/>
    <w:rsid w:val="0028726B"/>
    <w:rsid w:val="00287C15"/>
    <w:rsid w:val="00291204"/>
    <w:rsid w:val="002960B8"/>
    <w:rsid w:val="002A2A70"/>
    <w:rsid w:val="002B048E"/>
    <w:rsid w:val="002D0D6D"/>
    <w:rsid w:val="002E4297"/>
    <w:rsid w:val="002E6A3A"/>
    <w:rsid w:val="0031183B"/>
    <w:rsid w:val="00320528"/>
    <w:rsid w:val="003237BF"/>
    <w:rsid w:val="0032596B"/>
    <w:rsid w:val="0033027B"/>
    <w:rsid w:val="0033310D"/>
    <w:rsid w:val="00333A7F"/>
    <w:rsid w:val="00335132"/>
    <w:rsid w:val="00344DA2"/>
    <w:rsid w:val="00355D35"/>
    <w:rsid w:val="00360BCD"/>
    <w:rsid w:val="00372CE1"/>
    <w:rsid w:val="003744A1"/>
    <w:rsid w:val="00376B3C"/>
    <w:rsid w:val="003A164A"/>
    <w:rsid w:val="003A226D"/>
    <w:rsid w:val="003B7D62"/>
    <w:rsid w:val="003C2A9D"/>
    <w:rsid w:val="003C3FCD"/>
    <w:rsid w:val="003D5A8B"/>
    <w:rsid w:val="003E5EAA"/>
    <w:rsid w:val="003F72DA"/>
    <w:rsid w:val="00415950"/>
    <w:rsid w:val="004171C1"/>
    <w:rsid w:val="00421B2C"/>
    <w:rsid w:val="00446CAF"/>
    <w:rsid w:val="00455BB6"/>
    <w:rsid w:val="00457B25"/>
    <w:rsid w:val="00460E24"/>
    <w:rsid w:val="004658DD"/>
    <w:rsid w:val="00487509"/>
    <w:rsid w:val="004D4454"/>
    <w:rsid w:val="004D582C"/>
    <w:rsid w:val="004E4FF8"/>
    <w:rsid w:val="004E5C83"/>
    <w:rsid w:val="004F3095"/>
    <w:rsid w:val="004F3415"/>
    <w:rsid w:val="00512E12"/>
    <w:rsid w:val="00513DAF"/>
    <w:rsid w:val="00517E32"/>
    <w:rsid w:val="00521716"/>
    <w:rsid w:val="00522552"/>
    <w:rsid w:val="005275AE"/>
    <w:rsid w:val="00530C7D"/>
    <w:rsid w:val="00535ED9"/>
    <w:rsid w:val="00540B88"/>
    <w:rsid w:val="005465E6"/>
    <w:rsid w:val="0055290B"/>
    <w:rsid w:val="0055480B"/>
    <w:rsid w:val="00570102"/>
    <w:rsid w:val="005725F4"/>
    <w:rsid w:val="00576E07"/>
    <w:rsid w:val="00577F2E"/>
    <w:rsid w:val="00583D0A"/>
    <w:rsid w:val="00587FCC"/>
    <w:rsid w:val="00591EBA"/>
    <w:rsid w:val="00596E83"/>
    <w:rsid w:val="005A36F1"/>
    <w:rsid w:val="005A6267"/>
    <w:rsid w:val="005B1011"/>
    <w:rsid w:val="005B16EF"/>
    <w:rsid w:val="005B3C3C"/>
    <w:rsid w:val="005B56F6"/>
    <w:rsid w:val="005B6634"/>
    <w:rsid w:val="005B6C25"/>
    <w:rsid w:val="005B759A"/>
    <w:rsid w:val="005D12BD"/>
    <w:rsid w:val="00616145"/>
    <w:rsid w:val="006203BE"/>
    <w:rsid w:val="006500C4"/>
    <w:rsid w:val="00651B28"/>
    <w:rsid w:val="0065704C"/>
    <w:rsid w:val="00667ADA"/>
    <w:rsid w:val="00670164"/>
    <w:rsid w:val="006A234E"/>
    <w:rsid w:val="006C0C1D"/>
    <w:rsid w:val="006D247E"/>
    <w:rsid w:val="006E13DD"/>
    <w:rsid w:val="006E6624"/>
    <w:rsid w:val="006F4D47"/>
    <w:rsid w:val="00701A77"/>
    <w:rsid w:val="007034AF"/>
    <w:rsid w:val="007172AF"/>
    <w:rsid w:val="00745193"/>
    <w:rsid w:val="007604EB"/>
    <w:rsid w:val="00764002"/>
    <w:rsid w:val="0076554A"/>
    <w:rsid w:val="00771626"/>
    <w:rsid w:val="00796CF3"/>
    <w:rsid w:val="007D2362"/>
    <w:rsid w:val="007E3728"/>
    <w:rsid w:val="007F2CB4"/>
    <w:rsid w:val="007F4F9B"/>
    <w:rsid w:val="008073B5"/>
    <w:rsid w:val="008233A3"/>
    <w:rsid w:val="00827662"/>
    <w:rsid w:val="008377FD"/>
    <w:rsid w:val="008512DD"/>
    <w:rsid w:val="008550A8"/>
    <w:rsid w:val="0086587C"/>
    <w:rsid w:val="008846FC"/>
    <w:rsid w:val="008852D5"/>
    <w:rsid w:val="00893994"/>
    <w:rsid w:val="008A6BC5"/>
    <w:rsid w:val="008B48DF"/>
    <w:rsid w:val="008B50F2"/>
    <w:rsid w:val="008B7A8A"/>
    <w:rsid w:val="008C3A4F"/>
    <w:rsid w:val="008D1E5B"/>
    <w:rsid w:val="008E525A"/>
    <w:rsid w:val="008E53A4"/>
    <w:rsid w:val="008E7E5D"/>
    <w:rsid w:val="008F3E1B"/>
    <w:rsid w:val="00910007"/>
    <w:rsid w:val="00913C4F"/>
    <w:rsid w:val="0093477E"/>
    <w:rsid w:val="00936FBB"/>
    <w:rsid w:val="00955F38"/>
    <w:rsid w:val="00963A8B"/>
    <w:rsid w:val="00964D04"/>
    <w:rsid w:val="0097728F"/>
    <w:rsid w:val="00995CAE"/>
    <w:rsid w:val="009B2022"/>
    <w:rsid w:val="009C3B90"/>
    <w:rsid w:val="009C6171"/>
    <w:rsid w:val="009C6AC4"/>
    <w:rsid w:val="009E4957"/>
    <w:rsid w:val="009E53B5"/>
    <w:rsid w:val="009F30A5"/>
    <w:rsid w:val="009F6B5F"/>
    <w:rsid w:val="00A05FE2"/>
    <w:rsid w:val="00A31559"/>
    <w:rsid w:val="00A33591"/>
    <w:rsid w:val="00A53577"/>
    <w:rsid w:val="00A53966"/>
    <w:rsid w:val="00A876AB"/>
    <w:rsid w:val="00AA26EF"/>
    <w:rsid w:val="00AA43E4"/>
    <w:rsid w:val="00AB5A5E"/>
    <w:rsid w:val="00AC188E"/>
    <w:rsid w:val="00AC19D1"/>
    <w:rsid w:val="00AC347B"/>
    <w:rsid w:val="00AC4012"/>
    <w:rsid w:val="00AC7A8A"/>
    <w:rsid w:val="00AD2C64"/>
    <w:rsid w:val="00AD4913"/>
    <w:rsid w:val="00AD4F56"/>
    <w:rsid w:val="00AD61FB"/>
    <w:rsid w:val="00AD67B3"/>
    <w:rsid w:val="00AE6435"/>
    <w:rsid w:val="00AE6CF0"/>
    <w:rsid w:val="00B1126A"/>
    <w:rsid w:val="00B21D8C"/>
    <w:rsid w:val="00B23851"/>
    <w:rsid w:val="00B30998"/>
    <w:rsid w:val="00B368C3"/>
    <w:rsid w:val="00B41FE7"/>
    <w:rsid w:val="00B45C31"/>
    <w:rsid w:val="00B50C2F"/>
    <w:rsid w:val="00B528AB"/>
    <w:rsid w:val="00B63811"/>
    <w:rsid w:val="00B9118E"/>
    <w:rsid w:val="00B929D3"/>
    <w:rsid w:val="00BB2EE0"/>
    <w:rsid w:val="00BC1860"/>
    <w:rsid w:val="00BC31EC"/>
    <w:rsid w:val="00BD5525"/>
    <w:rsid w:val="00BF5AAB"/>
    <w:rsid w:val="00C1584A"/>
    <w:rsid w:val="00C22B7F"/>
    <w:rsid w:val="00C24403"/>
    <w:rsid w:val="00C25EE7"/>
    <w:rsid w:val="00C300F2"/>
    <w:rsid w:val="00C43D17"/>
    <w:rsid w:val="00C51D5D"/>
    <w:rsid w:val="00C625E1"/>
    <w:rsid w:val="00C6378C"/>
    <w:rsid w:val="00C63BD4"/>
    <w:rsid w:val="00C655FC"/>
    <w:rsid w:val="00C736DF"/>
    <w:rsid w:val="00C771DA"/>
    <w:rsid w:val="00C87253"/>
    <w:rsid w:val="00C91664"/>
    <w:rsid w:val="00CB0ED3"/>
    <w:rsid w:val="00CB1747"/>
    <w:rsid w:val="00CB1B01"/>
    <w:rsid w:val="00CC3996"/>
    <w:rsid w:val="00CC7823"/>
    <w:rsid w:val="00CD337A"/>
    <w:rsid w:val="00CD3AE1"/>
    <w:rsid w:val="00CD6CAB"/>
    <w:rsid w:val="00CD7377"/>
    <w:rsid w:val="00CE5C0F"/>
    <w:rsid w:val="00D05C4A"/>
    <w:rsid w:val="00D07B9D"/>
    <w:rsid w:val="00D1314B"/>
    <w:rsid w:val="00D24FE2"/>
    <w:rsid w:val="00D4138F"/>
    <w:rsid w:val="00D53AAE"/>
    <w:rsid w:val="00D80995"/>
    <w:rsid w:val="00D80B2F"/>
    <w:rsid w:val="00D97C46"/>
    <w:rsid w:val="00D97D84"/>
    <w:rsid w:val="00DA7FE7"/>
    <w:rsid w:val="00DC5A95"/>
    <w:rsid w:val="00DC670C"/>
    <w:rsid w:val="00DD3D96"/>
    <w:rsid w:val="00DE0569"/>
    <w:rsid w:val="00E02F8F"/>
    <w:rsid w:val="00E06E95"/>
    <w:rsid w:val="00E31353"/>
    <w:rsid w:val="00E3140A"/>
    <w:rsid w:val="00E5091E"/>
    <w:rsid w:val="00E565EF"/>
    <w:rsid w:val="00E57408"/>
    <w:rsid w:val="00E6605F"/>
    <w:rsid w:val="00E66FB1"/>
    <w:rsid w:val="00E77EC2"/>
    <w:rsid w:val="00E9412D"/>
    <w:rsid w:val="00EA2BE9"/>
    <w:rsid w:val="00EA788A"/>
    <w:rsid w:val="00EB4D1B"/>
    <w:rsid w:val="00EC1468"/>
    <w:rsid w:val="00EC444B"/>
    <w:rsid w:val="00EC549C"/>
    <w:rsid w:val="00ED0B2B"/>
    <w:rsid w:val="00ED5FB7"/>
    <w:rsid w:val="00ED6476"/>
    <w:rsid w:val="00F101CE"/>
    <w:rsid w:val="00F23FAD"/>
    <w:rsid w:val="00F25C0C"/>
    <w:rsid w:val="00F372BC"/>
    <w:rsid w:val="00F75C3D"/>
    <w:rsid w:val="00F77828"/>
    <w:rsid w:val="00FA621C"/>
    <w:rsid w:val="00FB2ADC"/>
    <w:rsid w:val="00FB3B61"/>
    <w:rsid w:val="00FC1DB7"/>
    <w:rsid w:val="00FD52F4"/>
    <w:rsid w:val="00FE0070"/>
    <w:rsid w:val="00FE4F92"/>
    <w:rsid w:val="00FF283D"/>
    <w:rsid w:val="027F331B"/>
    <w:rsid w:val="03472D64"/>
    <w:rsid w:val="04983E76"/>
    <w:rsid w:val="04A45BD5"/>
    <w:rsid w:val="05D131FB"/>
    <w:rsid w:val="060D6B0C"/>
    <w:rsid w:val="063236B5"/>
    <w:rsid w:val="067830DA"/>
    <w:rsid w:val="06E653B5"/>
    <w:rsid w:val="06E670DA"/>
    <w:rsid w:val="075A152A"/>
    <w:rsid w:val="088A68D9"/>
    <w:rsid w:val="08B86408"/>
    <w:rsid w:val="0912752E"/>
    <w:rsid w:val="09536E5C"/>
    <w:rsid w:val="0A2F2714"/>
    <w:rsid w:val="0A7C15EA"/>
    <w:rsid w:val="0B8726A4"/>
    <w:rsid w:val="0C134C1E"/>
    <w:rsid w:val="0C293A87"/>
    <w:rsid w:val="0D0E5855"/>
    <w:rsid w:val="0D3F37DA"/>
    <w:rsid w:val="0D5B10C9"/>
    <w:rsid w:val="0DC32951"/>
    <w:rsid w:val="0F6110A7"/>
    <w:rsid w:val="0F64775C"/>
    <w:rsid w:val="0FA35535"/>
    <w:rsid w:val="103C1848"/>
    <w:rsid w:val="106A722D"/>
    <w:rsid w:val="11C42733"/>
    <w:rsid w:val="129B27B5"/>
    <w:rsid w:val="14201280"/>
    <w:rsid w:val="14451F9C"/>
    <w:rsid w:val="14691038"/>
    <w:rsid w:val="152B7C22"/>
    <w:rsid w:val="16974334"/>
    <w:rsid w:val="173151C4"/>
    <w:rsid w:val="176829C4"/>
    <w:rsid w:val="17977680"/>
    <w:rsid w:val="18226406"/>
    <w:rsid w:val="18A50AE0"/>
    <w:rsid w:val="18DA20E2"/>
    <w:rsid w:val="19196830"/>
    <w:rsid w:val="1995239C"/>
    <w:rsid w:val="1AED121D"/>
    <w:rsid w:val="1BAA6B87"/>
    <w:rsid w:val="1C1126B4"/>
    <w:rsid w:val="1C371CE1"/>
    <w:rsid w:val="1C7F107A"/>
    <w:rsid w:val="1CBB2639"/>
    <w:rsid w:val="1E4104FD"/>
    <w:rsid w:val="1E642A22"/>
    <w:rsid w:val="1EB67D86"/>
    <w:rsid w:val="1EBB1BB0"/>
    <w:rsid w:val="1F12005C"/>
    <w:rsid w:val="1F170F04"/>
    <w:rsid w:val="20AA0EB5"/>
    <w:rsid w:val="20D11D22"/>
    <w:rsid w:val="21002474"/>
    <w:rsid w:val="21DC7218"/>
    <w:rsid w:val="246B70BD"/>
    <w:rsid w:val="24872A49"/>
    <w:rsid w:val="24BF376E"/>
    <w:rsid w:val="26983414"/>
    <w:rsid w:val="27285CEC"/>
    <w:rsid w:val="273B621C"/>
    <w:rsid w:val="284670EE"/>
    <w:rsid w:val="286054AD"/>
    <w:rsid w:val="2A050E61"/>
    <w:rsid w:val="2A204EB6"/>
    <w:rsid w:val="2A225E2D"/>
    <w:rsid w:val="2A3D4F0A"/>
    <w:rsid w:val="2BDC1CD7"/>
    <w:rsid w:val="2BDD3D50"/>
    <w:rsid w:val="2BE45C28"/>
    <w:rsid w:val="2BE82366"/>
    <w:rsid w:val="2C196337"/>
    <w:rsid w:val="2C295D5F"/>
    <w:rsid w:val="2CF25559"/>
    <w:rsid w:val="2D012B0B"/>
    <w:rsid w:val="2E4D6E8A"/>
    <w:rsid w:val="2E59399B"/>
    <w:rsid w:val="2EC42B36"/>
    <w:rsid w:val="2F38510A"/>
    <w:rsid w:val="2F4C394A"/>
    <w:rsid w:val="2F6A2BAE"/>
    <w:rsid w:val="2F7F1918"/>
    <w:rsid w:val="2FE949BE"/>
    <w:rsid w:val="315C1F0A"/>
    <w:rsid w:val="318B7283"/>
    <w:rsid w:val="33243A2D"/>
    <w:rsid w:val="337B4E35"/>
    <w:rsid w:val="34441F83"/>
    <w:rsid w:val="34495235"/>
    <w:rsid w:val="344F5193"/>
    <w:rsid w:val="34795946"/>
    <w:rsid w:val="35537923"/>
    <w:rsid w:val="35AA1464"/>
    <w:rsid w:val="35CC632F"/>
    <w:rsid w:val="36D4384B"/>
    <w:rsid w:val="37F44A3D"/>
    <w:rsid w:val="39C963D4"/>
    <w:rsid w:val="39DF2CA8"/>
    <w:rsid w:val="39DF2F52"/>
    <w:rsid w:val="3A733920"/>
    <w:rsid w:val="3A94241A"/>
    <w:rsid w:val="3AAC0A84"/>
    <w:rsid w:val="3B8E76D2"/>
    <w:rsid w:val="3D102D0A"/>
    <w:rsid w:val="3D1D7F38"/>
    <w:rsid w:val="3DD00428"/>
    <w:rsid w:val="3E2D1DDB"/>
    <w:rsid w:val="3EA04846"/>
    <w:rsid w:val="3FB377BF"/>
    <w:rsid w:val="408B526A"/>
    <w:rsid w:val="434B7F66"/>
    <w:rsid w:val="43C85E47"/>
    <w:rsid w:val="43D11742"/>
    <w:rsid w:val="44AC21B6"/>
    <w:rsid w:val="44D6550F"/>
    <w:rsid w:val="44E10990"/>
    <w:rsid w:val="44F91414"/>
    <w:rsid w:val="45415026"/>
    <w:rsid w:val="455E619A"/>
    <w:rsid w:val="45B952AF"/>
    <w:rsid w:val="45BE2F2E"/>
    <w:rsid w:val="46337718"/>
    <w:rsid w:val="46654306"/>
    <w:rsid w:val="46DC5254"/>
    <w:rsid w:val="46DE6763"/>
    <w:rsid w:val="46F9090C"/>
    <w:rsid w:val="485B7DCE"/>
    <w:rsid w:val="4A4B4A0E"/>
    <w:rsid w:val="4B612E29"/>
    <w:rsid w:val="4BBD7CEA"/>
    <w:rsid w:val="4CD5406F"/>
    <w:rsid w:val="4CEE7CBE"/>
    <w:rsid w:val="4D134F4A"/>
    <w:rsid w:val="4D8E5C7A"/>
    <w:rsid w:val="4D9E52C6"/>
    <w:rsid w:val="4DBC0187"/>
    <w:rsid w:val="4ED20572"/>
    <w:rsid w:val="4F48302C"/>
    <w:rsid w:val="52B54936"/>
    <w:rsid w:val="52B80126"/>
    <w:rsid w:val="52CA76A1"/>
    <w:rsid w:val="52D40243"/>
    <w:rsid w:val="52E96C91"/>
    <w:rsid w:val="54640996"/>
    <w:rsid w:val="55CD1B7B"/>
    <w:rsid w:val="571D7523"/>
    <w:rsid w:val="57996DA1"/>
    <w:rsid w:val="57C7423D"/>
    <w:rsid w:val="57FE7CAF"/>
    <w:rsid w:val="583927DE"/>
    <w:rsid w:val="58CB604D"/>
    <w:rsid w:val="5A0B73CA"/>
    <w:rsid w:val="5A842969"/>
    <w:rsid w:val="5ABD56F3"/>
    <w:rsid w:val="5B0745CB"/>
    <w:rsid w:val="5B1069D8"/>
    <w:rsid w:val="5B6D1E82"/>
    <w:rsid w:val="5B7E70ED"/>
    <w:rsid w:val="5CAD799A"/>
    <w:rsid w:val="5D055A72"/>
    <w:rsid w:val="5D874D43"/>
    <w:rsid w:val="5E886CE6"/>
    <w:rsid w:val="5F167621"/>
    <w:rsid w:val="60267FC5"/>
    <w:rsid w:val="60291E8C"/>
    <w:rsid w:val="611A1BCE"/>
    <w:rsid w:val="62313F41"/>
    <w:rsid w:val="62407335"/>
    <w:rsid w:val="63397EC3"/>
    <w:rsid w:val="634244EB"/>
    <w:rsid w:val="63977475"/>
    <w:rsid w:val="63A55BC9"/>
    <w:rsid w:val="64744734"/>
    <w:rsid w:val="66A6332B"/>
    <w:rsid w:val="66B35719"/>
    <w:rsid w:val="67367E59"/>
    <w:rsid w:val="67D02DB2"/>
    <w:rsid w:val="68881FFE"/>
    <w:rsid w:val="696D7F17"/>
    <w:rsid w:val="697672E0"/>
    <w:rsid w:val="699A7CFC"/>
    <w:rsid w:val="6A4D1F4E"/>
    <w:rsid w:val="6BE12525"/>
    <w:rsid w:val="6CC43662"/>
    <w:rsid w:val="6CF53795"/>
    <w:rsid w:val="6D503A3A"/>
    <w:rsid w:val="6E1C7E51"/>
    <w:rsid w:val="6E7C540A"/>
    <w:rsid w:val="6F622C52"/>
    <w:rsid w:val="6FCC220E"/>
    <w:rsid w:val="70D3260D"/>
    <w:rsid w:val="715D1B38"/>
    <w:rsid w:val="719F47F8"/>
    <w:rsid w:val="72510954"/>
    <w:rsid w:val="72842E01"/>
    <w:rsid w:val="72A663F2"/>
    <w:rsid w:val="73D441EC"/>
    <w:rsid w:val="74196264"/>
    <w:rsid w:val="74FE1B09"/>
    <w:rsid w:val="759850D7"/>
    <w:rsid w:val="769351C9"/>
    <w:rsid w:val="76BD0860"/>
    <w:rsid w:val="76DF186E"/>
    <w:rsid w:val="772E3A50"/>
    <w:rsid w:val="77555A68"/>
    <w:rsid w:val="777A5627"/>
    <w:rsid w:val="78680C9D"/>
    <w:rsid w:val="78702462"/>
    <w:rsid w:val="79AB73A6"/>
    <w:rsid w:val="79D460FC"/>
    <w:rsid w:val="79F91BF5"/>
    <w:rsid w:val="7A126478"/>
    <w:rsid w:val="7A2233BE"/>
    <w:rsid w:val="7A5F61DD"/>
    <w:rsid w:val="7A824E90"/>
    <w:rsid w:val="7B064D5D"/>
    <w:rsid w:val="7E122EC9"/>
    <w:rsid w:val="7EC84504"/>
    <w:rsid w:val="7F7BFF70"/>
    <w:rsid w:val="7FEA0E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fillcolor="white">
      <v:fill color="white"/>
    </o:shapedefaults>
    <o:shapelayout v:ext="edit">
      <o:idmap v:ext="edit" data="2"/>
    </o:shapelayout>
  </w:shapeDefaults>
  <w:decimalSymbol w:val="."/>
  <w:listSeparator w:val=","/>
  <w14:docId w14:val="7C60F7F4"/>
  <w15:docId w15:val="{3503844D-6BF1-4C98-A6EE-7AA44810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pPr>
      <w:keepNext/>
      <w:keepLines/>
      <w:widowControl/>
      <w:numPr>
        <w:numId w:val="1"/>
      </w:numPr>
      <w:spacing w:line="360" w:lineRule="auto"/>
      <w:ind w:firstLine="0"/>
      <w:jc w:val="left"/>
      <w:outlineLvl w:val="0"/>
    </w:pPr>
    <w:rPr>
      <w:rFonts w:ascii="黑体" w:eastAsia="黑体" w:hAnsi="黑体" w:cs="Times New Roman"/>
      <w:b/>
      <w:bCs/>
      <w:smallCaps/>
      <w:color w:val="000000"/>
      <w:sz w:val="32"/>
      <w:szCs w:val="32"/>
      <w:lang w:val="zh-CN"/>
    </w:rPr>
  </w:style>
  <w:style w:type="paragraph" w:styleId="2">
    <w:name w:val="heading 2"/>
    <w:next w:val="a"/>
    <w:link w:val="20"/>
    <w:uiPriority w:val="9"/>
    <w:unhideWhenUsed/>
    <w:qFormat/>
    <w:pPr>
      <w:keepNext/>
      <w:keepLines/>
      <w:numPr>
        <w:ilvl w:val="1"/>
        <w:numId w:val="1"/>
      </w:numPr>
      <w:spacing w:before="360" w:after="160" w:line="259" w:lineRule="auto"/>
      <w:outlineLvl w:val="1"/>
    </w:pPr>
    <w:rPr>
      <w:rFonts w:ascii="楷体_GB2312" w:eastAsia="楷体_GB2312" w:hAnsi="Cambria"/>
      <w:b/>
      <w:bCs/>
      <w:smallCaps/>
      <w:color w:val="000000"/>
      <w:sz w:val="30"/>
      <w:szCs w:val="30"/>
    </w:rPr>
  </w:style>
  <w:style w:type="paragraph" w:styleId="3">
    <w:name w:val="heading 3"/>
    <w:basedOn w:val="a"/>
    <w:next w:val="a"/>
    <w:link w:val="31"/>
    <w:uiPriority w:val="9"/>
    <w:unhideWhenUsed/>
    <w:qFormat/>
    <w:pPr>
      <w:keepNext/>
      <w:keepLines/>
      <w:widowControl/>
      <w:numPr>
        <w:ilvl w:val="2"/>
        <w:numId w:val="1"/>
      </w:numPr>
      <w:spacing w:before="200" w:line="360" w:lineRule="auto"/>
      <w:jc w:val="left"/>
      <w:outlineLvl w:val="2"/>
    </w:pPr>
    <w:rPr>
      <w:rFonts w:ascii="Times New Roman" w:eastAsia="仿宋_GB2312" w:hAnsi="Times New Roman" w:cs="Times New Roman"/>
      <w:b/>
      <w:bCs/>
      <w:color w:val="000000"/>
      <w:sz w:val="28"/>
      <w:lang w:val="zh-CN"/>
    </w:rPr>
  </w:style>
  <w:style w:type="paragraph" w:styleId="4">
    <w:name w:val="heading 4"/>
    <w:basedOn w:val="a"/>
    <w:next w:val="a"/>
    <w:link w:val="40"/>
    <w:uiPriority w:val="9"/>
    <w:unhideWhenUsed/>
    <w:qFormat/>
    <w:pPr>
      <w:keepNext/>
      <w:keepLines/>
      <w:widowControl/>
      <w:numPr>
        <w:ilvl w:val="3"/>
        <w:numId w:val="1"/>
      </w:numPr>
      <w:spacing w:before="200" w:line="360" w:lineRule="auto"/>
      <w:ind w:firstLine="0"/>
      <w:jc w:val="left"/>
      <w:outlineLvl w:val="3"/>
    </w:pPr>
    <w:rPr>
      <w:rFonts w:ascii="Cambria" w:eastAsia="宋体" w:hAnsi="Cambria" w:cs="Times New Roman"/>
      <w:b/>
      <w:bCs/>
      <w:i/>
      <w:iCs/>
      <w:color w:val="000000"/>
      <w:sz w:val="22"/>
      <w:lang w:val="zh-CN"/>
    </w:rPr>
  </w:style>
  <w:style w:type="paragraph" w:styleId="5">
    <w:name w:val="heading 5"/>
    <w:basedOn w:val="a"/>
    <w:next w:val="a"/>
    <w:link w:val="50"/>
    <w:uiPriority w:val="9"/>
    <w:unhideWhenUsed/>
    <w:qFormat/>
    <w:pPr>
      <w:keepNext/>
      <w:keepLines/>
      <w:widowControl/>
      <w:numPr>
        <w:ilvl w:val="4"/>
        <w:numId w:val="1"/>
      </w:numPr>
      <w:spacing w:before="200" w:line="360" w:lineRule="auto"/>
      <w:ind w:firstLine="0"/>
      <w:jc w:val="left"/>
      <w:outlineLvl w:val="4"/>
    </w:pPr>
    <w:rPr>
      <w:rFonts w:ascii="Cambria" w:eastAsia="宋体" w:hAnsi="Cambria" w:cs="Times New Roman"/>
      <w:color w:val="17365D"/>
      <w:sz w:val="22"/>
      <w:lang w:val="zh-CN"/>
    </w:rPr>
  </w:style>
  <w:style w:type="paragraph" w:styleId="6">
    <w:name w:val="heading 6"/>
    <w:basedOn w:val="a"/>
    <w:next w:val="a"/>
    <w:link w:val="60"/>
    <w:uiPriority w:val="9"/>
    <w:unhideWhenUsed/>
    <w:qFormat/>
    <w:pPr>
      <w:keepNext/>
      <w:keepLines/>
      <w:widowControl/>
      <w:numPr>
        <w:ilvl w:val="5"/>
        <w:numId w:val="1"/>
      </w:numPr>
      <w:spacing w:before="200" w:line="360" w:lineRule="auto"/>
      <w:ind w:firstLine="0"/>
      <w:jc w:val="left"/>
      <w:outlineLvl w:val="5"/>
    </w:pPr>
    <w:rPr>
      <w:rFonts w:ascii="Cambria" w:eastAsia="宋体" w:hAnsi="Cambria" w:cs="Times New Roman"/>
      <w:i/>
      <w:iCs/>
      <w:color w:val="17365D"/>
      <w:sz w:val="22"/>
      <w:lang w:val="zh-CN"/>
    </w:rPr>
  </w:style>
  <w:style w:type="paragraph" w:styleId="7">
    <w:name w:val="heading 7"/>
    <w:basedOn w:val="a"/>
    <w:next w:val="a"/>
    <w:link w:val="70"/>
    <w:uiPriority w:val="9"/>
    <w:unhideWhenUsed/>
    <w:qFormat/>
    <w:pPr>
      <w:keepNext/>
      <w:keepLines/>
      <w:widowControl/>
      <w:numPr>
        <w:ilvl w:val="6"/>
        <w:numId w:val="1"/>
      </w:numPr>
      <w:spacing w:before="200" w:line="360" w:lineRule="auto"/>
      <w:ind w:firstLine="0"/>
      <w:jc w:val="left"/>
      <w:outlineLvl w:val="6"/>
    </w:pPr>
    <w:rPr>
      <w:rFonts w:ascii="Cambria" w:eastAsia="宋体" w:hAnsi="Cambria" w:cs="Times New Roman"/>
      <w:i/>
      <w:iCs/>
      <w:color w:val="404040"/>
      <w:sz w:val="22"/>
      <w:lang w:val="zh-CN"/>
    </w:rPr>
  </w:style>
  <w:style w:type="paragraph" w:styleId="8">
    <w:name w:val="heading 8"/>
    <w:basedOn w:val="a"/>
    <w:next w:val="a"/>
    <w:link w:val="80"/>
    <w:uiPriority w:val="9"/>
    <w:unhideWhenUsed/>
    <w:qFormat/>
    <w:pPr>
      <w:keepNext/>
      <w:keepLines/>
      <w:widowControl/>
      <w:numPr>
        <w:ilvl w:val="7"/>
        <w:numId w:val="1"/>
      </w:numPr>
      <w:spacing w:before="200" w:line="360" w:lineRule="auto"/>
      <w:ind w:firstLine="0"/>
      <w:jc w:val="left"/>
      <w:outlineLvl w:val="7"/>
    </w:pPr>
    <w:rPr>
      <w:rFonts w:ascii="Cambria" w:eastAsia="宋体" w:hAnsi="Cambria" w:cs="Times New Roman"/>
      <w:color w:val="404040"/>
      <w:sz w:val="20"/>
      <w:szCs w:val="20"/>
      <w:lang w:val="zh-CN"/>
    </w:rPr>
  </w:style>
  <w:style w:type="paragraph" w:styleId="9">
    <w:name w:val="heading 9"/>
    <w:basedOn w:val="a"/>
    <w:next w:val="a"/>
    <w:link w:val="90"/>
    <w:uiPriority w:val="9"/>
    <w:unhideWhenUsed/>
    <w:qFormat/>
    <w:pPr>
      <w:keepNext/>
      <w:keepLines/>
      <w:widowControl/>
      <w:numPr>
        <w:ilvl w:val="8"/>
        <w:numId w:val="1"/>
      </w:numPr>
      <w:spacing w:before="200" w:line="360" w:lineRule="auto"/>
      <w:ind w:firstLineChars="200" w:firstLine="200"/>
      <w:jc w:val="left"/>
      <w:outlineLvl w:val="8"/>
    </w:pPr>
    <w:rPr>
      <w:rFonts w:ascii="Cambria" w:eastAsia="宋体" w:hAnsi="Cambria" w:cs="Times New Roman"/>
      <w:i/>
      <w:iCs/>
      <w:color w:val="404040"/>
      <w:sz w:val="20"/>
      <w:szCs w:val="20"/>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link w:val="a5"/>
    <w:uiPriority w:val="99"/>
    <w:unhideWhenUsed/>
    <w:qFormat/>
    <w:pPr>
      <w:spacing w:after="120"/>
    </w:pPr>
    <w:rPr>
      <w:rFonts w:ascii="Calibri" w:eastAsia="仿宋_GB2312" w:hAnsi="Calibri" w:cs="Times New Roman"/>
      <w:kern w:val="2"/>
      <w:sz w:val="30"/>
      <w:szCs w:val="20"/>
    </w:rPr>
  </w:style>
  <w:style w:type="paragraph" w:styleId="a6">
    <w:name w:val="annotation text"/>
    <w:basedOn w:val="a"/>
    <w:link w:val="a7"/>
    <w:qFormat/>
    <w:pPr>
      <w:jc w:val="left"/>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sz w:val="24"/>
      <w:szCs w:val="24"/>
    </w:rPr>
  </w:style>
  <w:style w:type="paragraph" w:styleId="af">
    <w:name w:val="Title"/>
    <w:basedOn w:val="a"/>
    <w:next w:val="a"/>
    <w:qFormat/>
    <w:pPr>
      <w:spacing w:before="240" w:after="60"/>
      <w:jc w:val="center"/>
      <w:outlineLvl w:val="0"/>
    </w:pPr>
    <w:rPr>
      <w:rFonts w:ascii="Cambria" w:hAnsi="Cambria"/>
      <w:b/>
      <w:bCs/>
    </w:rPr>
  </w:style>
  <w:style w:type="paragraph" w:styleId="af0">
    <w:name w:val="annotation subject"/>
    <w:basedOn w:val="a6"/>
    <w:next w:val="a6"/>
    <w:link w:val="af1"/>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Emphasis"/>
    <w:basedOn w:val="a1"/>
    <w:qFormat/>
  </w:style>
  <w:style w:type="character" w:styleId="af5">
    <w:name w:val="Hyperlink"/>
    <w:basedOn w:val="a1"/>
    <w:qFormat/>
    <w:rPr>
      <w:color w:val="0000FF"/>
      <w:u w:val="single"/>
    </w:rPr>
  </w:style>
  <w:style w:type="character" w:styleId="af6">
    <w:name w:val="annotation reference"/>
    <w:basedOn w:val="a1"/>
    <w:qFormat/>
    <w:rPr>
      <w:sz w:val="21"/>
      <w:szCs w:val="21"/>
    </w:rPr>
  </w:style>
  <w:style w:type="character" w:styleId="HTML">
    <w:name w:val="HTML Cite"/>
    <w:basedOn w:val="a1"/>
    <w:qFormat/>
  </w:style>
  <w:style w:type="table" w:customStyle="1" w:styleId="-11">
    <w:name w:val="浅色底纹 - 着色 11"/>
    <w:basedOn w:val="a2"/>
    <w:uiPriority w:val="60"/>
    <w:qFormat/>
    <w:rPr>
      <w:rFonts w:asciiTheme="minorHAnsi" w:eastAsiaTheme="minorEastAsia" w:hAnsiTheme="minorHAnsi" w:cstheme="minorBidi"/>
      <w:color w:val="365F91" w:themeColor="accent1" w:themeShade="BF"/>
      <w:sz w:val="22"/>
      <w:szCs w:val="22"/>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7">
    <w:name w:val="批注文字 字符"/>
    <w:basedOn w:val="a1"/>
    <w:link w:val="a6"/>
    <w:qFormat/>
    <w:rPr>
      <w:rFonts w:asciiTheme="minorHAnsi" w:eastAsiaTheme="minorEastAsia" w:hAnsiTheme="minorHAnsi" w:cstheme="minorBidi"/>
      <w:sz w:val="21"/>
      <w:szCs w:val="22"/>
    </w:rPr>
  </w:style>
  <w:style w:type="character" w:customStyle="1" w:styleId="ad">
    <w:name w:val="页眉 字符"/>
    <w:basedOn w:val="a1"/>
    <w:link w:val="ac"/>
    <w:uiPriority w:val="99"/>
    <w:qFormat/>
    <w:rPr>
      <w:rFonts w:asciiTheme="minorHAnsi" w:eastAsiaTheme="minorEastAsia" w:hAnsiTheme="minorHAnsi" w:cstheme="minorBidi"/>
      <w:sz w:val="18"/>
      <w:szCs w:val="18"/>
    </w:rPr>
  </w:style>
  <w:style w:type="character" w:customStyle="1" w:styleId="ab">
    <w:name w:val="页脚 字符"/>
    <w:basedOn w:val="a1"/>
    <w:link w:val="aa"/>
    <w:uiPriority w:val="99"/>
    <w:qFormat/>
    <w:rPr>
      <w:rFonts w:asciiTheme="minorHAnsi" w:eastAsiaTheme="minorEastAsia" w:hAnsiTheme="minorHAnsi" w:cstheme="minorBidi"/>
      <w:sz w:val="18"/>
      <w:szCs w:val="18"/>
    </w:rPr>
  </w:style>
  <w:style w:type="character" w:customStyle="1" w:styleId="a9">
    <w:name w:val="批注框文本 字符"/>
    <w:basedOn w:val="a1"/>
    <w:link w:val="a8"/>
    <w:qFormat/>
    <w:rPr>
      <w:rFonts w:asciiTheme="minorHAnsi" w:eastAsiaTheme="minorEastAsia" w:hAnsiTheme="minorHAnsi" w:cstheme="minorBidi"/>
      <w:sz w:val="18"/>
      <w:szCs w:val="18"/>
    </w:rPr>
  </w:style>
  <w:style w:type="character" w:customStyle="1" w:styleId="10">
    <w:name w:val="标题 1 字符"/>
    <w:basedOn w:val="a1"/>
    <w:link w:val="1"/>
    <w:uiPriority w:val="9"/>
    <w:qFormat/>
    <w:rPr>
      <w:rFonts w:ascii="黑体" w:eastAsia="黑体" w:hAnsi="黑体"/>
      <w:b/>
      <w:bCs/>
      <w:smallCaps/>
      <w:color w:val="000000"/>
      <w:sz w:val="32"/>
      <w:szCs w:val="32"/>
      <w:lang w:val="zh-CN" w:eastAsia="zh-CN"/>
    </w:rPr>
  </w:style>
  <w:style w:type="character" w:customStyle="1" w:styleId="20">
    <w:name w:val="标题 2 字符"/>
    <w:basedOn w:val="a1"/>
    <w:link w:val="2"/>
    <w:uiPriority w:val="9"/>
    <w:semiHidden/>
    <w:qFormat/>
    <w:rPr>
      <w:rFonts w:ascii="楷体_GB2312" w:eastAsia="楷体_GB2312" w:hAnsi="Cambria"/>
      <w:b/>
      <w:bCs/>
      <w:smallCaps/>
      <w:color w:val="000000"/>
      <w:sz w:val="30"/>
      <w:szCs w:val="30"/>
    </w:rPr>
  </w:style>
  <w:style w:type="character" w:customStyle="1" w:styleId="30">
    <w:name w:val="标题 3 字符"/>
    <w:basedOn w:val="a1"/>
    <w:semiHidden/>
    <w:qFormat/>
    <w:rPr>
      <w:rFonts w:asciiTheme="minorHAnsi" w:eastAsiaTheme="minorEastAsia" w:hAnsiTheme="minorHAnsi" w:cstheme="minorBidi"/>
      <w:b/>
      <w:bCs/>
      <w:sz w:val="32"/>
      <w:szCs w:val="32"/>
    </w:rPr>
  </w:style>
  <w:style w:type="character" w:customStyle="1" w:styleId="40">
    <w:name w:val="标题 4 字符"/>
    <w:basedOn w:val="a1"/>
    <w:link w:val="4"/>
    <w:uiPriority w:val="9"/>
    <w:semiHidden/>
    <w:qFormat/>
    <w:rPr>
      <w:rFonts w:ascii="Cambria" w:hAnsi="Cambria"/>
      <w:b/>
      <w:bCs/>
      <w:i/>
      <w:iCs/>
      <w:color w:val="000000"/>
      <w:sz w:val="22"/>
      <w:szCs w:val="22"/>
      <w:lang w:val="zh-CN" w:eastAsia="zh-CN"/>
    </w:rPr>
  </w:style>
  <w:style w:type="character" w:customStyle="1" w:styleId="50">
    <w:name w:val="标题 5 字符"/>
    <w:basedOn w:val="a1"/>
    <w:link w:val="5"/>
    <w:uiPriority w:val="9"/>
    <w:semiHidden/>
    <w:qFormat/>
    <w:rPr>
      <w:rFonts w:ascii="Cambria" w:hAnsi="Cambria"/>
      <w:color w:val="17365D"/>
      <w:sz w:val="22"/>
      <w:szCs w:val="22"/>
      <w:lang w:val="zh-CN" w:eastAsia="zh-CN"/>
    </w:rPr>
  </w:style>
  <w:style w:type="character" w:customStyle="1" w:styleId="60">
    <w:name w:val="标题 6 字符"/>
    <w:basedOn w:val="a1"/>
    <w:link w:val="6"/>
    <w:uiPriority w:val="9"/>
    <w:semiHidden/>
    <w:qFormat/>
    <w:rPr>
      <w:rFonts w:ascii="Cambria" w:hAnsi="Cambria"/>
      <w:i/>
      <w:iCs/>
      <w:color w:val="17365D"/>
      <w:sz w:val="22"/>
      <w:szCs w:val="22"/>
      <w:lang w:val="zh-CN" w:eastAsia="zh-CN"/>
    </w:rPr>
  </w:style>
  <w:style w:type="character" w:customStyle="1" w:styleId="70">
    <w:name w:val="标题 7 字符"/>
    <w:basedOn w:val="a1"/>
    <w:link w:val="7"/>
    <w:uiPriority w:val="9"/>
    <w:semiHidden/>
    <w:qFormat/>
    <w:rPr>
      <w:rFonts w:ascii="Cambria" w:hAnsi="Cambria"/>
      <w:i/>
      <w:iCs/>
      <w:color w:val="404040"/>
      <w:sz w:val="22"/>
      <w:szCs w:val="22"/>
      <w:lang w:val="zh-CN" w:eastAsia="zh-CN"/>
    </w:rPr>
  </w:style>
  <w:style w:type="character" w:customStyle="1" w:styleId="80">
    <w:name w:val="标题 8 字符"/>
    <w:basedOn w:val="a1"/>
    <w:link w:val="8"/>
    <w:uiPriority w:val="9"/>
    <w:semiHidden/>
    <w:qFormat/>
    <w:rPr>
      <w:rFonts w:ascii="Cambria" w:hAnsi="Cambria"/>
      <w:color w:val="404040"/>
      <w:lang w:val="zh-CN" w:eastAsia="zh-CN"/>
    </w:rPr>
  </w:style>
  <w:style w:type="character" w:customStyle="1" w:styleId="90">
    <w:name w:val="标题 9 字符"/>
    <w:basedOn w:val="a1"/>
    <w:link w:val="9"/>
    <w:uiPriority w:val="9"/>
    <w:semiHidden/>
    <w:qFormat/>
    <w:rPr>
      <w:rFonts w:ascii="Cambria" w:hAnsi="Cambria"/>
      <w:i/>
      <w:iCs/>
      <w:color w:val="404040"/>
      <w:lang w:val="zh-CN" w:eastAsia="zh-CN"/>
    </w:rPr>
  </w:style>
  <w:style w:type="character" w:customStyle="1" w:styleId="31">
    <w:name w:val="标题 3 字符1"/>
    <w:link w:val="3"/>
    <w:uiPriority w:val="9"/>
    <w:qFormat/>
    <w:rPr>
      <w:rFonts w:eastAsia="仿宋_GB2312"/>
      <w:b/>
      <w:bCs/>
      <w:color w:val="000000"/>
      <w:sz w:val="28"/>
      <w:szCs w:val="22"/>
      <w:lang w:val="zh-CN" w:eastAsia="zh-CN"/>
    </w:rPr>
  </w:style>
  <w:style w:type="character" w:customStyle="1" w:styleId="bjh-p">
    <w:name w:val="bjh-p"/>
    <w:basedOn w:val="a1"/>
    <w:qFormat/>
  </w:style>
  <w:style w:type="character" w:customStyle="1" w:styleId="bsharetext">
    <w:name w:val="bsharetext"/>
    <w:basedOn w:val="a1"/>
    <w:qFormat/>
  </w:style>
  <w:style w:type="paragraph" w:customStyle="1" w:styleId="DecimalAligned">
    <w:name w:val="Decimal Aligned"/>
    <w:basedOn w:val="a"/>
    <w:uiPriority w:val="40"/>
    <w:qFormat/>
    <w:pPr>
      <w:widowControl/>
      <w:tabs>
        <w:tab w:val="decimal" w:pos="360"/>
      </w:tabs>
      <w:spacing w:after="200" w:line="276" w:lineRule="auto"/>
      <w:jc w:val="left"/>
    </w:pPr>
    <w:rPr>
      <w:rFonts w:cs="Times New Roman"/>
      <w:sz w:val="22"/>
    </w:rPr>
  </w:style>
  <w:style w:type="character" w:customStyle="1" w:styleId="11">
    <w:name w:val="不明显强调1"/>
    <w:basedOn w:val="a1"/>
    <w:uiPriority w:val="19"/>
    <w:qFormat/>
    <w:rPr>
      <w:i/>
      <w:iCs/>
    </w:rPr>
  </w:style>
  <w:style w:type="paragraph" w:customStyle="1" w:styleId="12">
    <w:name w:val="列出段落1"/>
    <w:basedOn w:val="a"/>
    <w:uiPriority w:val="99"/>
    <w:qFormat/>
    <w:pPr>
      <w:ind w:firstLineChars="200" w:firstLine="420"/>
    </w:pPr>
  </w:style>
  <w:style w:type="character" w:customStyle="1" w:styleId="af1">
    <w:name w:val="批注主题 字符"/>
    <w:basedOn w:val="a7"/>
    <w:link w:val="af0"/>
    <w:qFormat/>
    <w:rPr>
      <w:rFonts w:asciiTheme="minorHAnsi" w:eastAsiaTheme="minorEastAsia" w:hAnsiTheme="minorHAnsi" w:cstheme="minorBidi"/>
      <w:b/>
      <w:bCs/>
      <w:sz w:val="21"/>
      <w:szCs w:val="22"/>
    </w:rPr>
  </w:style>
  <w:style w:type="character" w:customStyle="1" w:styleId="NormalCharacter">
    <w:name w:val="NormalCharacter"/>
    <w:qFormat/>
    <w:rPr>
      <w:rFonts w:ascii="Calibri" w:eastAsia="宋体" w:hAnsi="Calibri" w:cs="黑体"/>
      <w:kern w:val="2"/>
      <w:sz w:val="21"/>
      <w:szCs w:val="24"/>
      <w:lang w:val="en-US" w:eastAsia="zh-CN" w:bidi="ar-SA"/>
    </w:rPr>
  </w:style>
  <w:style w:type="character" w:customStyle="1" w:styleId="a5">
    <w:name w:val="正文文本 字符"/>
    <w:basedOn w:val="a1"/>
    <w:link w:val="a4"/>
    <w:uiPriority w:val="99"/>
    <w:qFormat/>
    <w:rPr>
      <w:rFonts w:ascii="Calibri" w:eastAsia="仿宋_GB2312" w:hAnsi="Calibri"/>
      <w:kern w:val="2"/>
      <w:sz w:val="30"/>
    </w:rPr>
  </w:style>
  <w:style w:type="paragraph" w:customStyle="1" w:styleId="13">
    <w:name w:val="样式 1 小三"/>
    <w:qFormat/>
    <w:pPr>
      <w:widowControl w:val="0"/>
      <w:jc w:val="both"/>
    </w:pPr>
    <w:rPr>
      <w:rFonts w:eastAsia="仿宋_GB2312"/>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10.com/fagui/" TargetMode="Externa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110.com/fagui/"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9D811A4F-DB9C-4BCE-BEA1-BC4B4BC06A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5411</Words>
  <Characters>30843</Characters>
  <Application>Microsoft Office Word</Application>
  <DocSecurity>0</DocSecurity>
  <Lines>257</Lines>
  <Paragraphs>72</Paragraphs>
  <ScaleCrop>false</ScaleCrop>
  <Company>MX</Company>
  <LinksUpToDate>false</LinksUpToDate>
  <CharactersWithSpaces>36182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1025064172@qq.com</cp:lastModifiedBy>
  <cp:revision>78</cp:revision>
  <cp:lastPrinted>2022-04-24T02:54:00Z</cp:lastPrinted>
  <dcterms:created xsi:type="dcterms:W3CDTF">2020-09-27T09:50:00Z</dcterms:created>
  <dcterms:modified xsi:type="dcterms:W3CDTF">2025-04-29T07:11:00Z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473809529_btnclosed</vt:lpwstr>
  </property>
  <property fmtid="{D5CDD505-2E9C-101B-9397-08002B2CF9AE}" pid="4" name="ICV">
    <vt:lpwstr>114FC1E32A2A4AC885496F9BFBF89881</vt:lpwstr>
  </property>
  <property fmtid="{D5CDD505-2E9C-101B-9397-08002B2CF9AE}" pid="5" name="KSOTemplateDocerSaveRecord">
    <vt:lpwstr>eyJoZGlkIjoiMTczMDFmZjVlNDRhYzgwZGMwMmQ4NDA4MTJhNmMxNDUiLCJ1c2VySWQiOiI1NjY0NzI4MDgifQ==</vt:lpwstr>
  </property>
</Properties>
</file>