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1FB1">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bh"/>
      <w:bookmarkEnd w:id="0"/>
      <w:bookmarkStart w:id="1" w:name="fwz"/>
      <w:bookmarkEnd w:id="1"/>
      <w:bookmarkStart w:id="2" w:name="nd"/>
      <w:bookmarkEnd w:id="2"/>
    </w:p>
    <w:p w14:paraId="415596E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fh"/>
      <w:bookmarkEnd w:id="3"/>
    </w:p>
    <w:p w14:paraId="7B329F77">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mj"/>
      <w:bookmarkEnd w:id="4"/>
      <w:bookmarkStart w:id="5" w:name="hj"/>
      <w:bookmarkEnd w:id="5"/>
    </w:p>
    <w:p w14:paraId="5B232E58">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6" w:name="remove_shape1"/>
      <w:r>
        <w:rPr>
          <w:rFonts w:ascii="方正仿宋_GBK" w:eastAsia="方正仿宋_GBK"/>
          <w:color w:val="FF0000"/>
          <w:sz w:val="32"/>
          <w:szCs w:val="32"/>
        </w:rPr>
        <w:pict>
          <v:group id="_x0000_s1029" o:spid="_x0000_s1029" o:spt="203" style="position:absolute;left:0pt;margin-left:0pt;margin-top:31.05pt;height:140.6pt;width:441pt;z-index:251662336;mso-width-relative:page;mso-height-relative:page;" coordorigin="1588,4377" coordsize="8820,2813">
            <o:lock v:ext="edit" aspectratio="f"/>
            <v:shape id="_x0000_s1030" o:spid="_x0000_s1030"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31" o:spt="20" style="position:absolute;left:1588;top:7189;height:1;width:8820;" filled="f" stroked="t" coordsize="21600,21600">
              <v:path arrowok="t"/>
              <v:fill on="f" focussize="0,0"/>
              <v:stroke weight="2pt" color="#FF0000"/>
              <v:imagedata o:title=""/>
              <o:lock v:ext="edit" aspectratio="f"/>
            </v:line>
          </v:group>
        </w:pict>
      </w:r>
      <w:bookmarkEnd w:id="6"/>
    </w:p>
    <w:p w14:paraId="1CD07A88">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14:paraId="668334CD">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5DDA1A82">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757856C5">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渝中府办〔2025〕56号</w:t>
      </w:r>
    </w:p>
    <w:p w14:paraId="25C619A6">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hint="default" w:ascii="Times New Roman" w:hAnsi="Times New Roman" w:eastAsia="方正仿宋_GBK" w:cs="Times New Roman"/>
          <w:color w:val="000000"/>
          <w:spacing w:val="0"/>
          <w:sz w:val="32"/>
          <w:szCs w:val="32"/>
        </w:rPr>
      </w:pPr>
    </w:p>
    <w:p w14:paraId="2C3C1226">
      <w:pPr>
        <w:keepNext w:val="0"/>
        <w:keepLines w:val="0"/>
        <w:pageBreakBefore w:val="0"/>
        <w:widowControl w:val="0"/>
        <w:kinsoku/>
        <w:wordWrap/>
        <w:overflowPunct w:val="0"/>
        <w:topLinePunct w:val="0"/>
        <w:autoSpaceDE/>
        <w:autoSpaceDN/>
        <w:bidi w:val="0"/>
        <w:adjustRightInd/>
        <w:snapToGrid/>
        <w:spacing w:line="620" w:lineRule="exact"/>
        <w:ind w:left="0" w:right="0" w:firstLine="0"/>
        <w:jc w:val="center"/>
        <w:textAlignment w:val="auto"/>
        <w:outlineLvl w:val="9"/>
        <w:rPr>
          <w:rFonts w:hint="default" w:ascii="Times New Roman" w:hAnsi="Times New Roman" w:eastAsia="方正小标宋_GBK" w:cs="Times New Roman"/>
          <w:w w:val="96"/>
          <w:sz w:val="44"/>
          <w:szCs w:val="44"/>
          <w:lang w:eastAsia="zh-CN" w:bidi="ar-SA"/>
        </w:rPr>
      </w:pPr>
      <w:r>
        <w:rPr>
          <w:rFonts w:hint="default" w:ascii="Times New Roman" w:hAnsi="Times New Roman" w:eastAsia="方正小标宋_GBK" w:cs="Times New Roman"/>
          <w:w w:val="96"/>
          <w:sz w:val="44"/>
          <w:szCs w:val="44"/>
          <w:lang w:bidi="ar-SA"/>
        </w:rPr>
        <w:t>重庆市渝中区人民政府</w:t>
      </w:r>
      <w:r>
        <w:rPr>
          <w:rFonts w:hint="default" w:ascii="Times New Roman" w:hAnsi="Times New Roman" w:eastAsia="方正小标宋_GBK" w:cs="Times New Roman"/>
          <w:w w:val="96"/>
          <w:sz w:val="44"/>
          <w:szCs w:val="44"/>
          <w:lang w:eastAsia="zh-CN" w:bidi="ar-SA"/>
        </w:rPr>
        <w:t>办公室</w:t>
      </w:r>
    </w:p>
    <w:p w14:paraId="60A729C4">
      <w:pPr>
        <w:keepNext w:val="0"/>
        <w:keepLines w:val="0"/>
        <w:pageBreakBefore w:val="0"/>
        <w:widowControl w:val="0"/>
        <w:kinsoku/>
        <w:wordWrap/>
        <w:overflowPunct w:val="0"/>
        <w:topLinePunct w:val="0"/>
        <w:autoSpaceDE/>
        <w:autoSpaceDN/>
        <w:bidi w:val="0"/>
        <w:adjustRightInd/>
        <w:snapToGrid/>
        <w:spacing w:line="620" w:lineRule="exact"/>
        <w:ind w:left="0" w:firstLine="0"/>
        <w:jc w:val="center"/>
        <w:textAlignment w:val="auto"/>
        <w:rPr>
          <w:rFonts w:hint="default" w:ascii="Times New Roman" w:hAnsi="Times New Roman" w:eastAsia="方正小标宋_GBK" w:cs="Times New Roman"/>
          <w:w w:val="96"/>
          <w:sz w:val="44"/>
          <w:szCs w:val="44"/>
          <w:lang w:bidi="ar-SA"/>
        </w:rPr>
      </w:pPr>
      <w:r>
        <w:rPr>
          <w:rFonts w:hint="default" w:ascii="Times New Roman" w:hAnsi="Times New Roman" w:eastAsia="方正小标宋_GBK" w:cs="Times New Roman"/>
          <w:w w:val="96"/>
          <w:sz w:val="44"/>
          <w:szCs w:val="44"/>
          <w:lang w:bidi="ar-SA"/>
        </w:rPr>
        <w:t>关于印发</w:t>
      </w:r>
      <w:r>
        <w:rPr>
          <w:rFonts w:hint="default" w:ascii="Times New Roman" w:hAnsi="Times New Roman" w:eastAsia="方正小标宋_GBK" w:cs="Times New Roman"/>
          <w:w w:val="96"/>
          <w:sz w:val="44"/>
          <w:szCs w:val="44"/>
          <w:lang w:eastAsia="zh-CN" w:bidi="ar-SA"/>
        </w:rPr>
        <w:t>《</w:t>
      </w:r>
      <w:r>
        <w:rPr>
          <w:rFonts w:hint="default" w:ascii="Times New Roman" w:hAnsi="Times New Roman" w:eastAsia="方正小标宋_GBK" w:cs="Times New Roman"/>
          <w:color w:val="auto"/>
          <w:w w:val="96"/>
          <w:sz w:val="44"/>
          <w:szCs w:val="44"/>
        </w:rPr>
        <w:t>渝中区软信领域重点新兴产业高质量发展三年行动计划（2025—2027年）</w:t>
      </w:r>
      <w:r>
        <w:rPr>
          <w:rFonts w:hint="default" w:ascii="Times New Roman" w:hAnsi="Times New Roman" w:eastAsia="方正小标宋_GBK" w:cs="Times New Roman"/>
          <w:w w:val="96"/>
          <w:sz w:val="44"/>
          <w:szCs w:val="44"/>
          <w:lang w:eastAsia="zh-CN" w:bidi="ar-SA"/>
        </w:rPr>
        <w:t>》</w:t>
      </w:r>
      <w:r>
        <w:rPr>
          <w:rFonts w:hint="default" w:ascii="Times New Roman" w:hAnsi="Times New Roman" w:eastAsia="方正小标宋_GBK" w:cs="Times New Roman"/>
          <w:w w:val="96"/>
          <w:sz w:val="44"/>
          <w:szCs w:val="44"/>
          <w:lang w:bidi="ar-SA"/>
        </w:rPr>
        <w:t>的通知</w:t>
      </w:r>
    </w:p>
    <w:p w14:paraId="77C84981">
      <w:pPr>
        <w:keepNext w:val="0"/>
        <w:keepLines w:val="0"/>
        <w:pageBreakBefore w:val="0"/>
        <w:widowControl w:val="0"/>
        <w:kinsoku/>
        <w:wordWrap/>
        <w:overflowPunct w:val="0"/>
        <w:topLinePunct w:val="0"/>
        <w:autoSpaceDE/>
        <w:autoSpaceDN/>
        <w:bidi w:val="0"/>
        <w:adjustRightInd/>
        <w:snapToGrid/>
        <w:spacing w:line="620" w:lineRule="exact"/>
        <w:ind w:left="0" w:right="0"/>
        <w:jc w:val="left"/>
        <w:textAlignment w:val="auto"/>
        <w:outlineLvl w:val="9"/>
        <w:rPr>
          <w:rFonts w:hint="default" w:ascii="Times New Roman" w:hAnsi="Times New Roman" w:cs="Times New Roman"/>
          <w:lang w:bidi="ar-SA"/>
        </w:rPr>
      </w:pPr>
    </w:p>
    <w:p w14:paraId="242F2A68">
      <w:pPr>
        <w:keepNext w:val="0"/>
        <w:keepLines w:val="0"/>
        <w:pageBreakBefore w:val="0"/>
        <w:widowControl w:val="0"/>
        <w:tabs>
          <w:tab w:val="left" w:pos="8222"/>
          <w:tab w:val="left" w:pos="8364"/>
        </w:tabs>
        <w:kinsoku/>
        <w:wordWrap/>
        <w:overflowPunct w:val="0"/>
        <w:topLinePunct w:val="0"/>
        <w:autoSpaceDE/>
        <w:autoSpaceDN/>
        <w:bidi w:val="0"/>
        <w:adjustRightInd/>
        <w:snapToGrid/>
        <w:spacing w:line="620" w:lineRule="exact"/>
        <w:ind w:left="0" w:right="0" w:firstLine="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w:t>
      </w:r>
      <w:r>
        <w:rPr>
          <w:rFonts w:hint="default" w:ascii="Times New Roman" w:hAnsi="Times New Roman" w:eastAsia="方正仿宋_GBK" w:cs="Times New Roman"/>
          <w:sz w:val="32"/>
          <w:szCs w:val="32"/>
          <w:lang w:val="en-US" w:eastAsia="zh-CN" w:bidi="ar-SA"/>
        </w:rPr>
        <w:t>政府</w:t>
      </w:r>
      <w:r>
        <w:rPr>
          <w:rFonts w:hint="default" w:ascii="Times New Roman" w:hAnsi="Times New Roman" w:eastAsia="方正仿宋_GBK" w:cs="Times New Roman"/>
          <w:sz w:val="32"/>
          <w:szCs w:val="32"/>
          <w:lang w:bidi="ar-SA"/>
        </w:rPr>
        <w:t>各部门</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各管委会</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各</w:t>
      </w:r>
      <w:r>
        <w:rPr>
          <w:rFonts w:hint="default" w:ascii="Times New Roman" w:hAnsi="Times New Roman" w:eastAsia="方正仿宋_GBK" w:cs="Times New Roman"/>
          <w:sz w:val="32"/>
          <w:szCs w:val="32"/>
          <w:lang w:bidi="ar-SA"/>
        </w:rPr>
        <w:t>街道办事处，有关单位：</w:t>
      </w:r>
    </w:p>
    <w:p w14:paraId="69619326">
      <w:pPr>
        <w:pStyle w:val="9"/>
        <w:keepNext w:val="0"/>
        <w:keepLines w:val="0"/>
        <w:pageBreakBefore w:val="0"/>
        <w:widowControl w:val="0"/>
        <w:suppressLineNumbers w:val="0"/>
        <w:kinsoku/>
        <w:wordWrap/>
        <w:overflowPunct w:val="0"/>
        <w:topLinePunct w:val="0"/>
        <w:autoSpaceDE/>
        <w:autoSpaceDN/>
        <w:bidi w:val="0"/>
        <w:adjustRightInd/>
        <w:snapToGrid/>
        <w:spacing w:line="62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《渝中区软信领域重点新兴产业高质量发展三年行动计划（2025—2027年）》</w:t>
      </w:r>
      <w:r>
        <w:rPr>
          <w:rFonts w:hint="default" w:ascii="Times New Roman" w:hAnsi="Times New Roman" w:eastAsia="方正仿宋_GBK" w:cs="Times New Roman"/>
          <w:sz w:val="32"/>
          <w:szCs w:val="32"/>
          <w:lang w:val="en-US" w:eastAsia="zh-CN"/>
        </w:rPr>
        <w:t>已经区政府同意</w:t>
      </w:r>
      <w:r>
        <w:rPr>
          <w:rFonts w:hint="default" w:ascii="Times New Roman" w:hAnsi="Times New Roman" w:eastAsia="方正仿宋_GBK" w:cs="Times New Roman"/>
          <w:sz w:val="32"/>
          <w:szCs w:val="32"/>
          <w:lang w:bidi="ar-SA"/>
        </w:rPr>
        <w:t>，现印发给你们，请认真贯彻执行。</w:t>
      </w:r>
    </w:p>
    <w:p w14:paraId="06747339">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pacing w:val="0"/>
          <w:sz w:val="32"/>
          <w:szCs w:val="32"/>
          <w:lang w:val="en-US" w:eastAsia="zh-CN"/>
        </w:rPr>
      </w:pPr>
    </w:p>
    <w:p w14:paraId="04C7DCE3">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pacing w:val="0"/>
          <w:sz w:val="32"/>
          <w:szCs w:val="32"/>
          <w:lang w:val="en-US" w:eastAsia="zh-CN"/>
        </w:rPr>
      </w:pPr>
    </w:p>
    <w:p w14:paraId="5C201D2D">
      <w:pPr>
        <w:keepNext w:val="0"/>
        <w:keepLines w:val="0"/>
        <w:pageBreakBefore w:val="0"/>
        <w:widowControl w:val="0"/>
        <w:kinsoku/>
        <w:wordWrap/>
        <w:overflowPunct w:val="0"/>
        <w:topLinePunct w:val="0"/>
        <w:autoSpaceDE/>
        <w:autoSpaceDN/>
        <w:bidi w:val="0"/>
        <w:adjustRightInd/>
        <w:snapToGrid/>
        <w:spacing w:line="620" w:lineRule="exact"/>
        <w:ind w:left="0" w:firstLine="4160" w:firstLineChars="1300"/>
        <w:jc w:val="left"/>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重庆市渝中区</w:t>
      </w:r>
      <w:r>
        <w:rPr>
          <w:rFonts w:hint="default" w:ascii="Times New Roman" w:hAnsi="Times New Roman" w:eastAsia="方正仿宋_GBK" w:cs="Times New Roman"/>
          <w:color w:val="000000"/>
          <w:spacing w:val="0"/>
          <w:sz w:val="32"/>
          <w:szCs w:val="32"/>
          <w:lang w:eastAsia="zh-CN"/>
        </w:rPr>
        <w:t>人民政府办公室</w:t>
      </w:r>
    </w:p>
    <w:p w14:paraId="600F1562">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6</w:t>
      </w:r>
      <w:r>
        <w:rPr>
          <w:rFonts w:hint="default" w:ascii="Times New Roman" w:hAnsi="Times New Roman" w:eastAsia="方正仿宋_GBK" w:cs="Times New Roman"/>
          <w:color w:val="000000"/>
          <w:spacing w:val="0"/>
          <w:sz w:val="32"/>
          <w:szCs w:val="32"/>
        </w:rPr>
        <w:t>月</w:t>
      </w:r>
      <w:r>
        <w:rPr>
          <w:rFonts w:hint="eastAsia" w:ascii="Times New Roman" w:hAnsi="Times New Roman" w:eastAsia="方正仿宋_GBK" w:cs="Times New Roman"/>
          <w:color w:val="000000"/>
          <w:spacing w:val="0"/>
          <w:sz w:val="32"/>
          <w:szCs w:val="32"/>
          <w:lang w:val="en-US" w:eastAsia="zh-CN"/>
        </w:rPr>
        <w:t>20</w:t>
      </w:r>
      <w:r>
        <w:rPr>
          <w:rFonts w:hint="default" w:ascii="Times New Roman" w:hAnsi="Times New Roman" w:eastAsia="方正仿宋_GBK" w:cs="Times New Roman"/>
          <w:color w:val="000000"/>
          <w:spacing w:val="0"/>
          <w:sz w:val="32"/>
          <w:szCs w:val="32"/>
        </w:rPr>
        <w:t>日</w:t>
      </w:r>
    </w:p>
    <w:p w14:paraId="58656B1C">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（此件公开发布）</w:t>
      </w:r>
    </w:p>
    <w:p w14:paraId="5700463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color w:val="auto"/>
          <w:spacing w:val="-6"/>
          <w:kern w:val="0"/>
          <w:sz w:val="32"/>
          <w:szCs w:val="32"/>
          <w:lang w:val="en-US" w:eastAsia="zh-CN"/>
        </w:rPr>
      </w:pPr>
      <w:r>
        <w:rPr>
          <w:rFonts w:hint="default" w:ascii="Times New Roman" w:hAnsi="Times New Roman" w:eastAsia="方正仿宋_GBK" w:cs="Times New Roman"/>
          <w:color w:val="000000"/>
          <w:sz w:val="32"/>
          <w:szCs w:val="32"/>
          <w:lang w:eastAsia="zh-CN"/>
        </w:rPr>
        <w:br w:type="page"/>
      </w:r>
    </w:p>
    <w:p w14:paraId="6D55DC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pacing w:val="0"/>
          <w:kern w:val="0"/>
          <w:sz w:val="44"/>
          <w:szCs w:val="44"/>
        </w:rPr>
      </w:pPr>
      <w:r>
        <w:rPr>
          <w:rFonts w:hint="default" w:ascii="Times New Roman" w:hAnsi="Times New Roman" w:eastAsia="方正小标宋_GBK" w:cs="Times New Roman"/>
          <w:color w:val="auto"/>
          <w:spacing w:val="0"/>
          <w:kern w:val="0"/>
          <w:sz w:val="44"/>
          <w:szCs w:val="44"/>
        </w:rPr>
        <w:t>渝中区</w:t>
      </w:r>
      <w:r>
        <w:rPr>
          <w:rFonts w:hint="default" w:ascii="Times New Roman" w:hAnsi="Times New Roman" w:eastAsia="方正小标宋_GBK" w:cs="Times New Roman"/>
          <w:color w:val="auto"/>
          <w:spacing w:val="0"/>
          <w:kern w:val="0"/>
          <w:sz w:val="44"/>
          <w:szCs w:val="44"/>
          <w:lang w:val="en-US" w:eastAsia="zh-CN"/>
        </w:rPr>
        <w:t>软信领域重点</w:t>
      </w:r>
      <w:r>
        <w:rPr>
          <w:rFonts w:hint="default" w:ascii="Times New Roman" w:hAnsi="Times New Roman" w:eastAsia="方正小标宋_GBK" w:cs="Times New Roman"/>
          <w:color w:val="auto"/>
          <w:spacing w:val="0"/>
          <w:kern w:val="0"/>
          <w:sz w:val="44"/>
          <w:szCs w:val="44"/>
        </w:rPr>
        <w:t>新兴产业高质量发展</w:t>
      </w:r>
    </w:p>
    <w:p w14:paraId="5712EE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rPr>
      </w:pPr>
      <w:r>
        <w:rPr>
          <w:rFonts w:hint="default" w:ascii="Times New Roman" w:hAnsi="Times New Roman" w:eastAsia="方正小标宋_GBK" w:cs="Times New Roman"/>
          <w:color w:val="auto"/>
          <w:spacing w:val="0"/>
          <w:kern w:val="0"/>
          <w:sz w:val="44"/>
          <w:szCs w:val="44"/>
          <w:lang w:val="en-US" w:eastAsia="zh-CN"/>
        </w:rPr>
        <w:t>三年</w:t>
      </w:r>
      <w:r>
        <w:rPr>
          <w:rFonts w:hint="default" w:ascii="Times New Roman" w:hAnsi="Times New Roman" w:eastAsia="方正小标宋_GBK" w:cs="Times New Roman"/>
          <w:color w:val="auto"/>
          <w:spacing w:val="0"/>
          <w:kern w:val="0"/>
          <w:sz w:val="44"/>
          <w:szCs w:val="44"/>
        </w:rPr>
        <w:t>行动计划（2025</w:t>
      </w:r>
      <w:r>
        <w:rPr>
          <w:rFonts w:hint="default" w:ascii="Times New Roman" w:hAnsi="Times New Roman" w:eastAsia="方正小标宋_GBK" w:cs="Times New Roman"/>
          <w:snapToGrid/>
          <w:color w:val="auto"/>
          <w:spacing w:val="0"/>
          <w:kern w:val="2"/>
          <w:sz w:val="44"/>
          <w:szCs w:val="44"/>
          <w:lang w:eastAsia="zh-CN"/>
        </w:rPr>
        <w:t>—</w:t>
      </w:r>
      <w:r>
        <w:rPr>
          <w:rFonts w:hint="default" w:ascii="Times New Roman" w:hAnsi="Times New Roman" w:eastAsia="方正小标宋_GBK" w:cs="Times New Roman"/>
          <w:color w:val="auto"/>
          <w:spacing w:val="0"/>
          <w:kern w:val="0"/>
          <w:sz w:val="44"/>
          <w:szCs w:val="44"/>
        </w:rPr>
        <w:t>2027年）</w:t>
      </w:r>
    </w:p>
    <w:p w14:paraId="41D3192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14:paraId="3F106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新兴产业是引领未来发展的新支柱、新赛道</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对于培育发展新动能、构建新发展格局</w:t>
      </w:r>
      <w:r>
        <w:rPr>
          <w:rFonts w:hint="default" w:ascii="Times New Roman" w:hAnsi="Times New Roman" w:eastAsia="方正仿宋_GBK" w:cs="Times New Roman"/>
          <w:color w:val="auto"/>
          <w:kern w:val="0"/>
          <w:sz w:val="32"/>
          <w:szCs w:val="32"/>
          <w:shd w:val="clear" w:color="auto" w:fill="FFFFFF"/>
          <w:lang w:val="en-US" w:eastAsia="zh-CN"/>
        </w:rPr>
        <w:t>具有重要意义。为抢抓机遇助力渝中区</w:t>
      </w:r>
      <w:r>
        <w:rPr>
          <w:rFonts w:hint="default" w:ascii="Times New Roman" w:hAnsi="Times New Roman" w:eastAsia="方正仿宋_GBK" w:cs="Times New Roman"/>
          <w:color w:val="auto"/>
          <w:kern w:val="0"/>
          <w:sz w:val="32"/>
          <w:szCs w:val="32"/>
          <w:shd w:val="clear" w:color="auto" w:fill="FFFFFF"/>
        </w:rPr>
        <w:t>现代化产业体系</w:t>
      </w:r>
      <w:r>
        <w:rPr>
          <w:rFonts w:hint="default" w:ascii="Times New Roman" w:hAnsi="Times New Roman" w:eastAsia="方正仿宋_GBK" w:cs="Times New Roman"/>
          <w:color w:val="auto"/>
          <w:kern w:val="0"/>
          <w:sz w:val="32"/>
          <w:szCs w:val="32"/>
          <w:shd w:val="clear" w:color="auto" w:fill="FFFFFF"/>
          <w:lang w:val="en-US" w:eastAsia="zh-CN"/>
        </w:rPr>
        <w:t>建设，加速推动卫星互联网、工业互联网、人工智能、元宇宙等软信领域重点新兴产业（以下简称软信重点新兴产业）高质量发展，特制定本行动计划。</w:t>
      </w:r>
      <w:bookmarkStart w:id="7" w:name="_GoBack"/>
      <w:bookmarkEnd w:id="7"/>
    </w:p>
    <w:p w14:paraId="2FF98E3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一、</w:t>
      </w:r>
      <w:r>
        <w:rPr>
          <w:rFonts w:hint="default" w:ascii="Times New Roman" w:hAnsi="Times New Roman" w:eastAsia="方正黑体_GBK" w:cs="Times New Roman"/>
          <w:color w:val="auto"/>
          <w:kern w:val="0"/>
          <w:sz w:val="32"/>
          <w:szCs w:val="32"/>
        </w:rPr>
        <w:t>总体要求</w:t>
      </w:r>
    </w:p>
    <w:p w14:paraId="2BBA50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shd w:val="clear" w:color="auto" w:fill="FFFFFF"/>
          <w:lang w:val="en-US" w:eastAsia="zh-CN"/>
        </w:rPr>
        <w:t>坚持</w:t>
      </w:r>
      <w:r>
        <w:rPr>
          <w:rFonts w:hint="default" w:ascii="Times New Roman" w:hAnsi="Times New Roman" w:eastAsia="方正仿宋_GBK" w:cs="Times New Roman"/>
          <w:color w:val="auto"/>
          <w:kern w:val="0"/>
          <w:sz w:val="32"/>
          <w:szCs w:val="32"/>
          <w:shd w:val="clear" w:color="auto" w:fill="FFFFFF"/>
        </w:rPr>
        <w:t>以习近平新时代中国特色社会主义思想为指导，</w:t>
      </w:r>
      <w:r>
        <w:rPr>
          <w:rFonts w:hint="eastAsia" w:ascii="Times New Roman" w:hAnsi="Times New Roman" w:eastAsia="方正仿宋_GBK" w:cs="Times New Roman"/>
          <w:color w:val="auto"/>
          <w:kern w:val="0"/>
          <w:sz w:val="32"/>
          <w:szCs w:val="32"/>
          <w:highlight w:val="none"/>
          <w:shd w:val="clear" w:color="auto" w:fill="FFFFFF"/>
          <w:lang w:eastAsia="zh-CN"/>
        </w:rPr>
        <w:t>全面</w:t>
      </w:r>
      <w:r>
        <w:rPr>
          <w:rFonts w:hint="default" w:ascii="Times New Roman" w:hAnsi="Times New Roman" w:eastAsia="方正仿宋_GBK" w:cs="Times New Roman"/>
          <w:color w:val="auto"/>
          <w:kern w:val="0"/>
          <w:sz w:val="32"/>
          <w:szCs w:val="32"/>
          <w:highlight w:val="none"/>
          <w:shd w:val="clear" w:color="auto" w:fill="FFFFFF"/>
        </w:rPr>
        <w:t>贯彻党的二十大和二十届二中、三中全会精神</w:t>
      </w:r>
      <w:r>
        <w:rPr>
          <w:rFonts w:hint="default" w:ascii="Times New Roman" w:hAnsi="Times New Roman" w:eastAsia="方正仿宋_GBK" w:cs="Times New Roman"/>
          <w:color w:val="auto"/>
          <w:kern w:val="0"/>
          <w:sz w:val="32"/>
          <w:szCs w:val="32"/>
          <w:shd w:val="clear" w:color="auto" w:fill="FFFFFF"/>
        </w:rPr>
        <w:t>，深</w:t>
      </w:r>
      <w:r>
        <w:rPr>
          <w:rFonts w:hint="default" w:ascii="Times New Roman" w:hAnsi="Times New Roman" w:eastAsia="方正仿宋_GBK" w:cs="Times New Roman"/>
          <w:color w:val="auto"/>
          <w:kern w:val="0"/>
          <w:sz w:val="32"/>
          <w:szCs w:val="32"/>
          <w:shd w:val="clear" w:color="auto" w:fill="FFFFFF"/>
          <w:lang w:val="en-US" w:eastAsia="zh-CN"/>
        </w:rPr>
        <w:t>入学习</w:t>
      </w:r>
      <w:r>
        <w:rPr>
          <w:rFonts w:hint="default" w:ascii="Times New Roman" w:hAnsi="Times New Roman" w:eastAsia="方正仿宋_GBK" w:cs="Times New Roman"/>
          <w:color w:val="auto"/>
          <w:kern w:val="0"/>
          <w:sz w:val="32"/>
          <w:szCs w:val="32"/>
          <w:shd w:val="clear" w:color="auto" w:fill="FFFFFF"/>
        </w:rPr>
        <w:t>落实习近平总书记关于积极培育具有国际先进水平和竞争力的</w:t>
      </w:r>
      <w:r>
        <w:rPr>
          <w:rFonts w:hint="default" w:ascii="Times New Roman" w:hAnsi="Times New Roman" w:eastAsia="方正仿宋_GBK" w:cs="Times New Roman"/>
          <w:color w:val="auto"/>
          <w:kern w:val="0"/>
          <w:sz w:val="32"/>
          <w:szCs w:val="32"/>
          <w:highlight w:val="none"/>
          <w:shd w:val="clear" w:color="auto" w:fill="FFFFFF"/>
        </w:rPr>
        <w:t>战略性新兴产业</w:t>
      </w:r>
      <w:r>
        <w:rPr>
          <w:rFonts w:hint="default" w:ascii="Times New Roman" w:hAnsi="Times New Roman" w:eastAsia="方正仿宋_GBK" w:cs="Times New Roman"/>
          <w:color w:val="auto"/>
          <w:kern w:val="0"/>
          <w:sz w:val="32"/>
          <w:szCs w:val="32"/>
          <w:shd w:val="clear" w:color="auto" w:fill="FFFFFF"/>
        </w:rPr>
        <w:t>的重要指示精神</w:t>
      </w:r>
      <w:r>
        <w:rPr>
          <w:rFonts w:hint="default" w:ascii="Times New Roman" w:hAnsi="Times New Roman" w:eastAsia="方正仿宋_GBK" w:cs="Times New Roman"/>
          <w:color w:val="auto"/>
          <w:kern w:val="0"/>
          <w:sz w:val="32"/>
          <w:szCs w:val="32"/>
          <w:shd w:val="clear" w:color="auto" w:fill="FFFFFF"/>
          <w:lang w:eastAsia="zh-CN"/>
        </w:rPr>
        <w:t>，紧紧围绕市委市政府决策部署和区委区政府工作安排，</w:t>
      </w:r>
      <w:r>
        <w:rPr>
          <w:rFonts w:hint="default" w:ascii="Times New Roman" w:hAnsi="Times New Roman" w:eastAsia="方正仿宋_GBK" w:cs="Times New Roman"/>
          <w:color w:val="auto"/>
          <w:sz w:val="32"/>
          <w:szCs w:val="32"/>
          <w:lang w:val="en-US" w:eastAsia="zh-CN"/>
        </w:rPr>
        <w:t>把</w:t>
      </w:r>
      <w:r>
        <w:rPr>
          <w:rFonts w:hint="default" w:ascii="Times New Roman" w:hAnsi="Times New Roman" w:eastAsia="方正仿宋_GBK" w:cs="Times New Roman"/>
          <w:color w:val="auto"/>
          <w:sz w:val="32"/>
          <w:szCs w:val="32"/>
        </w:rPr>
        <w:t>握数字重庆建设</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33618</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现代制造业集群体系建设和渝中区迭代</w:t>
      </w:r>
      <w:r>
        <w:rPr>
          <w:rFonts w:hint="default" w:ascii="Times New Roman" w:hAnsi="Times New Roman" w:eastAsia="方正仿宋_GBK" w:cs="Times New Roman"/>
          <w:color w:val="auto"/>
          <w:sz w:val="32"/>
          <w:szCs w:val="32"/>
          <w:lang w:val="en-US" w:eastAsia="zh-CN"/>
        </w:rPr>
        <w:t>构建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4311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现代产业体系关键契机，以加强重大科技攻关和因地制宜发展新质生产力为指引，</w:t>
      </w:r>
      <w:r>
        <w:rPr>
          <w:rFonts w:hint="default" w:ascii="Times New Roman" w:hAnsi="Times New Roman" w:eastAsia="方正仿宋_GBK" w:cs="Times New Roman"/>
          <w:color w:val="auto"/>
          <w:sz w:val="32"/>
          <w:szCs w:val="32"/>
          <w:lang w:val="en-US" w:eastAsia="zh-CN"/>
        </w:rPr>
        <w:t>加速集聚重点企业和中高端人才，</w:t>
      </w:r>
      <w:r>
        <w:rPr>
          <w:rFonts w:hint="default" w:ascii="Times New Roman" w:hAnsi="Times New Roman" w:eastAsia="方正仿宋_GBK" w:cs="Times New Roman"/>
          <w:color w:val="auto"/>
          <w:sz w:val="32"/>
          <w:szCs w:val="32"/>
        </w:rPr>
        <w:t>推动技术突破与应用创新，</w:t>
      </w:r>
      <w:r>
        <w:rPr>
          <w:rFonts w:hint="default" w:ascii="Times New Roman" w:hAnsi="Times New Roman" w:eastAsia="方正仿宋_GBK" w:cs="Times New Roman"/>
          <w:color w:val="auto"/>
          <w:sz w:val="32"/>
          <w:szCs w:val="32"/>
          <w:lang w:val="en-US" w:eastAsia="zh-CN"/>
        </w:rPr>
        <w:t>探索</w:t>
      </w:r>
      <w:r>
        <w:rPr>
          <w:rFonts w:hint="default" w:ascii="Times New Roman" w:hAnsi="Times New Roman" w:eastAsia="方正仿宋_GBK" w:cs="Times New Roman"/>
          <w:color w:val="auto"/>
          <w:sz w:val="32"/>
          <w:szCs w:val="32"/>
          <w:lang w:eastAsia="zh-CN"/>
        </w:rPr>
        <w:t>打造示范应用场景，</w:t>
      </w:r>
      <w:r>
        <w:rPr>
          <w:rFonts w:hint="default" w:ascii="Times New Roman" w:hAnsi="Times New Roman" w:eastAsia="方正仿宋_GBK" w:cs="Times New Roman"/>
          <w:color w:val="auto"/>
          <w:sz w:val="32"/>
          <w:szCs w:val="32"/>
          <w:lang w:val="en-US" w:eastAsia="zh-CN"/>
        </w:rPr>
        <w:t>营造</w:t>
      </w:r>
      <w:r>
        <w:rPr>
          <w:rFonts w:hint="default" w:ascii="Times New Roman" w:hAnsi="Times New Roman" w:eastAsia="方正仿宋_GBK" w:cs="Times New Roman"/>
          <w:color w:val="auto"/>
          <w:sz w:val="32"/>
          <w:szCs w:val="32"/>
        </w:rPr>
        <w:t>可持续发展的产业生态，</w:t>
      </w:r>
      <w:r>
        <w:rPr>
          <w:rFonts w:hint="default" w:ascii="Times New Roman" w:hAnsi="Times New Roman" w:eastAsia="方正仿宋_GBK" w:cs="Times New Roman"/>
          <w:color w:val="auto"/>
          <w:sz w:val="32"/>
          <w:szCs w:val="32"/>
          <w:lang w:val="en-US" w:eastAsia="zh-CN"/>
        </w:rPr>
        <w:t>贯通融合产业链、创新链、资金链、人才链等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四链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形成</w:t>
      </w:r>
      <w:r>
        <w:rPr>
          <w:rFonts w:hint="default" w:ascii="Times New Roman" w:hAnsi="Times New Roman" w:eastAsia="方正仿宋_GBK" w:cs="Times New Roman"/>
          <w:color w:val="auto"/>
          <w:kern w:val="0"/>
          <w:sz w:val="32"/>
          <w:szCs w:val="32"/>
          <w:shd w:val="clear" w:color="auto" w:fill="FFFFFF"/>
          <w:lang w:eastAsia="zh-CN"/>
        </w:rPr>
        <w:t>以一域服务全局的经济发展</w:t>
      </w:r>
      <w:r>
        <w:rPr>
          <w:rFonts w:hint="default" w:ascii="Times New Roman" w:hAnsi="Times New Roman" w:eastAsia="方正仿宋_GBK" w:cs="Times New Roman"/>
          <w:color w:val="auto"/>
          <w:kern w:val="0"/>
          <w:sz w:val="32"/>
          <w:szCs w:val="32"/>
          <w:shd w:val="clear" w:color="auto" w:fill="FFFFFF"/>
        </w:rPr>
        <w:t>新格局</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sz w:val="32"/>
          <w:szCs w:val="32"/>
        </w:rPr>
        <w:t>打造全市</w:t>
      </w:r>
      <w:r>
        <w:rPr>
          <w:rFonts w:hint="default" w:ascii="Times New Roman" w:hAnsi="Times New Roman" w:eastAsia="方正仿宋_GBK" w:cs="Times New Roman"/>
          <w:color w:val="auto"/>
          <w:sz w:val="32"/>
          <w:szCs w:val="32"/>
          <w:lang w:val="en-US" w:eastAsia="zh-CN"/>
        </w:rPr>
        <w:t>软信</w:t>
      </w:r>
      <w:r>
        <w:rPr>
          <w:rFonts w:hint="default" w:ascii="Times New Roman" w:hAnsi="Times New Roman" w:eastAsia="方正仿宋_GBK" w:cs="Times New Roman"/>
          <w:color w:val="auto"/>
          <w:sz w:val="32"/>
          <w:szCs w:val="32"/>
        </w:rPr>
        <w:t>重点新兴产业创新引领区和集聚发展区。</w:t>
      </w:r>
    </w:p>
    <w:p w14:paraId="439A2C9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二、</w:t>
      </w:r>
      <w:r>
        <w:rPr>
          <w:rFonts w:hint="default" w:ascii="Times New Roman" w:hAnsi="Times New Roman" w:eastAsia="方正黑体_GBK" w:cs="Times New Roman"/>
          <w:color w:val="auto"/>
          <w:kern w:val="0"/>
          <w:sz w:val="32"/>
          <w:szCs w:val="32"/>
        </w:rPr>
        <w:t>发展目标</w:t>
      </w:r>
    </w:p>
    <w:p w14:paraId="564B94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val="0"/>
          <w:bCs w:val="0"/>
          <w:color w:val="auto"/>
          <w:kern w:val="0"/>
          <w:sz w:val="32"/>
          <w:szCs w:val="32"/>
          <w:shd w:val="clear" w:color="auto" w:fill="FFFFFF"/>
          <w:lang w:val="en-US" w:eastAsia="zh-CN"/>
        </w:rPr>
        <w:t>到2027年，软信重点新兴产业规模持续扩大，</w:t>
      </w:r>
      <w:r>
        <w:rPr>
          <w:rFonts w:hint="default" w:ascii="Times New Roman" w:hAnsi="Times New Roman" w:eastAsia="方正仿宋_GBK" w:cs="Times New Roman"/>
          <w:color w:val="auto"/>
          <w:sz w:val="32"/>
          <w:szCs w:val="32"/>
        </w:rPr>
        <w:t>载体面积突破</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0万平方米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产值突破120亿元，新招引链主</w:t>
      </w:r>
      <w:r>
        <w:rPr>
          <w:rFonts w:hint="default" w:ascii="Times New Roman" w:hAnsi="Times New Roman" w:eastAsia="方正仿宋_GBK" w:cs="Times New Roman"/>
          <w:color w:val="auto"/>
          <w:kern w:val="0"/>
          <w:sz w:val="32"/>
          <w:szCs w:val="32"/>
          <w:shd w:val="clear" w:color="auto" w:fill="FFFFFF"/>
        </w:rPr>
        <w:t>企业</w:t>
      </w:r>
      <w:r>
        <w:rPr>
          <w:rFonts w:hint="default" w:ascii="Times New Roman" w:hAnsi="Times New Roman" w:eastAsia="方正仿宋_GBK" w:cs="Times New Roman"/>
          <w:color w:val="auto"/>
          <w:kern w:val="0"/>
          <w:sz w:val="32"/>
          <w:szCs w:val="32"/>
          <w:shd w:val="clear" w:color="auto" w:fill="FFFFFF"/>
          <w:lang w:val="en-US" w:eastAsia="zh-CN"/>
        </w:rPr>
        <w:t>5家、</w:t>
      </w:r>
      <w:r>
        <w:rPr>
          <w:rFonts w:hint="default" w:ascii="Times New Roman" w:hAnsi="Times New Roman" w:eastAsia="方正仿宋_GBK" w:cs="Times New Roman"/>
          <w:color w:val="auto"/>
          <w:kern w:val="0"/>
          <w:sz w:val="32"/>
          <w:szCs w:val="32"/>
          <w:shd w:val="clear" w:color="auto" w:fill="FFFFFF"/>
        </w:rPr>
        <w:t>配套供应商</w:t>
      </w:r>
      <w:r>
        <w:rPr>
          <w:rFonts w:hint="default" w:ascii="Times New Roman" w:hAnsi="Times New Roman" w:eastAsia="方正仿宋_GBK" w:cs="Times New Roman"/>
          <w:color w:val="auto"/>
          <w:kern w:val="0"/>
          <w:sz w:val="32"/>
          <w:szCs w:val="32"/>
          <w:shd w:val="clear" w:color="auto" w:fill="FFFFFF"/>
          <w:lang w:val="en-US" w:eastAsia="zh-CN"/>
        </w:rPr>
        <w:t>10家，规上企业数量突破25家，企业总数突破800家，新增</w:t>
      </w:r>
      <w:r>
        <w:rPr>
          <w:rFonts w:hint="default" w:ascii="Times New Roman" w:hAnsi="Times New Roman" w:eastAsia="方正仿宋_GBK" w:cs="Times New Roman"/>
          <w:color w:val="auto"/>
          <w:kern w:val="0"/>
          <w:sz w:val="32"/>
          <w:szCs w:val="32"/>
          <w:shd w:val="clear" w:color="auto" w:fill="FFFFFF"/>
        </w:rPr>
        <w:t>中高端</w:t>
      </w:r>
      <w:r>
        <w:rPr>
          <w:rFonts w:hint="default" w:ascii="Times New Roman" w:hAnsi="Times New Roman" w:eastAsia="方正仿宋_GBK" w:cs="Times New Roman"/>
          <w:color w:val="auto"/>
          <w:kern w:val="0"/>
          <w:sz w:val="32"/>
          <w:szCs w:val="32"/>
          <w:shd w:val="clear" w:color="auto" w:fill="FFFFFF"/>
          <w:lang w:val="en-US" w:eastAsia="zh-CN"/>
        </w:rPr>
        <w:t>人才</w:t>
      </w:r>
      <w:r>
        <w:rPr>
          <w:rFonts w:hint="default" w:ascii="Times New Roman" w:hAnsi="Times New Roman" w:eastAsia="方正仿宋_GBK" w:cs="Times New Roman"/>
          <w:color w:val="auto"/>
          <w:kern w:val="0"/>
          <w:sz w:val="32"/>
          <w:szCs w:val="32"/>
          <w:shd w:val="clear" w:color="auto" w:fill="FFFFFF"/>
        </w:rPr>
        <w:t>1000人</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从业人员超1.5万人</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创新能力持续突破，</w:t>
      </w:r>
      <w:r>
        <w:rPr>
          <w:rFonts w:hint="default" w:ascii="Times New Roman" w:hAnsi="Times New Roman" w:eastAsia="方正仿宋_GBK" w:cs="Times New Roman"/>
          <w:color w:val="auto"/>
          <w:kern w:val="0"/>
          <w:sz w:val="32"/>
          <w:szCs w:val="32"/>
          <w:lang w:val="en-US" w:eastAsia="zh-CN"/>
        </w:rPr>
        <w:t>搭建</w:t>
      </w:r>
      <w:r>
        <w:rPr>
          <w:rFonts w:hint="default" w:ascii="Times New Roman" w:hAnsi="Times New Roman" w:eastAsia="方正仿宋_GBK" w:cs="Times New Roman"/>
          <w:color w:val="auto"/>
          <w:kern w:val="0"/>
          <w:sz w:val="32"/>
          <w:szCs w:val="32"/>
          <w:shd w:val="clear" w:color="auto" w:fill="FFFFFF"/>
        </w:rPr>
        <w:t>研发中心</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创新创业平台、产业综合服务平台5个</w:t>
      </w:r>
      <w:r>
        <w:rPr>
          <w:rFonts w:hint="default" w:ascii="Times New Roman" w:hAnsi="Times New Roman" w:eastAsia="方正仿宋_GBK" w:cs="Times New Roman"/>
          <w:color w:val="auto"/>
          <w:kern w:val="0"/>
          <w:sz w:val="32"/>
          <w:szCs w:val="32"/>
          <w:shd w:val="clear" w:color="auto" w:fill="FFFFFF"/>
        </w:rPr>
        <w:t>，攻关</w:t>
      </w:r>
      <w:r>
        <w:rPr>
          <w:rFonts w:hint="default" w:ascii="Times New Roman" w:hAnsi="Times New Roman" w:eastAsia="方正仿宋_GBK" w:cs="Times New Roman"/>
          <w:color w:val="auto"/>
          <w:sz w:val="32"/>
          <w:szCs w:val="32"/>
        </w:rPr>
        <w:t>产业</w:t>
      </w:r>
      <w:r>
        <w:rPr>
          <w:rFonts w:hint="default" w:ascii="Times New Roman" w:hAnsi="Times New Roman" w:eastAsia="方正仿宋_GBK" w:cs="Times New Roman"/>
          <w:color w:val="auto"/>
          <w:kern w:val="0"/>
          <w:sz w:val="32"/>
          <w:szCs w:val="32"/>
          <w:shd w:val="clear" w:color="auto" w:fill="FFFFFF"/>
        </w:rPr>
        <w:t>核心技术卡点</w:t>
      </w:r>
      <w:r>
        <w:rPr>
          <w:rFonts w:hint="default" w:ascii="Times New Roman" w:hAnsi="Times New Roman" w:eastAsia="方正仿宋_GBK" w:cs="Times New Roman"/>
          <w:color w:val="auto"/>
          <w:kern w:val="0"/>
          <w:sz w:val="32"/>
          <w:szCs w:val="32"/>
          <w:shd w:val="clear" w:color="auto" w:fill="FFFFFF"/>
          <w:lang w:val="en-US" w:eastAsia="zh-CN"/>
        </w:rPr>
        <w:t>5</w:t>
      </w:r>
      <w:r>
        <w:rPr>
          <w:rFonts w:hint="default" w:ascii="Times New Roman" w:hAnsi="Times New Roman" w:eastAsia="方正仿宋_GBK" w:cs="Times New Roman"/>
          <w:color w:val="auto"/>
          <w:kern w:val="0"/>
          <w:sz w:val="32"/>
          <w:szCs w:val="32"/>
          <w:shd w:val="clear" w:color="auto" w:fill="FFFFFF"/>
        </w:rPr>
        <w:t>个</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打造</w:t>
      </w:r>
      <w:r>
        <w:rPr>
          <w:rFonts w:hint="default" w:ascii="Times New Roman" w:hAnsi="Times New Roman" w:eastAsia="方正仿宋_GBK" w:cs="Times New Roman"/>
          <w:color w:val="auto"/>
          <w:kern w:val="0"/>
          <w:sz w:val="32"/>
          <w:szCs w:val="32"/>
          <w:shd w:val="clear" w:color="auto" w:fill="FFFFFF"/>
          <w:lang w:val="en-US" w:eastAsia="zh-CN"/>
        </w:rPr>
        <w:t>技术</w:t>
      </w:r>
      <w:r>
        <w:rPr>
          <w:rFonts w:hint="default" w:ascii="Times New Roman" w:hAnsi="Times New Roman" w:eastAsia="方正仿宋_GBK" w:cs="Times New Roman"/>
          <w:color w:val="auto"/>
          <w:kern w:val="0"/>
          <w:sz w:val="32"/>
          <w:szCs w:val="32"/>
          <w:shd w:val="clear" w:color="auto" w:fill="FFFFFF"/>
        </w:rPr>
        <w:t>创新研究或成果转化示范项目2个</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征集发布</w:t>
      </w:r>
      <w:r>
        <w:rPr>
          <w:rFonts w:hint="default" w:ascii="Times New Roman" w:hAnsi="Times New Roman" w:eastAsia="方正仿宋_GBK" w:cs="Times New Roman"/>
          <w:color w:val="auto"/>
          <w:sz w:val="32"/>
          <w:szCs w:val="32"/>
        </w:rPr>
        <w:t>区级优秀软件产品</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个，培育市级优秀软件产品</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0个</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lang w:val="en-US" w:eastAsia="zh-CN"/>
        </w:rPr>
        <w:t>应用场景持续拓展，围绕智能生产、智能政务、智能生活三大场景探索开展场景</w:t>
      </w:r>
      <w:r>
        <w:rPr>
          <w:rFonts w:hint="default" w:ascii="Times New Roman" w:hAnsi="Times New Roman" w:eastAsia="方正仿宋_GBK" w:cs="Times New Roman"/>
          <w:color w:val="auto"/>
          <w:kern w:val="0"/>
          <w:sz w:val="32"/>
          <w:szCs w:val="32"/>
          <w:shd w:val="clear" w:color="auto" w:fill="FFFFFF"/>
        </w:rPr>
        <w:t>示范项目</w:t>
      </w:r>
      <w:r>
        <w:rPr>
          <w:rFonts w:hint="default" w:ascii="Times New Roman" w:hAnsi="Times New Roman" w:eastAsia="方正仿宋_GBK" w:cs="Times New Roman"/>
          <w:color w:val="auto"/>
          <w:kern w:val="0"/>
          <w:sz w:val="32"/>
          <w:szCs w:val="32"/>
          <w:shd w:val="clear" w:color="auto" w:fill="FFFFFF"/>
          <w:lang w:val="en-US" w:eastAsia="zh-CN"/>
        </w:rPr>
        <w:t>10</w:t>
      </w:r>
      <w:r>
        <w:rPr>
          <w:rFonts w:hint="default" w:ascii="Times New Roman" w:hAnsi="Times New Roman" w:eastAsia="方正仿宋_GBK" w:cs="Times New Roman"/>
          <w:color w:val="auto"/>
          <w:kern w:val="0"/>
          <w:sz w:val="32"/>
          <w:szCs w:val="32"/>
          <w:shd w:val="clear" w:color="auto" w:fill="FFFFFF"/>
        </w:rPr>
        <w:t>个</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构造产业</w:t>
      </w:r>
      <w:r>
        <w:rPr>
          <w:rFonts w:hint="default" w:ascii="Times New Roman" w:hAnsi="Times New Roman" w:eastAsia="方正仿宋_GBK" w:cs="Times New Roman"/>
          <w:color w:val="auto"/>
          <w:kern w:val="0"/>
          <w:sz w:val="32"/>
          <w:szCs w:val="32"/>
          <w:shd w:val="clear" w:color="auto" w:fill="FFFFFF"/>
        </w:rPr>
        <w:t>标杆</w:t>
      </w:r>
      <w:r>
        <w:rPr>
          <w:rFonts w:hint="default" w:ascii="Times New Roman" w:hAnsi="Times New Roman" w:eastAsia="方正仿宋_GBK" w:cs="Times New Roman"/>
          <w:color w:val="auto"/>
          <w:kern w:val="0"/>
          <w:sz w:val="32"/>
          <w:szCs w:val="32"/>
          <w:shd w:val="clear" w:color="auto" w:fill="FFFFFF"/>
          <w:lang w:val="en-US" w:eastAsia="zh-CN"/>
        </w:rPr>
        <w:t>应用场景5个。</w:t>
      </w:r>
    </w:p>
    <w:p w14:paraId="539929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lang w:val="en-US" w:eastAsia="zh-CN"/>
        </w:rPr>
        <w:t>表1 软信领域重点新兴产业总体目标表</w:t>
      </w:r>
    </w:p>
    <w:tbl>
      <w:tblPr>
        <w:tblStyle w:val="12"/>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970"/>
        <w:gridCol w:w="1128"/>
        <w:gridCol w:w="1128"/>
        <w:gridCol w:w="1128"/>
        <w:gridCol w:w="1129"/>
      </w:tblGrid>
      <w:tr w14:paraId="1B84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Align w:val="center"/>
          </w:tcPr>
          <w:p w14:paraId="3FBFC7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目标分类</w:t>
            </w:r>
          </w:p>
        </w:tc>
        <w:tc>
          <w:tcPr>
            <w:tcW w:w="2970" w:type="dxa"/>
            <w:vAlign w:val="center"/>
          </w:tcPr>
          <w:p w14:paraId="23BF656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目标名称</w:t>
            </w:r>
          </w:p>
        </w:tc>
        <w:tc>
          <w:tcPr>
            <w:tcW w:w="1128" w:type="dxa"/>
            <w:vAlign w:val="center"/>
          </w:tcPr>
          <w:p w14:paraId="001274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2024年</w:t>
            </w:r>
          </w:p>
        </w:tc>
        <w:tc>
          <w:tcPr>
            <w:tcW w:w="1128" w:type="dxa"/>
            <w:vAlign w:val="center"/>
          </w:tcPr>
          <w:p w14:paraId="44C00BC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2025年</w:t>
            </w:r>
          </w:p>
        </w:tc>
        <w:tc>
          <w:tcPr>
            <w:tcW w:w="1128" w:type="dxa"/>
            <w:vAlign w:val="center"/>
          </w:tcPr>
          <w:p w14:paraId="69B92A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2026年</w:t>
            </w:r>
          </w:p>
        </w:tc>
        <w:tc>
          <w:tcPr>
            <w:tcW w:w="1129" w:type="dxa"/>
            <w:vAlign w:val="center"/>
          </w:tcPr>
          <w:p w14:paraId="41C8C38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2027年</w:t>
            </w:r>
          </w:p>
        </w:tc>
      </w:tr>
      <w:tr w14:paraId="61E8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restart"/>
            <w:vAlign w:val="center"/>
          </w:tcPr>
          <w:p w14:paraId="7818AE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产业规模</w:t>
            </w:r>
          </w:p>
        </w:tc>
        <w:tc>
          <w:tcPr>
            <w:tcW w:w="2970" w:type="dxa"/>
            <w:vAlign w:val="center"/>
          </w:tcPr>
          <w:p w14:paraId="0563B3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载体面积/万平方米</w:t>
            </w:r>
          </w:p>
        </w:tc>
        <w:tc>
          <w:tcPr>
            <w:tcW w:w="1128" w:type="dxa"/>
            <w:vAlign w:val="center"/>
          </w:tcPr>
          <w:p w14:paraId="6BFEAF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6.7</w:t>
            </w:r>
          </w:p>
        </w:tc>
        <w:tc>
          <w:tcPr>
            <w:tcW w:w="1128" w:type="dxa"/>
            <w:vAlign w:val="center"/>
          </w:tcPr>
          <w:p w14:paraId="3FB5C4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c>
          <w:tcPr>
            <w:tcW w:w="1128" w:type="dxa"/>
            <w:vAlign w:val="center"/>
          </w:tcPr>
          <w:p w14:paraId="3C5D99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15</w:t>
            </w:r>
          </w:p>
        </w:tc>
        <w:tc>
          <w:tcPr>
            <w:tcW w:w="1129" w:type="dxa"/>
            <w:vAlign w:val="center"/>
          </w:tcPr>
          <w:p w14:paraId="55AA05E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w:t>
            </w:r>
          </w:p>
        </w:tc>
      </w:tr>
      <w:tr w14:paraId="229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67DFB2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460300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产值/亿元</w:t>
            </w:r>
          </w:p>
        </w:tc>
        <w:tc>
          <w:tcPr>
            <w:tcW w:w="1128" w:type="dxa"/>
            <w:vAlign w:val="center"/>
          </w:tcPr>
          <w:p w14:paraId="7FFD9C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70</w:t>
            </w:r>
          </w:p>
        </w:tc>
        <w:tc>
          <w:tcPr>
            <w:tcW w:w="1128" w:type="dxa"/>
            <w:vAlign w:val="center"/>
          </w:tcPr>
          <w:p w14:paraId="16FD28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84</w:t>
            </w:r>
          </w:p>
        </w:tc>
        <w:tc>
          <w:tcPr>
            <w:tcW w:w="1128" w:type="dxa"/>
            <w:vAlign w:val="center"/>
          </w:tcPr>
          <w:p w14:paraId="2BFA8B7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101</w:t>
            </w:r>
          </w:p>
        </w:tc>
        <w:tc>
          <w:tcPr>
            <w:tcW w:w="1129" w:type="dxa"/>
            <w:vAlign w:val="center"/>
          </w:tcPr>
          <w:p w14:paraId="65FBB7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120</w:t>
            </w:r>
          </w:p>
        </w:tc>
      </w:tr>
      <w:tr w14:paraId="259A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585B27F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7B8B48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新招引链主企业/家</w:t>
            </w:r>
          </w:p>
        </w:tc>
        <w:tc>
          <w:tcPr>
            <w:tcW w:w="1128" w:type="dxa"/>
            <w:vAlign w:val="center"/>
          </w:tcPr>
          <w:p w14:paraId="01CC3E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1FE2B80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59819D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6DED2F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r w14:paraId="6989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323B87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66F4CD7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新招引配套供应商/家</w:t>
            </w:r>
          </w:p>
        </w:tc>
        <w:tc>
          <w:tcPr>
            <w:tcW w:w="1128" w:type="dxa"/>
            <w:vAlign w:val="center"/>
          </w:tcPr>
          <w:p w14:paraId="17FE51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AD809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w:t>
            </w:r>
          </w:p>
        </w:tc>
        <w:tc>
          <w:tcPr>
            <w:tcW w:w="1128" w:type="dxa"/>
            <w:vAlign w:val="center"/>
          </w:tcPr>
          <w:p w14:paraId="013754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w:t>
            </w:r>
          </w:p>
        </w:tc>
        <w:tc>
          <w:tcPr>
            <w:tcW w:w="1129" w:type="dxa"/>
            <w:vAlign w:val="center"/>
          </w:tcPr>
          <w:p w14:paraId="0B6E94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r>
      <w:tr w14:paraId="60FB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6736E0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28FAB3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规上企业数量/家</w:t>
            </w:r>
          </w:p>
        </w:tc>
        <w:tc>
          <w:tcPr>
            <w:tcW w:w="1128" w:type="dxa"/>
            <w:vAlign w:val="center"/>
          </w:tcPr>
          <w:p w14:paraId="2F979A7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w:t>
            </w:r>
          </w:p>
        </w:tc>
        <w:tc>
          <w:tcPr>
            <w:tcW w:w="1128" w:type="dxa"/>
            <w:vAlign w:val="center"/>
          </w:tcPr>
          <w:p w14:paraId="72A659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16</w:t>
            </w:r>
          </w:p>
        </w:tc>
        <w:tc>
          <w:tcPr>
            <w:tcW w:w="1128" w:type="dxa"/>
            <w:vAlign w:val="center"/>
          </w:tcPr>
          <w:p w14:paraId="47BC79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w:t>
            </w:r>
          </w:p>
        </w:tc>
        <w:tc>
          <w:tcPr>
            <w:tcW w:w="1129" w:type="dxa"/>
            <w:vAlign w:val="center"/>
          </w:tcPr>
          <w:p w14:paraId="5DB7DC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25</w:t>
            </w:r>
          </w:p>
        </w:tc>
      </w:tr>
      <w:tr w14:paraId="5E49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78C046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292D24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企业总数/家</w:t>
            </w:r>
          </w:p>
        </w:tc>
        <w:tc>
          <w:tcPr>
            <w:tcW w:w="1128" w:type="dxa"/>
            <w:vAlign w:val="center"/>
          </w:tcPr>
          <w:p w14:paraId="188EDB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487</w:t>
            </w:r>
          </w:p>
        </w:tc>
        <w:tc>
          <w:tcPr>
            <w:tcW w:w="1128" w:type="dxa"/>
            <w:vAlign w:val="center"/>
          </w:tcPr>
          <w:p w14:paraId="3C7FCF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583</w:t>
            </w:r>
          </w:p>
        </w:tc>
        <w:tc>
          <w:tcPr>
            <w:tcW w:w="1128" w:type="dxa"/>
            <w:vAlign w:val="center"/>
          </w:tcPr>
          <w:p w14:paraId="3AFFE7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690</w:t>
            </w:r>
          </w:p>
        </w:tc>
        <w:tc>
          <w:tcPr>
            <w:tcW w:w="1129" w:type="dxa"/>
            <w:vAlign w:val="center"/>
          </w:tcPr>
          <w:p w14:paraId="192DD8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800</w:t>
            </w:r>
          </w:p>
        </w:tc>
      </w:tr>
      <w:tr w14:paraId="16E8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3E2842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1F41BB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新增中高端人才/人</w:t>
            </w:r>
          </w:p>
        </w:tc>
        <w:tc>
          <w:tcPr>
            <w:tcW w:w="1128" w:type="dxa"/>
            <w:vAlign w:val="center"/>
          </w:tcPr>
          <w:p w14:paraId="78DA73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BA6E3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200</w:t>
            </w:r>
          </w:p>
        </w:tc>
        <w:tc>
          <w:tcPr>
            <w:tcW w:w="1128" w:type="dxa"/>
            <w:vAlign w:val="center"/>
          </w:tcPr>
          <w:p w14:paraId="26730C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600</w:t>
            </w:r>
          </w:p>
        </w:tc>
        <w:tc>
          <w:tcPr>
            <w:tcW w:w="1129" w:type="dxa"/>
            <w:vAlign w:val="center"/>
          </w:tcPr>
          <w:p w14:paraId="2D4CDB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1000</w:t>
            </w:r>
          </w:p>
        </w:tc>
      </w:tr>
      <w:tr w14:paraId="21C3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0DDA8C3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64C9DA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从业人员数量/人</w:t>
            </w:r>
          </w:p>
        </w:tc>
        <w:tc>
          <w:tcPr>
            <w:tcW w:w="1128" w:type="dxa"/>
            <w:vAlign w:val="center"/>
          </w:tcPr>
          <w:p w14:paraId="28E56E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11341</w:t>
            </w:r>
          </w:p>
        </w:tc>
        <w:tc>
          <w:tcPr>
            <w:tcW w:w="1128" w:type="dxa"/>
            <w:vAlign w:val="center"/>
          </w:tcPr>
          <w:p w14:paraId="3A3578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12480</w:t>
            </w:r>
          </w:p>
        </w:tc>
        <w:tc>
          <w:tcPr>
            <w:tcW w:w="1128" w:type="dxa"/>
            <w:vAlign w:val="center"/>
          </w:tcPr>
          <w:p w14:paraId="5E0D36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13690</w:t>
            </w:r>
          </w:p>
        </w:tc>
        <w:tc>
          <w:tcPr>
            <w:tcW w:w="1129" w:type="dxa"/>
            <w:vAlign w:val="center"/>
          </w:tcPr>
          <w:p w14:paraId="1137B4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15000</w:t>
            </w:r>
          </w:p>
        </w:tc>
      </w:tr>
      <w:tr w14:paraId="743A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restart"/>
            <w:vAlign w:val="center"/>
          </w:tcPr>
          <w:p w14:paraId="3791C7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创新能力</w:t>
            </w:r>
          </w:p>
        </w:tc>
        <w:tc>
          <w:tcPr>
            <w:tcW w:w="2970" w:type="dxa"/>
            <w:vAlign w:val="center"/>
          </w:tcPr>
          <w:p w14:paraId="5DBD28E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创新平台数量/个</w:t>
            </w:r>
          </w:p>
        </w:tc>
        <w:tc>
          <w:tcPr>
            <w:tcW w:w="1128" w:type="dxa"/>
            <w:vAlign w:val="center"/>
          </w:tcPr>
          <w:p w14:paraId="1A508D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2491DF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4A4D84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74B6C1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r w14:paraId="0FBB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4A5B6E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08A412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攻关产业核心技术卡点/个</w:t>
            </w:r>
          </w:p>
        </w:tc>
        <w:tc>
          <w:tcPr>
            <w:tcW w:w="1128" w:type="dxa"/>
            <w:vAlign w:val="center"/>
          </w:tcPr>
          <w:p w14:paraId="2DCE8F9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0507FF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78E6CD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5ED8FA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r w14:paraId="423E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1FB4C2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55F9EA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技术创新研究或成果转化示范项目/个</w:t>
            </w:r>
          </w:p>
        </w:tc>
        <w:tc>
          <w:tcPr>
            <w:tcW w:w="1128" w:type="dxa"/>
            <w:vAlign w:val="center"/>
          </w:tcPr>
          <w:p w14:paraId="64F301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10FC7F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97318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9" w:type="dxa"/>
            <w:vAlign w:val="center"/>
          </w:tcPr>
          <w:p w14:paraId="201A11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w:t>
            </w:r>
          </w:p>
        </w:tc>
      </w:tr>
      <w:tr w14:paraId="6A12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20DFA91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614396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区级优秀软件产品/个</w:t>
            </w:r>
          </w:p>
        </w:tc>
        <w:tc>
          <w:tcPr>
            <w:tcW w:w="1128" w:type="dxa"/>
            <w:vAlign w:val="center"/>
          </w:tcPr>
          <w:p w14:paraId="176D79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c>
          <w:tcPr>
            <w:tcW w:w="1128" w:type="dxa"/>
            <w:vAlign w:val="center"/>
          </w:tcPr>
          <w:p w14:paraId="75BEE7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w:t>
            </w:r>
          </w:p>
        </w:tc>
        <w:tc>
          <w:tcPr>
            <w:tcW w:w="1128" w:type="dxa"/>
            <w:vAlign w:val="center"/>
          </w:tcPr>
          <w:p w14:paraId="356619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35</w:t>
            </w:r>
          </w:p>
        </w:tc>
        <w:tc>
          <w:tcPr>
            <w:tcW w:w="1129" w:type="dxa"/>
            <w:vAlign w:val="center"/>
          </w:tcPr>
          <w:p w14:paraId="408EC94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50</w:t>
            </w:r>
          </w:p>
        </w:tc>
      </w:tr>
      <w:tr w14:paraId="09BD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69F272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36018DF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市级优秀软件产品/个</w:t>
            </w:r>
          </w:p>
        </w:tc>
        <w:tc>
          <w:tcPr>
            <w:tcW w:w="1128" w:type="dxa"/>
            <w:vAlign w:val="center"/>
          </w:tcPr>
          <w:p w14:paraId="5BD1C9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8" w:type="dxa"/>
            <w:vAlign w:val="center"/>
          </w:tcPr>
          <w:p w14:paraId="572E86F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c>
          <w:tcPr>
            <w:tcW w:w="1128" w:type="dxa"/>
            <w:vAlign w:val="center"/>
          </w:tcPr>
          <w:p w14:paraId="112C1F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7</w:t>
            </w:r>
          </w:p>
        </w:tc>
        <w:tc>
          <w:tcPr>
            <w:tcW w:w="1129" w:type="dxa"/>
            <w:vAlign w:val="center"/>
          </w:tcPr>
          <w:p w14:paraId="326A8F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r>
      <w:tr w14:paraId="0150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restart"/>
            <w:vAlign w:val="center"/>
          </w:tcPr>
          <w:p w14:paraId="6096DE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应用场景</w:t>
            </w:r>
          </w:p>
        </w:tc>
        <w:tc>
          <w:tcPr>
            <w:tcW w:w="2970" w:type="dxa"/>
            <w:vAlign w:val="center"/>
          </w:tcPr>
          <w:p w14:paraId="003F84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场景示范项目/个</w:t>
            </w:r>
          </w:p>
        </w:tc>
        <w:tc>
          <w:tcPr>
            <w:tcW w:w="1128" w:type="dxa"/>
            <w:vAlign w:val="center"/>
          </w:tcPr>
          <w:p w14:paraId="32B01E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F62FB6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w:t>
            </w:r>
          </w:p>
        </w:tc>
        <w:tc>
          <w:tcPr>
            <w:tcW w:w="1128" w:type="dxa"/>
            <w:vAlign w:val="center"/>
          </w:tcPr>
          <w:p w14:paraId="4A48A6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w:t>
            </w:r>
          </w:p>
        </w:tc>
        <w:tc>
          <w:tcPr>
            <w:tcW w:w="1129" w:type="dxa"/>
            <w:vAlign w:val="center"/>
          </w:tcPr>
          <w:p w14:paraId="67A530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r>
      <w:tr w14:paraId="203E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4F2D84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051AE5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产业标杆应用场景/个</w:t>
            </w:r>
          </w:p>
        </w:tc>
        <w:tc>
          <w:tcPr>
            <w:tcW w:w="1128" w:type="dxa"/>
            <w:vAlign w:val="center"/>
          </w:tcPr>
          <w:p w14:paraId="1ECBDE1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3A3F9D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210693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5F9C9C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bl>
    <w:p w14:paraId="553172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sz w:val="28"/>
          <w:szCs w:val="28"/>
          <w:lang w:val="en-US" w:eastAsia="zh-CN"/>
        </w:rPr>
        <w:t>表2 软信领域重点新兴产业细分产业目标表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094"/>
        <w:gridCol w:w="1302"/>
        <w:gridCol w:w="1302"/>
        <w:gridCol w:w="1302"/>
        <w:gridCol w:w="1305"/>
      </w:tblGrid>
      <w:tr w14:paraId="2EBD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4" w:type="dxa"/>
            <w:vAlign w:val="center"/>
          </w:tcPr>
          <w:p w14:paraId="1CC030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产业门类</w:t>
            </w:r>
          </w:p>
        </w:tc>
        <w:tc>
          <w:tcPr>
            <w:tcW w:w="2094" w:type="dxa"/>
            <w:vAlign w:val="center"/>
          </w:tcPr>
          <w:p w14:paraId="29C935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目标名称</w:t>
            </w:r>
          </w:p>
        </w:tc>
        <w:tc>
          <w:tcPr>
            <w:tcW w:w="1302" w:type="dxa"/>
            <w:vAlign w:val="center"/>
          </w:tcPr>
          <w:p w14:paraId="12C1F6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2024年</w:t>
            </w:r>
          </w:p>
        </w:tc>
        <w:tc>
          <w:tcPr>
            <w:tcW w:w="1302" w:type="dxa"/>
            <w:vAlign w:val="center"/>
          </w:tcPr>
          <w:p w14:paraId="64C78F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2025年</w:t>
            </w:r>
          </w:p>
        </w:tc>
        <w:tc>
          <w:tcPr>
            <w:tcW w:w="1302" w:type="dxa"/>
            <w:vAlign w:val="center"/>
          </w:tcPr>
          <w:p w14:paraId="37B7FE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2026年</w:t>
            </w:r>
          </w:p>
        </w:tc>
        <w:tc>
          <w:tcPr>
            <w:tcW w:w="1305" w:type="dxa"/>
            <w:vAlign w:val="center"/>
          </w:tcPr>
          <w:p w14:paraId="0835E3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2027年</w:t>
            </w:r>
          </w:p>
        </w:tc>
      </w:tr>
      <w:tr w14:paraId="0616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03B972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卫星互联网</w:t>
            </w:r>
          </w:p>
        </w:tc>
        <w:tc>
          <w:tcPr>
            <w:tcW w:w="2094" w:type="dxa"/>
            <w:vAlign w:val="center"/>
          </w:tcPr>
          <w:p w14:paraId="22E51B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0CC0FD1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77DE425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w:t>
            </w:r>
          </w:p>
        </w:tc>
        <w:tc>
          <w:tcPr>
            <w:tcW w:w="1302" w:type="dxa"/>
            <w:vAlign w:val="center"/>
          </w:tcPr>
          <w:p w14:paraId="4DE2E40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7</w:t>
            </w:r>
          </w:p>
        </w:tc>
        <w:tc>
          <w:tcPr>
            <w:tcW w:w="1305" w:type="dxa"/>
            <w:vAlign w:val="center"/>
          </w:tcPr>
          <w:p w14:paraId="3A6CFC1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w:t>
            </w:r>
          </w:p>
        </w:tc>
      </w:tr>
      <w:tr w14:paraId="2917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5C714B9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vAlign w:val="center"/>
          </w:tcPr>
          <w:p w14:paraId="11A5A82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04B4DE6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0</w:t>
            </w:r>
          </w:p>
        </w:tc>
        <w:tc>
          <w:tcPr>
            <w:tcW w:w="1302" w:type="dxa"/>
            <w:vAlign w:val="center"/>
          </w:tcPr>
          <w:p w14:paraId="1C4E695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w:t>
            </w:r>
          </w:p>
        </w:tc>
        <w:tc>
          <w:tcPr>
            <w:tcW w:w="1302" w:type="dxa"/>
            <w:vAlign w:val="center"/>
          </w:tcPr>
          <w:p w14:paraId="76E2995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w:t>
            </w:r>
          </w:p>
        </w:tc>
        <w:tc>
          <w:tcPr>
            <w:tcW w:w="1305" w:type="dxa"/>
            <w:vAlign w:val="center"/>
          </w:tcPr>
          <w:p w14:paraId="3B813C7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r>
      <w:tr w14:paraId="467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3EAF2F2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vAlign w:val="center"/>
          </w:tcPr>
          <w:p w14:paraId="1B66E8D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0827424F">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5</w:t>
            </w:r>
          </w:p>
        </w:tc>
        <w:tc>
          <w:tcPr>
            <w:tcW w:w="1302" w:type="dxa"/>
            <w:vAlign w:val="center"/>
          </w:tcPr>
          <w:p w14:paraId="416DDC9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w:t>
            </w:r>
          </w:p>
        </w:tc>
        <w:tc>
          <w:tcPr>
            <w:tcW w:w="1302" w:type="dxa"/>
            <w:vAlign w:val="center"/>
          </w:tcPr>
          <w:p w14:paraId="296F653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28</w:t>
            </w:r>
          </w:p>
        </w:tc>
        <w:tc>
          <w:tcPr>
            <w:tcW w:w="1305" w:type="dxa"/>
            <w:vAlign w:val="center"/>
          </w:tcPr>
          <w:p w14:paraId="1835ED16">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40</w:t>
            </w:r>
          </w:p>
        </w:tc>
      </w:tr>
      <w:tr w14:paraId="54DE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A23E5C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vAlign w:val="center"/>
          </w:tcPr>
          <w:p w14:paraId="1CD3F96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160570A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85</w:t>
            </w:r>
          </w:p>
        </w:tc>
        <w:tc>
          <w:tcPr>
            <w:tcW w:w="1302" w:type="dxa"/>
            <w:vAlign w:val="center"/>
          </w:tcPr>
          <w:p w14:paraId="2024C3A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190</w:t>
            </w:r>
          </w:p>
        </w:tc>
        <w:tc>
          <w:tcPr>
            <w:tcW w:w="1302" w:type="dxa"/>
            <w:vAlign w:val="center"/>
          </w:tcPr>
          <w:p w14:paraId="747221B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295</w:t>
            </w:r>
          </w:p>
        </w:tc>
        <w:tc>
          <w:tcPr>
            <w:tcW w:w="1305" w:type="dxa"/>
            <w:vAlign w:val="center"/>
          </w:tcPr>
          <w:p w14:paraId="0B90A33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400</w:t>
            </w:r>
          </w:p>
        </w:tc>
      </w:tr>
      <w:tr w14:paraId="7D83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6052EF2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工业互联网</w:t>
            </w:r>
          </w:p>
        </w:tc>
        <w:tc>
          <w:tcPr>
            <w:tcW w:w="2094" w:type="dxa"/>
            <w:shd w:val="clear" w:color="auto" w:fill="auto"/>
            <w:vAlign w:val="center"/>
          </w:tcPr>
          <w:p w14:paraId="5276C0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1BCFAEE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w:t>
            </w:r>
          </w:p>
        </w:tc>
        <w:tc>
          <w:tcPr>
            <w:tcW w:w="1302" w:type="dxa"/>
            <w:vAlign w:val="center"/>
          </w:tcPr>
          <w:p w14:paraId="3AC2462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18</w:t>
            </w:r>
          </w:p>
        </w:tc>
        <w:tc>
          <w:tcPr>
            <w:tcW w:w="1302" w:type="dxa"/>
            <w:vAlign w:val="center"/>
          </w:tcPr>
          <w:p w14:paraId="0F219AC6">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21</w:t>
            </w:r>
          </w:p>
        </w:tc>
        <w:tc>
          <w:tcPr>
            <w:tcW w:w="1305" w:type="dxa"/>
            <w:vAlign w:val="center"/>
          </w:tcPr>
          <w:p w14:paraId="38F1EA6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25</w:t>
            </w:r>
          </w:p>
        </w:tc>
      </w:tr>
      <w:tr w14:paraId="2D7F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640047F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4F778D27">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7256DA4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120CE72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w:t>
            </w:r>
          </w:p>
        </w:tc>
        <w:tc>
          <w:tcPr>
            <w:tcW w:w="1302" w:type="dxa"/>
            <w:vAlign w:val="center"/>
          </w:tcPr>
          <w:p w14:paraId="06637CF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w:t>
            </w:r>
          </w:p>
        </w:tc>
        <w:tc>
          <w:tcPr>
            <w:tcW w:w="1305" w:type="dxa"/>
            <w:vAlign w:val="center"/>
          </w:tcPr>
          <w:p w14:paraId="62862F8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5</w:t>
            </w:r>
          </w:p>
        </w:tc>
      </w:tr>
      <w:tr w14:paraId="4816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705A7F55">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217D1462">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65B823F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73</w:t>
            </w:r>
          </w:p>
        </w:tc>
        <w:tc>
          <w:tcPr>
            <w:tcW w:w="1302" w:type="dxa"/>
            <w:vAlign w:val="center"/>
          </w:tcPr>
          <w:p w14:paraId="7A80432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95</w:t>
            </w:r>
          </w:p>
        </w:tc>
        <w:tc>
          <w:tcPr>
            <w:tcW w:w="1302" w:type="dxa"/>
            <w:vAlign w:val="center"/>
          </w:tcPr>
          <w:p w14:paraId="05136D5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126</w:t>
            </w:r>
          </w:p>
        </w:tc>
        <w:tc>
          <w:tcPr>
            <w:tcW w:w="1305" w:type="dxa"/>
            <w:vAlign w:val="center"/>
          </w:tcPr>
          <w:p w14:paraId="39F3009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160</w:t>
            </w:r>
          </w:p>
        </w:tc>
      </w:tr>
      <w:tr w14:paraId="384C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8B7703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1E172DC0">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5BBAE56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819</w:t>
            </w:r>
          </w:p>
        </w:tc>
        <w:tc>
          <w:tcPr>
            <w:tcW w:w="1302" w:type="dxa"/>
            <w:vAlign w:val="center"/>
          </w:tcPr>
          <w:p w14:paraId="3BFD5D1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1000</w:t>
            </w:r>
          </w:p>
        </w:tc>
        <w:tc>
          <w:tcPr>
            <w:tcW w:w="1302" w:type="dxa"/>
            <w:vAlign w:val="center"/>
          </w:tcPr>
          <w:p w14:paraId="5C28974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1250</w:t>
            </w:r>
          </w:p>
        </w:tc>
        <w:tc>
          <w:tcPr>
            <w:tcW w:w="1305" w:type="dxa"/>
            <w:vAlign w:val="center"/>
          </w:tcPr>
          <w:p w14:paraId="402BDD7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1600</w:t>
            </w:r>
          </w:p>
        </w:tc>
      </w:tr>
      <w:tr w14:paraId="31C0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5B246EF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人工智能</w:t>
            </w:r>
          </w:p>
        </w:tc>
        <w:tc>
          <w:tcPr>
            <w:tcW w:w="2094" w:type="dxa"/>
            <w:shd w:val="clear" w:color="auto" w:fill="auto"/>
            <w:vAlign w:val="center"/>
          </w:tcPr>
          <w:p w14:paraId="43D192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4DCAB13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40</w:t>
            </w:r>
          </w:p>
        </w:tc>
        <w:tc>
          <w:tcPr>
            <w:tcW w:w="1302" w:type="dxa"/>
            <w:vAlign w:val="center"/>
          </w:tcPr>
          <w:p w14:paraId="5E17A97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46</w:t>
            </w:r>
          </w:p>
        </w:tc>
        <w:tc>
          <w:tcPr>
            <w:tcW w:w="1302" w:type="dxa"/>
            <w:vAlign w:val="center"/>
          </w:tcPr>
          <w:p w14:paraId="29A276B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53</w:t>
            </w:r>
          </w:p>
        </w:tc>
        <w:tc>
          <w:tcPr>
            <w:tcW w:w="1305" w:type="dxa"/>
            <w:vAlign w:val="center"/>
          </w:tcPr>
          <w:p w14:paraId="1A23B63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60</w:t>
            </w:r>
          </w:p>
        </w:tc>
      </w:tr>
      <w:tr w14:paraId="39D4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6EFDC645">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676E597B">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14C3DAD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w:t>
            </w:r>
          </w:p>
        </w:tc>
        <w:tc>
          <w:tcPr>
            <w:tcW w:w="1302" w:type="dxa"/>
            <w:vAlign w:val="center"/>
          </w:tcPr>
          <w:p w14:paraId="1BA4A7C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w:t>
            </w:r>
          </w:p>
        </w:tc>
        <w:tc>
          <w:tcPr>
            <w:tcW w:w="1302" w:type="dxa"/>
            <w:vAlign w:val="center"/>
          </w:tcPr>
          <w:p w14:paraId="4918B44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w:t>
            </w:r>
          </w:p>
        </w:tc>
        <w:tc>
          <w:tcPr>
            <w:tcW w:w="1305" w:type="dxa"/>
            <w:vAlign w:val="center"/>
          </w:tcPr>
          <w:p w14:paraId="0907CC6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14</w:t>
            </w:r>
          </w:p>
        </w:tc>
      </w:tr>
      <w:tr w14:paraId="0DC4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FACDC5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0CB68AF9">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0938166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345</w:t>
            </w:r>
          </w:p>
        </w:tc>
        <w:tc>
          <w:tcPr>
            <w:tcW w:w="1302" w:type="dxa"/>
            <w:vAlign w:val="center"/>
          </w:tcPr>
          <w:p w14:paraId="70D886C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380</w:t>
            </w:r>
          </w:p>
        </w:tc>
        <w:tc>
          <w:tcPr>
            <w:tcW w:w="1302" w:type="dxa"/>
            <w:vAlign w:val="center"/>
          </w:tcPr>
          <w:p w14:paraId="1C5236F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415</w:t>
            </w:r>
          </w:p>
        </w:tc>
        <w:tc>
          <w:tcPr>
            <w:tcW w:w="1305" w:type="dxa"/>
            <w:vAlign w:val="center"/>
          </w:tcPr>
          <w:p w14:paraId="27AD09F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450</w:t>
            </w:r>
          </w:p>
        </w:tc>
      </w:tr>
      <w:tr w14:paraId="0A0C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3FC7DF8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6DEFFC81">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3442F5B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8312</w:t>
            </w:r>
          </w:p>
        </w:tc>
        <w:tc>
          <w:tcPr>
            <w:tcW w:w="1302" w:type="dxa"/>
            <w:vAlign w:val="center"/>
          </w:tcPr>
          <w:p w14:paraId="56BE01A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8874</w:t>
            </w:r>
          </w:p>
        </w:tc>
        <w:tc>
          <w:tcPr>
            <w:tcW w:w="1302" w:type="dxa"/>
            <w:vAlign w:val="center"/>
          </w:tcPr>
          <w:p w14:paraId="65583A9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9437</w:t>
            </w:r>
          </w:p>
        </w:tc>
        <w:tc>
          <w:tcPr>
            <w:tcW w:w="1305" w:type="dxa"/>
            <w:vAlign w:val="center"/>
          </w:tcPr>
          <w:p w14:paraId="4E3253E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10000</w:t>
            </w:r>
          </w:p>
        </w:tc>
      </w:tr>
      <w:tr w14:paraId="590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785803B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元宇宙</w:t>
            </w:r>
          </w:p>
        </w:tc>
        <w:tc>
          <w:tcPr>
            <w:tcW w:w="2094" w:type="dxa"/>
            <w:shd w:val="clear" w:color="auto" w:fill="auto"/>
            <w:vAlign w:val="center"/>
          </w:tcPr>
          <w:p w14:paraId="434354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1D3E122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w:t>
            </w:r>
          </w:p>
        </w:tc>
        <w:tc>
          <w:tcPr>
            <w:tcW w:w="1302" w:type="dxa"/>
            <w:vAlign w:val="center"/>
          </w:tcPr>
          <w:p w14:paraId="6D49688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w:t>
            </w:r>
          </w:p>
        </w:tc>
        <w:tc>
          <w:tcPr>
            <w:tcW w:w="1302" w:type="dxa"/>
            <w:vAlign w:val="center"/>
          </w:tcPr>
          <w:p w14:paraId="1F64D9D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20</w:t>
            </w:r>
          </w:p>
        </w:tc>
        <w:tc>
          <w:tcPr>
            <w:tcW w:w="1305" w:type="dxa"/>
            <w:vAlign w:val="center"/>
          </w:tcPr>
          <w:p w14:paraId="5A17C87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25</w:t>
            </w:r>
          </w:p>
        </w:tc>
      </w:tr>
      <w:tr w14:paraId="5DDC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3062A39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0FBD0E11">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0BAEAB0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4586F5F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6A47828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w:t>
            </w:r>
          </w:p>
        </w:tc>
        <w:tc>
          <w:tcPr>
            <w:tcW w:w="1305" w:type="dxa"/>
            <w:vAlign w:val="center"/>
          </w:tcPr>
          <w:p w14:paraId="6888378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w:t>
            </w:r>
          </w:p>
        </w:tc>
      </w:tr>
      <w:tr w14:paraId="1FA4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F7F113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0758D53B">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571574A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64</w:t>
            </w:r>
          </w:p>
        </w:tc>
        <w:tc>
          <w:tcPr>
            <w:tcW w:w="1302" w:type="dxa"/>
            <w:vAlign w:val="center"/>
          </w:tcPr>
          <w:p w14:paraId="0C2252B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92</w:t>
            </w:r>
          </w:p>
        </w:tc>
        <w:tc>
          <w:tcPr>
            <w:tcW w:w="1302" w:type="dxa"/>
            <w:vAlign w:val="center"/>
          </w:tcPr>
          <w:p w14:paraId="4BD3C1B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121</w:t>
            </w:r>
          </w:p>
        </w:tc>
        <w:tc>
          <w:tcPr>
            <w:tcW w:w="1305" w:type="dxa"/>
            <w:vAlign w:val="center"/>
          </w:tcPr>
          <w:p w14:paraId="729CD785">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150</w:t>
            </w:r>
          </w:p>
        </w:tc>
      </w:tr>
      <w:tr w14:paraId="5E16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3D3F6F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450C3CB9">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07FCBCD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2125</w:t>
            </w:r>
          </w:p>
        </w:tc>
        <w:tc>
          <w:tcPr>
            <w:tcW w:w="1302" w:type="dxa"/>
            <w:vAlign w:val="center"/>
          </w:tcPr>
          <w:p w14:paraId="2964972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2416</w:t>
            </w:r>
          </w:p>
        </w:tc>
        <w:tc>
          <w:tcPr>
            <w:tcW w:w="1302" w:type="dxa"/>
            <w:vAlign w:val="center"/>
          </w:tcPr>
          <w:p w14:paraId="4BAC1AD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2708</w:t>
            </w:r>
          </w:p>
        </w:tc>
        <w:tc>
          <w:tcPr>
            <w:tcW w:w="1305" w:type="dxa"/>
            <w:vAlign w:val="center"/>
          </w:tcPr>
          <w:p w14:paraId="18E7DDB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3000</w:t>
            </w:r>
          </w:p>
        </w:tc>
      </w:tr>
    </w:tbl>
    <w:p w14:paraId="44EEA961">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三、布局卫星互联网</w:t>
      </w:r>
    </w:p>
    <w:p w14:paraId="0068A6B6">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shd w:val="clear" w:color="auto" w:fill="FFFFFF"/>
        </w:rPr>
        <w:t>（一）</w:t>
      </w:r>
      <w:r>
        <w:rPr>
          <w:rFonts w:hint="eastAsia" w:ascii="Times New Roman" w:hAnsi="Times New Roman" w:eastAsia="方正楷体_GBK" w:cs="Times New Roman"/>
          <w:color w:val="auto"/>
          <w:kern w:val="0"/>
          <w:sz w:val="32"/>
          <w:szCs w:val="32"/>
          <w:lang w:val="en-US" w:eastAsia="zh-CN"/>
        </w:rPr>
        <w:t>“</w:t>
      </w:r>
      <w:r>
        <w:rPr>
          <w:rFonts w:hint="default" w:ascii="Times New Roman" w:hAnsi="Times New Roman" w:eastAsia="方正楷体_GBK" w:cs="Times New Roman"/>
          <w:color w:val="auto"/>
          <w:kern w:val="0"/>
          <w:sz w:val="32"/>
          <w:szCs w:val="32"/>
          <w:lang w:val="en-US" w:eastAsia="zh-CN"/>
        </w:rPr>
        <w:t>招树育苗</w:t>
      </w:r>
      <w:r>
        <w:rPr>
          <w:rFonts w:hint="eastAsia" w:ascii="Times New Roman" w:hAnsi="Times New Roman" w:eastAsia="方正楷体_GBK" w:cs="Times New Roman"/>
          <w:color w:val="auto"/>
          <w:kern w:val="0"/>
          <w:sz w:val="32"/>
          <w:szCs w:val="32"/>
          <w:lang w:val="en-US" w:eastAsia="zh-CN"/>
        </w:rPr>
        <w:t>”</w:t>
      </w:r>
      <w:r>
        <w:rPr>
          <w:rFonts w:hint="default" w:ascii="Times New Roman" w:hAnsi="Times New Roman" w:eastAsia="方正楷体_GBK" w:cs="Times New Roman"/>
          <w:color w:val="auto"/>
          <w:kern w:val="0"/>
          <w:sz w:val="32"/>
          <w:szCs w:val="32"/>
          <w:lang w:val="en-US" w:eastAsia="zh-CN"/>
        </w:rPr>
        <w:t>行动。</w:t>
      </w:r>
    </w:p>
    <w:p w14:paraId="284419AC">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聚焦细分领域招链主。</w:t>
      </w:r>
      <w:r>
        <w:rPr>
          <w:rFonts w:hint="default" w:ascii="Times New Roman" w:hAnsi="Times New Roman" w:eastAsia="方正仿宋_GBK" w:cs="Times New Roman"/>
          <w:color w:val="auto"/>
          <w:kern w:val="0"/>
          <w:sz w:val="32"/>
          <w:szCs w:val="32"/>
          <w:shd w:val="clear" w:color="auto" w:fill="FFFFFF"/>
          <w:lang w:val="en-US" w:eastAsia="zh-CN"/>
        </w:rPr>
        <w:t>围绕卫星互联网系统研究、系统运控、运营服务、数据应用服务、卫星网络安全服务等细分领域，</w:t>
      </w:r>
      <w:r>
        <w:rPr>
          <w:rFonts w:hint="default" w:ascii="Times New Roman" w:hAnsi="Times New Roman" w:eastAsia="方正仿宋_GBK" w:cs="Times New Roman"/>
          <w:b w:val="0"/>
          <w:bCs w:val="0"/>
          <w:color w:val="auto"/>
          <w:kern w:val="0"/>
          <w:sz w:val="32"/>
          <w:szCs w:val="32"/>
          <w:shd w:val="clear" w:color="auto" w:fill="FFFFFF"/>
          <w:lang w:val="en-US" w:eastAsia="zh-CN"/>
        </w:rPr>
        <w:t>加强研究分析，绘制产业链招商图谱，找准目标企业。深化与商会协会、招商机构、投融资机构、行业龙头企业以及央企国企的沟通协作，挖掘优质项目信息。瞄准</w:t>
      </w:r>
      <w:r>
        <w:rPr>
          <w:rFonts w:hint="default" w:ascii="Times New Roman" w:hAnsi="Times New Roman" w:eastAsia="方正仿宋_GBK" w:cs="Times New Roman"/>
          <w:color w:val="auto"/>
          <w:kern w:val="0"/>
          <w:sz w:val="32"/>
          <w:szCs w:val="32"/>
          <w:shd w:val="clear" w:color="auto" w:fill="FFFFFF"/>
          <w:lang w:val="en-US" w:eastAsia="zh-CN"/>
        </w:rPr>
        <w:t>中国卫通、金信诺、欧比特</w:t>
      </w:r>
      <w:r>
        <w:rPr>
          <w:rFonts w:hint="default" w:ascii="Times New Roman" w:hAnsi="Times New Roman" w:eastAsia="方正仿宋_GBK" w:cs="Times New Roman"/>
          <w:b w:val="0"/>
          <w:bCs w:val="0"/>
          <w:color w:val="auto"/>
          <w:kern w:val="0"/>
          <w:sz w:val="32"/>
          <w:szCs w:val="32"/>
          <w:shd w:val="clear" w:color="auto" w:fill="FFFFFF"/>
          <w:lang w:val="en-US" w:eastAsia="zh-CN"/>
        </w:rPr>
        <w:t>等链主或潜在链主企业，组建招商专班，强化责任落实，精准开展叩门招商、基金招商、以商招商，争取引进落地一批链主企业。发挥链主企业引领作用，带动相关区域总部、研发中心等重点项目落地，促进产业链、供应链创新资源集成整合、优化配置。围绕链主企业落地发展，完善配套设施，优化提供</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一站式</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服务，营造良好发展环境。</w:t>
      </w:r>
    </w:p>
    <w:p w14:paraId="74A67505">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b/>
          <w:bCs/>
          <w:color w:val="auto"/>
          <w:kern w:val="0"/>
          <w:sz w:val="32"/>
          <w:szCs w:val="32"/>
          <w:shd w:val="clear" w:color="auto" w:fill="FFFFFF"/>
          <w:lang w:val="en-US" w:eastAsia="zh-CN"/>
        </w:rPr>
        <w:t>围绕链主企业育链核。</w:t>
      </w:r>
      <w:r>
        <w:rPr>
          <w:rFonts w:hint="default" w:ascii="Times New Roman" w:hAnsi="Times New Roman" w:eastAsia="方正仿宋_GBK" w:cs="Times New Roman"/>
          <w:b w:val="0"/>
          <w:bCs w:val="0"/>
          <w:color w:val="auto"/>
          <w:kern w:val="0"/>
          <w:sz w:val="32"/>
          <w:szCs w:val="32"/>
          <w:shd w:val="clear" w:color="auto" w:fill="FFFFFF"/>
          <w:lang w:val="en-US" w:eastAsia="zh-CN"/>
        </w:rPr>
        <w:t>聚焦链主企业，开展跟踪服务、定期走访和座谈交流，完善关联产业信息链，</w:t>
      </w:r>
      <w:r>
        <w:rPr>
          <w:rFonts w:hint="default" w:ascii="Times New Roman" w:hAnsi="Times New Roman" w:eastAsia="方正仿宋_GBK" w:cs="Times New Roman"/>
          <w:color w:val="auto"/>
          <w:kern w:val="0"/>
          <w:sz w:val="32"/>
          <w:szCs w:val="32"/>
          <w:shd w:val="clear" w:color="auto" w:fill="FFFFFF"/>
          <w:lang w:val="en-US" w:eastAsia="zh-CN"/>
        </w:rPr>
        <w:t>定期举办供需对接活动。面向本地行业龙头企业征集技术产品难题、收集产品需求，鼓励区域内中小企业与科研院所联合</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揭榜</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，通过组建产业联盟、共设研发基金、共建联合实验室等方式共享创新资源、开展协同创新，推动中小企业与链主企业融通创新，形成</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一主多核</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的产业协同发展格局</w:t>
      </w:r>
      <w:r>
        <w:rPr>
          <w:rFonts w:hint="default" w:ascii="Times New Roman" w:hAnsi="Times New Roman" w:eastAsia="方正仿宋_GBK" w:cs="Times New Roman"/>
          <w:b w:val="0"/>
          <w:bCs w:val="0"/>
          <w:color w:val="auto"/>
          <w:kern w:val="0"/>
          <w:sz w:val="32"/>
          <w:szCs w:val="32"/>
          <w:shd w:val="clear" w:color="auto" w:fill="FFFFFF"/>
          <w:lang w:val="en-US" w:eastAsia="zh-CN"/>
        </w:rPr>
        <w:t>。针对产业链弱链缺链环节，探索</w:t>
      </w:r>
      <w:r>
        <w:rPr>
          <w:rFonts w:hint="default" w:ascii="Times New Roman" w:hAnsi="Times New Roman" w:eastAsia="方正仿宋_GBK" w:cs="Times New Roman"/>
          <w:color w:val="auto"/>
          <w:kern w:val="0"/>
          <w:sz w:val="32"/>
          <w:szCs w:val="32"/>
          <w:shd w:val="clear" w:color="auto" w:fill="FFFFFF"/>
          <w:lang w:val="en-US" w:eastAsia="zh-CN"/>
        </w:rPr>
        <w:t>实施链主企业供应商招商育商补链计划，支持链主企业开</w:t>
      </w:r>
      <w:r>
        <w:rPr>
          <w:rFonts w:hint="default" w:ascii="Times New Roman" w:hAnsi="Times New Roman" w:eastAsia="方正仿宋_GBK" w:cs="Times New Roman"/>
          <w:color w:val="auto"/>
          <w:spacing w:val="-6"/>
          <w:kern w:val="0"/>
          <w:sz w:val="32"/>
          <w:szCs w:val="32"/>
          <w:shd w:val="clear" w:color="auto" w:fill="FFFFFF"/>
          <w:lang w:val="en-US" w:eastAsia="zh-CN"/>
        </w:rPr>
        <w:t>放供应链体系，共享需求、渠道等信息，引进培育一批链核企业。</w:t>
      </w:r>
    </w:p>
    <w:p w14:paraId="1D9A956A">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（二）生态筑基行动。</w:t>
      </w:r>
    </w:p>
    <w:p w14:paraId="3128C71B">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建设卫星互联网运营服务平台。</w:t>
      </w:r>
      <w:r>
        <w:rPr>
          <w:rFonts w:hint="default" w:ascii="Times New Roman" w:hAnsi="Times New Roman" w:eastAsia="方正仿宋_GBK" w:cs="Times New Roman"/>
          <w:color w:val="auto"/>
          <w:kern w:val="0"/>
          <w:sz w:val="32"/>
          <w:szCs w:val="32"/>
          <w:shd w:val="clear" w:color="auto" w:fill="FFFFFF"/>
          <w:lang w:val="en-US" w:eastAsia="zh-CN"/>
        </w:rPr>
        <w:t>加强跨部门、跨行业协同合作，打通卫星数据供需链条，加快数据汇聚，鼓励企业挖掘卫星数据价值，研发行业级数据应用方案，推动数据资产价值转化。以大数据交易机构为依托，探索设立卫星数据交易专区，对接数据接口，建立行业专属数据存储和数据处理中心，鼓励企业在专区安全开展卫星数据交易，完善</w:t>
      </w:r>
      <w:r>
        <w:rPr>
          <w:rFonts w:hint="default" w:ascii="Times New Roman" w:hAnsi="Times New Roman" w:eastAsia="方正仿宋_GBK" w:cs="Times New Roman"/>
          <w:b w:val="0"/>
          <w:bCs w:val="0"/>
          <w:color w:val="auto"/>
          <w:kern w:val="0"/>
          <w:sz w:val="32"/>
          <w:szCs w:val="32"/>
          <w:shd w:val="clear" w:color="auto" w:fill="FFFFFF"/>
          <w:lang w:val="en-US" w:eastAsia="zh-CN"/>
        </w:rPr>
        <w:t>卫星互联网运营服务平台基础支撑功能</w:t>
      </w:r>
      <w:r>
        <w:rPr>
          <w:rFonts w:hint="default" w:ascii="Times New Roman" w:hAnsi="Times New Roman" w:eastAsia="方正仿宋_GBK" w:cs="Times New Roman"/>
          <w:color w:val="auto"/>
          <w:kern w:val="0"/>
          <w:sz w:val="32"/>
          <w:szCs w:val="32"/>
          <w:shd w:val="clear" w:color="auto" w:fill="FFFFFF"/>
          <w:lang w:val="en-US" w:eastAsia="zh-CN"/>
        </w:rPr>
        <w:t>。</w:t>
      </w:r>
    </w:p>
    <w:p w14:paraId="283706AE">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研发空天信息协议产品。</w:t>
      </w:r>
      <w:r>
        <w:rPr>
          <w:rFonts w:hint="default" w:ascii="Times New Roman" w:hAnsi="Times New Roman" w:eastAsia="方正仿宋_GBK" w:cs="Times New Roman"/>
          <w:color w:val="auto"/>
          <w:kern w:val="0"/>
          <w:sz w:val="32"/>
          <w:szCs w:val="32"/>
          <w:shd w:val="clear" w:color="auto" w:fill="FFFFFF"/>
          <w:lang w:val="en-US" w:eastAsia="zh-CN"/>
        </w:rPr>
        <w:t>聚焦面向行业需求的卫星互联网标准协议制定和技术研究，鼓励企业围绕网络标准协议、核心算法、测试等核心技术领域，开展终端侧体制协议、核心算法、测试系统等应用产品的研制开发。推动大企业自有研发平台的开放共享，鼓励中小企业开展合作研发，提升基础设备、公用设施使用效率，建立知识共享体系，加速空天信息协议产品研发进度。</w:t>
      </w:r>
    </w:p>
    <w:p w14:paraId="4B30D73A">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leftChars="0"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优化公共服务平台功能</w:t>
      </w:r>
      <w:r>
        <w:rPr>
          <w:rFonts w:hint="default" w:ascii="Times New Roman" w:hAnsi="Times New Roman" w:eastAsia="方正仿宋_GBK" w:cs="Times New Roman"/>
          <w:color w:val="auto"/>
          <w:kern w:val="0"/>
          <w:sz w:val="32"/>
          <w:szCs w:val="32"/>
          <w:shd w:val="clear" w:color="auto" w:fill="FFFFFF"/>
          <w:lang w:val="en-US" w:eastAsia="zh-CN"/>
        </w:rPr>
        <w:t>。面向知识产权服务、科技金融、创业孵化、资源共享、国际合作等领域，完善公共资源交易中心、政务服务平台等公共服务平台功能。设立卫星互联网企业专属快速通道，简化办事流程，提升审批效率，打通企业服务</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最后一公里</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。支持企事业单位、行业协会等搭建面向卫星互联网的专利协同运营平台和知识产权服务平台，建设科技成果库，为企业提供更便捷、‌更精准、‌更高效的</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一站式</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知识产权集成服务，实现科技成果提质增效。</w:t>
      </w:r>
    </w:p>
    <w:p w14:paraId="3FB0D5E7">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eastAsiaTheme="minorEastAsia"/>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（三）创新加速行动。</w:t>
      </w:r>
    </w:p>
    <w:p w14:paraId="02D36368">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kern w:val="0"/>
          <w:sz w:val="32"/>
          <w:szCs w:val="32"/>
          <w:shd w:val="clear" w:color="auto" w:fill="FFFFFF"/>
        </w:rPr>
        <w:t>支持卫星软件技术研发。</w:t>
      </w:r>
      <w:r>
        <w:rPr>
          <w:rFonts w:hint="default" w:ascii="Times New Roman" w:hAnsi="Times New Roman" w:eastAsia="方正仿宋_GBK" w:cs="Times New Roman"/>
          <w:color w:val="auto"/>
          <w:kern w:val="0"/>
          <w:sz w:val="32"/>
          <w:szCs w:val="32"/>
          <w:shd w:val="clear" w:color="auto" w:fill="FFFFFF"/>
        </w:rPr>
        <w:t>面向卫星互联网与空天信息科技创新共性需求、产业发展趋势、区域发展需求，坚持以市场运作为主、政府引导为辅，鼓励行业龙头企业、链主企业联合科研院所开展产学研协同技术攻关，开展遥感卫星领域软件定义卫星、卫星数据传输等卫星软件技术</w:t>
      </w:r>
      <w:r>
        <w:rPr>
          <w:rFonts w:hint="default" w:ascii="Times New Roman" w:hAnsi="Times New Roman" w:eastAsia="方正仿宋_GBK" w:cs="Times New Roman"/>
          <w:color w:val="auto"/>
          <w:kern w:val="0"/>
          <w:sz w:val="32"/>
          <w:szCs w:val="32"/>
          <w:shd w:val="clear" w:color="auto" w:fill="FFFFFF"/>
          <w:lang w:eastAsia="zh-CN"/>
        </w:rPr>
        <w:t>，以及</w:t>
      </w:r>
      <w:r>
        <w:rPr>
          <w:rFonts w:hint="default" w:ascii="Times New Roman" w:hAnsi="Times New Roman" w:eastAsia="方正仿宋_GBK" w:cs="Times New Roman"/>
          <w:color w:val="auto"/>
          <w:kern w:val="0"/>
          <w:sz w:val="32"/>
          <w:szCs w:val="32"/>
          <w:shd w:val="clear" w:color="auto" w:fill="FFFFFF"/>
        </w:rPr>
        <w:t>基于算法组件的局部高效重构、突破情境感知的自适应高效重构和面向多波形的细粒度组件静态融合技术等行业关键技术研究，促进产业链上下游资源整合，加快科技成果转化。</w:t>
      </w:r>
    </w:p>
    <w:p w14:paraId="4EB6F94D">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（四）融合共创行动。</w:t>
      </w:r>
    </w:p>
    <w:p w14:paraId="6EFC9414">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推动卫星赋能城市治理。</w:t>
      </w:r>
      <w:r>
        <w:rPr>
          <w:rFonts w:hint="default" w:ascii="Times New Roman" w:hAnsi="Times New Roman" w:eastAsia="方正仿宋_GBK" w:cs="Times New Roman"/>
          <w:color w:val="auto"/>
          <w:kern w:val="0"/>
          <w:sz w:val="32"/>
          <w:szCs w:val="32"/>
          <w:shd w:val="clear" w:color="auto" w:fill="FFFFFF"/>
          <w:lang w:val="en-US" w:eastAsia="zh-CN"/>
        </w:rPr>
        <w:t>以</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数字重庆</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建设为引领，融合大数据、人工智能、北斗精准导航定位、地理信息系统（GIS）、高分遥感等先进技术，在智慧能源、智慧交通、公共管理三大领域先行先试，赋能</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智慧渝中</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建设。围绕智能电网，打造电网监测运维、电力精准调控、用电信息采集场景，提升电网运行效率、安全稳定性及市场响应能力；聚焦交通高效运行，打造智能路网、智能红绿灯等智慧交通管控场景，推动城市交通管理智能化转型；结合老旧社区改造，打造社区智慧养老场景，实现基本公共服务便利共享，社会保障服务高效对接，全面增强人口综合承载服务功能。</w:t>
      </w:r>
    </w:p>
    <w:p w14:paraId="7A59445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b/>
          <w:bCs/>
          <w:color w:val="auto"/>
          <w:kern w:val="0"/>
          <w:sz w:val="32"/>
          <w:szCs w:val="32"/>
          <w:shd w:val="clear" w:color="auto" w:fill="FFFFFF"/>
          <w:lang w:val="en-US" w:eastAsia="zh-CN"/>
        </w:rPr>
        <w:t>探索卫星服务人民生活。</w:t>
      </w:r>
      <w:r>
        <w:rPr>
          <w:rFonts w:hint="default" w:ascii="Times New Roman" w:hAnsi="Times New Roman" w:eastAsia="方正仿宋_GBK" w:cs="Times New Roman"/>
          <w:color w:val="auto"/>
          <w:kern w:val="0"/>
          <w:sz w:val="32"/>
          <w:szCs w:val="32"/>
          <w:shd w:val="clear" w:color="auto" w:fill="FFFFFF"/>
          <w:lang w:val="en-US" w:eastAsia="zh-CN"/>
        </w:rPr>
        <w:t>结合直播与互动需求的特点，鼓励平台企业用好卫星互联网</w:t>
      </w:r>
      <w:r>
        <w:rPr>
          <w:rFonts w:hint="default" w:ascii="Times New Roman" w:hAnsi="Times New Roman" w:eastAsia="方正仿宋_GBK" w:cs="Times New Roman"/>
          <w:i w:val="0"/>
          <w:iCs w:val="0"/>
          <w:caps w:val="0"/>
          <w:color w:val="auto"/>
          <w:spacing w:val="0"/>
          <w:kern w:val="0"/>
          <w:sz w:val="32"/>
          <w:szCs w:val="32"/>
          <w:shd w:val="clear" w:color="auto" w:fill="FFFFFF"/>
          <w:lang w:eastAsia="zh-CN"/>
        </w:rPr>
        <w:t>技术优势，探索卫星互联网在公共文化传播和文化活动互动需求领域的新路径，提速</w:t>
      </w:r>
      <w:r>
        <w:rPr>
          <w:rFonts w:hint="default" w:ascii="Times New Roman" w:hAnsi="Times New Roman" w:eastAsia="方正仿宋_GBK" w:cs="Times New Roman"/>
          <w:color w:val="auto"/>
          <w:kern w:val="0"/>
          <w:sz w:val="32"/>
          <w:szCs w:val="32"/>
          <w:shd w:val="clear" w:color="auto" w:fill="FFFFFF"/>
          <w:lang w:val="en-US" w:eastAsia="zh-CN"/>
        </w:rPr>
        <w:t>构建智慧媒体网络平台，丰富人民文化生活体验。鼓励企业与智能网联汽车、智能手机、智能穿戴设备等智能终端设计制造企业协同合作，重点突破高精度车载定位导航、车路协同、智能设备追踪等</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卫星互联网+智能网联汽车</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融合功能，服务全市</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33618</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产业大局，促进跨行业深度融合，形成空天一体终端产品，提升人民生活幸福指数。</w:t>
      </w:r>
    </w:p>
    <w:p w14:paraId="336D0CEA">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1</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卫星互联网提能</w:t>
      </w:r>
      <w:r>
        <w:rPr>
          <w:rFonts w:hint="default" w:ascii="Times New Roman" w:hAnsi="Times New Roman" w:eastAsia="方正黑体_GBK" w:cs="Times New Roman"/>
          <w:bCs/>
          <w:color w:val="auto"/>
          <w:sz w:val="28"/>
          <w:szCs w:val="28"/>
        </w:rPr>
        <w:t>行动重点项目</w:t>
      </w:r>
    </w:p>
    <w:tbl>
      <w:tblPr>
        <w:tblStyle w:val="11"/>
        <w:tblW w:w="4836"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5"/>
      </w:tblGrid>
      <w:tr w14:paraId="08D4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5000" w:type="pct"/>
            <w:vAlign w:val="center"/>
          </w:tcPr>
          <w:p w14:paraId="7504B35C">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outlineLvl w:val="0"/>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lang w:val="en-US" w:eastAsia="zh-CN"/>
              </w:rPr>
              <w:t>细分领域链主企业招引</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sz w:val="28"/>
                <w:szCs w:val="28"/>
              </w:rPr>
              <w:t>聚焦卫星互联网系统研究、系统运控、运营服务、数据应用服务、卫星网络安全服务</w:t>
            </w:r>
            <w:r>
              <w:rPr>
                <w:rFonts w:hint="default" w:ascii="Times New Roman" w:hAnsi="Times New Roman" w:eastAsia="方正仿宋_GBK" w:cs="Times New Roman"/>
                <w:color w:val="auto"/>
                <w:sz w:val="28"/>
                <w:szCs w:val="28"/>
                <w:lang w:eastAsia="zh-CN"/>
              </w:rPr>
              <w:t>等</w:t>
            </w:r>
            <w:r>
              <w:rPr>
                <w:rFonts w:hint="default" w:ascii="Times New Roman" w:hAnsi="Times New Roman" w:eastAsia="方正仿宋_GBK" w:cs="Times New Roman"/>
                <w:color w:val="auto"/>
                <w:sz w:val="28"/>
                <w:szCs w:val="28"/>
              </w:rPr>
              <w:t>细分领域，招引中国卫通、金信诺</w:t>
            </w:r>
            <w:r>
              <w:rPr>
                <w:rFonts w:hint="default" w:ascii="Times New Roman" w:hAnsi="Times New Roman" w:eastAsia="方正仿宋_GBK" w:cs="Times New Roman"/>
                <w:color w:val="auto"/>
                <w:sz w:val="28"/>
                <w:szCs w:val="28"/>
                <w:lang w:val="en-US" w:eastAsia="zh-CN"/>
              </w:rPr>
              <w:t>等链主企业</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发挥链主企业产业带动效应</w:t>
            </w:r>
            <w:r>
              <w:rPr>
                <w:rFonts w:hint="default" w:ascii="Times New Roman" w:hAnsi="Times New Roman" w:eastAsia="方正仿宋_GBK" w:cs="Times New Roman"/>
                <w:color w:val="auto"/>
                <w:sz w:val="28"/>
                <w:szCs w:val="28"/>
              </w:rPr>
              <w:t>，实施链主企业供应商招商育商补链计划，支持链主企业开放供应链体系，共享需求、渠道等信息，引进培育一批链核企业。力争到2027年，引进国内</w:t>
            </w:r>
            <w:r>
              <w:rPr>
                <w:rFonts w:hint="default" w:ascii="Times New Roman" w:hAnsi="Times New Roman" w:eastAsia="方正仿宋_GBK" w:cs="Times New Roman"/>
                <w:color w:val="auto"/>
                <w:sz w:val="28"/>
                <w:szCs w:val="28"/>
                <w:lang w:val="en-US" w:eastAsia="zh-CN"/>
              </w:rPr>
              <w:t>卫星互联网链主</w:t>
            </w:r>
            <w:r>
              <w:rPr>
                <w:rFonts w:hint="default" w:ascii="Times New Roman" w:hAnsi="Times New Roman" w:eastAsia="方正仿宋_GBK" w:cs="Times New Roman"/>
                <w:color w:val="auto"/>
                <w:sz w:val="28"/>
                <w:szCs w:val="28"/>
              </w:rPr>
              <w:t>企业</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家，引进培育</w:t>
            </w:r>
            <w:r>
              <w:rPr>
                <w:rFonts w:hint="default" w:ascii="Times New Roman" w:hAnsi="Times New Roman" w:eastAsia="方正仿宋_GBK" w:cs="Times New Roman"/>
                <w:color w:val="auto"/>
                <w:sz w:val="28"/>
                <w:szCs w:val="28"/>
                <w:lang w:val="en-US" w:eastAsia="zh-CN"/>
              </w:rPr>
              <w:t>链核</w:t>
            </w:r>
            <w:r>
              <w:rPr>
                <w:rFonts w:hint="default" w:ascii="Times New Roman" w:hAnsi="Times New Roman" w:eastAsia="方正仿宋_GBK" w:cs="Times New Roman"/>
                <w:color w:val="auto"/>
                <w:sz w:val="28"/>
                <w:szCs w:val="28"/>
              </w:rPr>
              <w:t>企业</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家，相关领域收入突破</w:t>
            </w: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亿元。</w:t>
            </w:r>
          </w:p>
          <w:p w14:paraId="3D7EA773">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outlineLvl w:val="0"/>
              <w:rPr>
                <w:rFonts w:hint="default" w:ascii="Times New Roman" w:hAnsi="Times New Roman" w:eastAsia="方正楷体_GBK" w:cs="Times New Roman"/>
                <w:color w:val="auto"/>
                <w:sz w:val="28"/>
                <w:szCs w:val="28"/>
                <w:lang w:val="en-US" w:eastAsia="zh-CN"/>
              </w:rPr>
            </w:pPr>
            <w:r>
              <w:rPr>
                <w:rFonts w:hint="default" w:ascii="Times New Roman" w:hAnsi="Times New Roman" w:eastAsia="方正黑体_GBK" w:cs="Times New Roman"/>
                <w:color w:val="auto"/>
                <w:sz w:val="28"/>
                <w:szCs w:val="28"/>
                <w:lang w:val="en-US" w:eastAsia="zh-CN"/>
              </w:rPr>
              <w:t>卫星互联网企业专属服务通道。</w:t>
            </w:r>
            <w:r>
              <w:rPr>
                <w:rFonts w:hint="default" w:ascii="Times New Roman" w:hAnsi="Times New Roman" w:eastAsia="方正仿宋_GBK" w:cs="Times New Roman"/>
                <w:color w:val="auto"/>
                <w:sz w:val="28"/>
                <w:szCs w:val="28"/>
                <w:lang w:val="en-US" w:eastAsia="zh-CN"/>
              </w:rPr>
              <w:t>逐步完善公共资源交易中心、政务服务平台等公共服务平台，优化知识产权服务、企业融资等平台功能，设立卫星互联网企业专属快速通道，简化办事流程，提升审批效率。加速卫星互联网企业科技成果转化速率，提升卫星互联网企业科技成果变现能力，力争到2027年，卫星互联网企业知识产权服务、企业融资等公共服务速率明显提升。</w:t>
            </w:r>
          </w:p>
          <w:p w14:paraId="263233EE">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kern w:val="2"/>
                <w:sz w:val="28"/>
                <w:szCs w:val="28"/>
                <w:lang w:val="en-US" w:eastAsia="zh-CN" w:bidi="ar-SA"/>
              </w:rPr>
              <w:t>卫星互联网公共场景开放。</w:t>
            </w:r>
            <w:r>
              <w:rPr>
                <w:rFonts w:hint="default" w:ascii="Times New Roman" w:hAnsi="Times New Roman" w:eastAsia="方正仿宋_GBK" w:cs="Times New Roman"/>
                <w:color w:val="auto"/>
                <w:kern w:val="2"/>
                <w:sz w:val="28"/>
                <w:szCs w:val="28"/>
                <w:lang w:val="en-US" w:eastAsia="zh-CN" w:bidi="ar-SA"/>
              </w:rPr>
              <w:t>以</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数字重庆</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建设为引领，鼓励</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神经源智慧能源管理平台建设</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等结合卫星互联网技术的智慧能源、智慧交通、老旧小区改造三大领域创新型项目。围绕</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智慧渝中</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建设，力争到2027年，结合卫星互联网技术开放公共应用场景2个，打造典型卫星互联网场景应用范例1个。</w:t>
            </w:r>
          </w:p>
        </w:tc>
      </w:tr>
    </w:tbl>
    <w:p w14:paraId="2FCA8492">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四、发展工业互联网</w:t>
      </w:r>
    </w:p>
    <w:p w14:paraId="1B768150">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（一）网络升级行动。</w:t>
      </w:r>
    </w:p>
    <w:p w14:paraId="2E273E32">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建设运营标识解析二级节点。</w:t>
      </w:r>
      <w:r>
        <w:rPr>
          <w:rFonts w:hint="default" w:ascii="Times New Roman" w:hAnsi="Times New Roman" w:eastAsia="方正仿宋_GBK" w:cs="Times New Roman"/>
          <w:color w:val="auto"/>
          <w:kern w:val="0"/>
          <w:sz w:val="32"/>
          <w:szCs w:val="32"/>
          <w:shd w:val="clear" w:color="auto" w:fill="FFFFFF"/>
          <w:lang w:val="en-US" w:eastAsia="zh-CN"/>
        </w:rPr>
        <w:t>鼓励并指导企业加快二级节点建设运营，助推重庆市工业互联网标识解析国家顶级节点（重庆）提升支撑服务能力，实现工业互联网标识解析深度融合应用，赋能重庆制造业数字化转型升级。促进在区企业与现有二级节点运营公司开展标识解析应用联合创新，推动标识解析系统全面</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上云</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，率先在智能网联新能源汽车、新一代电子信息制造业、先进材料等</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33618</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重点领域实现产品追溯、供应链管理等示范应用，进一步完善工业互联网标识解析体系。</w:t>
      </w:r>
    </w:p>
    <w:p w14:paraId="46721FE1">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lang w:val="en-US" w:eastAsia="zh-CN"/>
        </w:rPr>
        <w:t>改造升级企业内外网络</w:t>
      </w:r>
      <w:r>
        <w:rPr>
          <w:rFonts w:hint="default" w:ascii="Times New Roman" w:hAnsi="Times New Roman" w:eastAsia="方正仿宋_GBK" w:cs="Times New Roman"/>
          <w:b/>
          <w:bCs/>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引导工业互联网企业加速布局窄带物联网（NB—IoT）、低功率物联网（LoRa）等广域物联网技术，鼓励区内企业从事工业互联网和数字化转型服务业务，服务全市乃至全国制造业互联改造和产品服务互联升级，助力提升高能耗、高价值工业智能装备联网率和工业网络覆盖率。鼓励区内现有数字化转型服务商联合工业互联网平台，围绕工业核心产业环节，打造深度融合行业知识经验的系统网络集成解决方案，支撑全市乃至全国工业企业内外网改造升级。</w:t>
      </w:r>
    </w:p>
    <w:p w14:paraId="127ACC98">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（二）平台构筑行动。</w:t>
      </w:r>
    </w:p>
    <w:p w14:paraId="742C06E7">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培育打造工业互联网平台。</w:t>
      </w:r>
      <w:r>
        <w:rPr>
          <w:rFonts w:hint="default" w:ascii="Times New Roman" w:hAnsi="Times New Roman" w:eastAsia="方正仿宋_GBK" w:cs="Times New Roman"/>
          <w:color w:val="auto"/>
          <w:kern w:val="0"/>
          <w:sz w:val="32"/>
          <w:szCs w:val="32"/>
          <w:shd w:val="clear" w:color="auto" w:fill="FFFFFF"/>
          <w:lang w:val="en-US" w:eastAsia="zh-CN"/>
        </w:rPr>
        <w:t>聚焦智能网联新能源汽车、装备制造等细分行业，鼓励在区企业加强与全市乃至全国的工业企业合作，采取</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链主牵头、全链参与</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方式，构建集信息共享、资源优化配置、协同创新于一体的特色型工业互联网平台。依托行业龙头企业，围绕特定工业应用场景及产业链、供应链关键环节，推动搭建以数据为驱动、软件为核心、平台为支撑、服务为增值、智能为引领的新型制造体系，打造面向特定技术领域的专业型工业互联网平台。</w:t>
      </w:r>
    </w:p>
    <w:p w14:paraId="335654F9">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建设工业互联网大数据中心。</w:t>
      </w:r>
      <w:r>
        <w:rPr>
          <w:rFonts w:hint="default" w:ascii="Times New Roman" w:hAnsi="Times New Roman" w:eastAsia="方正仿宋_GBK" w:cs="Times New Roman"/>
          <w:color w:val="auto"/>
          <w:kern w:val="0"/>
          <w:sz w:val="32"/>
          <w:szCs w:val="32"/>
          <w:shd w:val="clear" w:color="auto" w:fill="FFFFFF"/>
          <w:lang w:val="en-US" w:eastAsia="zh-CN"/>
        </w:rPr>
        <w:t>引导企业开展低成本工业数据采集、工业数据评估、分析验证等工业互联网数据支撑技术研究，降低工业互联网数据采集成本，提升数据质量，助力重庆市工业互联网平台建设。建立与全市智慧园区、智能制造等平台数据共享机制，收集区内工业、工业互联网和工业软件企业数据，支撑重庆市工业互联网大数据中心建设。探索建立工业互联网数据资源合作共享新模式，提升工业互联网基础设施和数据资源管理能力</w:t>
      </w:r>
      <w:r>
        <w:rPr>
          <w:rFonts w:hint="default" w:ascii="Times New Roman" w:hAnsi="Times New Roman" w:eastAsia="方正仿宋_GBK" w:cs="Times New Roman"/>
          <w:color w:val="auto"/>
          <w:kern w:val="0"/>
          <w:sz w:val="32"/>
          <w:szCs w:val="32"/>
          <w:highlight w:val="none"/>
          <w:shd w:val="clear" w:color="auto" w:fill="FFFFFF"/>
          <w:lang w:val="en-US" w:eastAsia="zh-CN"/>
        </w:rPr>
        <w:t>。</w:t>
      </w:r>
    </w:p>
    <w:p w14:paraId="2AD653D0">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（三）技术攻关行动。</w:t>
      </w:r>
    </w:p>
    <w:p w14:paraId="4B97592A">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加快工业软件创新突破。</w:t>
      </w:r>
      <w:r>
        <w:rPr>
          <w:rFonts w:hint="default" w:ascii="Times New Roman" w:hAnsi="Times New Roman" w:eastAsia="方正仿宋_GBK" w:cs="Times New Roman"/>
          <w:color w:val="auto"/>
          <w:kern w:val="0"/>
          <w:sz w:val="32"/>
          <w:szCs w:val="32"/>
          <w:highlight w:val="none"/>
          <w:shd w:val="clear" w:color="auto" w:fill="FFFFFF"/>
          <w:lang w:val="en-US" w:eastAsia="zh-CN"/>
        </w:rPr>
        <w:t>聚焦数据加密、身份认证、访问控制、入侵检测与防御、漏洞管理、应急响应等核心技术的研发与应用，发挥渝中区</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国家区块链创新应用综合试点</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优势，促进区块链企业与工业互联网企业联合创新，结合前沿区块链加密技术，共同研发工业软件加密技术。依托国家专用信息设备应用示范基地，加快构建工业软件安全体系，发展工业互联网安全服务。</w:t>
      </w:r>
    </w:p>
    <w:p w14:paraId="03A5E389">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b/>
          <w:bCs/>
          <w:color w:val="auto"/>
          <w:kern w:val="0"/>
          <w:sz w:val="32"/>
          <w:szCs w:val="32"/>
          <w:highlight w:val="none"/>
          <w:shd w:val="clear" w:color="auto" w:fill="FFFFFF"/>
          <w:lang w:val="en-US" w:eastAsia="zh-CN"/>
        </w:rPr>
        <w:t>激发前沿技术融合创新。</w:t>
      </w:r>
      <w:r>
        <w:rPr>
          <w:rFonts w:hint="default" w:ascii="Times New Roman" w:hAnsi="Times New Roman" w:eastAsia="方正仿宋_GBK" w:cs="Times New Roman"/>
          <w:color w:val="auto"/>
          <w:kern w:val="0"/>
          <w:sz w:val="32"/>
          <w:szCs w:val="32"/>
          <w:highlight w:val="none"/>
          <w:shd w:val="clear" w:color="auto" w:fill="FFFFFF"/>
          <w:lang w:val="en-US" w:eastAsia="zh-CN"/>
        </w:rPr>
        <w:t>深化工业互联网、5G、大模型等前沿技术在工业领域特定场景小模型中的协同应用，促进新兴技术与工业互联网平台的集成化运用。深入融合行业知识，结合工业模型等先进制造技术，探索新技术在精细检测、预测性维护管理、智能生产计划排布等细分场景的技术解决方案，塑造具有影响力、可推广的工业互联网+5G典型应用模式和创新商业模式。</w:t>
      </w:r>
    </w:p>
    <w:p w14:paraId="43E88AEB">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Chars="0" w:firstLine="643"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b/>
          <w:bCs/>
          <w:color w:val="auto"/>
          <w:kern w:val="0"/>
          <w:sz w:val="32"/>
          <w:szCs w:val="32"/>
          <w:shd w:val="clear" w:color="auto" w:fill="FFFFFF"/>
          <w:lang w:val="en-US" w:eastAsia="zh-CN"/>
        </w:rPr>
        <w:t>加快成渝工业互联网一体化发展</w:t>
      </w:r>
      <w:r>
        <w:rPr>
          <w:rFonts w:hint="default"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sz w:val="32"/>
          <w:szCs w:val="32"/>
          <w:lang w:val="en-US" w:eastAsia="zh-CN"/>
        </w:rPr>
        <w:t>对接用好重庆市工业互联网标识解析国家顶级节点（重庆）</w:t>
      </w:r>
      <w:r>
        <w:rPr>
          <w:rFonts w:hint="default"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加快成渝地区工业互联网一体化发展示范区建设。加深渝中区与四川省眉山市、南充市、雅安市等已达成的战略合作关系，力争与四川省绵阳市、德阳市等工业强市建立合作，进一步促进成渝地区在</w:t>
      </w:r>
      <w:r>
        <w:rPr>
          <w:rFonts w:hint="default" w:ascii="Times New Roman" w:hAnsi="Times New Roman" w:eastAsia="方正仿宋_GBK" w:cs="Times New Roman"/>
          <w:color w:val="auto"/>
          <w:kern w:val="0"/>
          <w:sz w:val="32"/>
          <w:szCs w:val="32"/>
          <w:shd w:val="clear" w:color="auto" w:fill="FFFFFF"/>
          <w:lang w:val="en-US" w:eastAsia="zh-CN"/>
        </w:rPr>
        <w:t>工业互联网产业的跨区域合作，探索工业互联网区域产业协作新路径。依托成渝地区工业互联网公共服务平台等载体，集中整合各类企业数据资源，加快构建协同高效、互利共赢的生态体系。</w:t>
      </w:r>
    </w:p>
    <w:p w14:paraId="10C8F8AA">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2</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工业互联网助力行动</w:t>
      </w:r>
      <w:r>
        <w:rPr>
          <w:rFonts w:hint="default" w:ascii="Times New Roman" w:hAnsi="Times New Roman" w:eastAsia="方正黑体_GBK" w:cs="Times New Roman"/>
          <w:bCs/>
          <w:color w:val="auto"/>
          <w:sz w:val="28"/>
          <w:szCs w:val="28"/>
        </w:rPr>
        <w:t>重点项目</w:t>
      </w:r>
    </w:p>
    <w:tbl>
      <w:tblPr>
        <w:tblStyle w:val="11"/>
        <w:tblW w:w="4877"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8"/>
      </w:tblGrid>
      <w:tr w14:paraId="406A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vAlign w:val="center"/>
          </w:tcPr>
          <w:p w14:paraId="20FF7F88">
            <w:pPr>
              <w:keepNext w:val="0"/>
              <w:keepLines w:val="0"/>
              <w:pageBreakBefore w:val="0"/>
              <w:widowControl w:val="0"/>
              <w:kinsoku/>
              <w:wordWrap/>
              <w:overflowPunct/>
              <w:topLinePunct w:val="0"/>
              <w:autoSpaceDE/>
              <w:autoSpaceDN/>
              <w:bidi w:val="0"/>
              <w:adjustRightInd/>
              <w:snapToGrid/>
              <w:spacing w:line="516" w:lineRule="exact"/>
              <w:ind w:firstLine="560" w:firstLineChars="200"/>
              <w:textAlignment w:val="auto"/>
              <w:outlineLvl w:val="0"/>
              <w:rPr>
                <w:rFonts w:hint="default" w:ascii="Times New Roman" w:hAnsi="Times New Roman" w:eastAsia="方正楷体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标识解析二级节点建设</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kern w:val="2"/>
                <w:sz w:val="28"/>
                <w:szCs w:val="28"/>
                <w:lang w:val="en-US" w:eastAsia="zh-CN" w:bidi="ar-SA"/>
              </w:rPr>
              <w:t>重点关注在工业互联网标识解析领域具有深厚技术积累和市场影响力的企业，通过优化本地市场环境等方式，吸引其建设渝中区二级节点并成为核心运营主体。依托链主企业，实施</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链主+伙伴</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的招商育商策略，吸引软硬件供应商、系统集成商、解决方案提供商等上下游企业入驻，共同构建标识解析二级节点的完整生态链。力争到2027年，成功引进并培育1家国内领先的标识解析二级节点链主企业，带动至少3家链核企业的成长，形成标识解析服务集群效应。</w:t>
            </w:r>
          </w:p>
          <w:p w14:paraId="7ECE6BE9">
            <w:pPr>
              <w:keepNext w:val="0"/>
              <w:keepLines w:val="0"/>
              <w:pageBreakBefore w:val="0"/>
              <w:widowControl w:val="0"/>
              <w:kinsoku/>
              <w:wordWrap/>
              <w:overflowPunct/>
              <w:topLinePunct w:val="0"/>
              <w:autoSpaceDE/>
              <w:autoSpaceDN/>
              <w:bidi w:val="0"/>
              <w:adjustRightInd/>
              <w:snapToGrid/>
              <w:spacing w:line="516" w:lineRule="exact"/>
              <w:ind w:firstLine="560" w:firstLineChars="200"/>
              <w:textAlignment w:val="auto"/>
              <w:outlineLvl w:val="0"/>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工业互联网平台构建。</w:t>
            </w:r>
            <w:r>
              <w:rPr>
                <w:rFonts w:hint="default" w:ascii="Times New Roman" w:hAnsi="Times New Roman" w:eastAsia="方正仿宋_GBK" w:cs="Times New Roman"/>
                <w:color w:val="auto"/>
                <w:kern w:val="2"/>
                <w:sz w:val="28"/>
                <w:szCs w:val="28"/>
                <w:lang w:val="en-US" w:eastAsia="zh-CN" w:bidi="ar-SA"/>
              </w:rPr>
              <w:t>聚焦智能网联新能源汽车、装备制造等细分行业，鼓励工业互联网领域龙头企业加强与制造业企业合作，构建集信息共享、资源优化配置、协同创新于一体的特色型工业互联网平台。推动</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城市无人机飞鸟驿站综治平台建设</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等围绕特定工业应用场景及产业链、供应链关键环节的专业型工业互联网平台建设。力争到2027年，建设完成1个特色型或专业型工业互联网平台，推动整个行业高质量、高效率、高智能化发展。</w:t>
            </w:r>
          </w:p>
          <w:p w14:paraId="07C019C8">
            <w:pPr>
              <w:pStyle w:val="8"/>
              <w:keepNext w:val="0"/>
              <w:keepLines w:val="0"/>
              <w:pageBreakBefore w:val="0"/>
              <w:widowControl w:val="0"/>
              <w:kinsoku/>
              <w:wordWrap/>
              <w:overflowPunct/>
              <w:topLinePunct w:val="0"/>
              <w:autoSpaceDE/>
              <w:autoSpaceDN/>
              <w:bidi w:val="0"/>
              <w:adjustRightInd/>
              <w:snapToGrid/>
              <w:spacing w:line="516" w:lineRule="exact"/>
              <w:ind w:left="0" w:leftChars="0" w:firstLine="560" w:firstLineChars="200"/>
              <w:textAlignment w:val="auto"/>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kern w:val="2"/>
                <w:sz w:val="28"/>
                <w:szCs w:val="28"/>
                <w:lang w:val="en-US" w:eastAsia="zh-CN" w:bidi="ar-SA"/>
              </w:rPr>
              <w:t>工业软件加密技术攻坚。</w:t>
            </w:r>
            <w:r>
              <w:rPr>
                <w:rFonts w:hint="default" w:ascii="Times New Roman" w:hAnsi="Times New Roman" w:eastAsia="方正仿宋_GBK" w:cs="Times New Roman"/>
                <w:color w:val="auto"/>
                <w:kern w:val="2"/>
                <w:sz w:val="28"/>
                <w:szCs w:val="28"/>
                <w:lang w:val="en-US" w:eastAsia="zh-CN" w:bidi="ar-SA"/>
              </w:rPr>
              <w:t>发挥渝中区</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国家区块链创新应用综合试点</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优势，促进区块链企业与工业互联网企业联合创新，支持域内企业聚焦数据加密、身份认证等工业软件加密技术开展技术研发工作，力争到2027年，突破部分工业软件卡脖子技术壁垒，使域内区块链企业和工业互联网企业形成产业合力，</w:t>
            </w:r>
            <w:r>
              <w:rPr>
                <w:rFonts w:hint="default" w:ascii="Times New Roman" w:hAnsi="Times New Roman" w:eastAsia="方正仿宋_GBK" w:cs="Times New Roman"/>
                <w:color w:val="auto"/>
                <w:sz w:val="28"/>
                <w:szCs w:val="28"/>
              </w:rPr>
              <w:t>产业规模和发展动能显著提升。</w:t>
            </w:r>
          </w:p>
        </w:tc>
      </w:tr>
    </w:tbl>
    <w:p w14:paraId="198D0F4A">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五、做优人工智能</w:t>
      </w:r>
    </w:p>
    <w:p w14:paraId="619F5CEE">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（一）核心要素强基行动。</w:t>
      </w:r>
    </w:p>
    <w:p w14:paraId="1BE32E7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优化人工智能算力基础设施。</w:t>
      </w:r>
      <w:r>
        <w:rPr>
          <w:rFonts w:hint="default" w:ascii="Times New Roman" w:hAnsi="Times New Roman" w:eastAsia="方正仿宋_GBK" w:cs="Times New Roman"/>
          <w:color w:val="auto"/>
          <w:kern w:val="0"/>
          <w:sz w:val="32"/>
          <w:szCs w:val="32"/>
          <w:shd w:val="clear" w:color="auto" w:fill="FFFFFF"/>
          <w:lang w:val="en-US" w:eastAsia="zh-CN"/>
        </w:rPr>
        <w:t>提升基于创新导向的算力技术能力，持续优化算力供给结构。联合新疆哈密、视联动力加快推进</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西部算电协同创新中心</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建设，打造基于绿色能源与新型算力联动的西部算力创新枢纽和应用高地。倡导算力服务企业组建专项运营队伍，根据需求灵活提供模型训练、应用推理服务及算法优化等定制化解决方案，降低算力投入门槛，加速算力资源在各领域的广泛应用与普及。</w:t>
      </w:r>
    </w:p>
    <w:p w14:paraId="7AB271AD">
      <w:pPr>
        <w:pStyle w:val="3"/>
        <w:keepNext w:val="0"/>
        <w:keepLines w:val="0"/>
        <w:pageBreakBefore w:val="0"/>
        <w:widowControl w:val="0"/>
        <w:kinsoku/>
        <w:wordWrap/>
        <w:overflowPunct/>
        <w:topLinePunct w:val="0"/>
        <w:autoSpaceDE/>
        <w:autoSpaceDN/>
        <w:bidi w:val="0"/>
        <w:adjustRightInd/>
        <w:snapToGrid/>
        <w:spacing w:after="0" w:line="59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推进人工智能算法创新研究。</w:t>
      </w:r>
      <w:r>
        <w:rPr>
          <w:rFonts w:hint="default" w:ascii="Times New Roman" w:hAnsi="Times New Roman" w:eastAsia="方正仿宋_GBK" w:cs="Times New Roman"/>
          <w:color w:val="auto"/>
          <w:kern w:val="0"/>
          <w:sz w:val="32"/>
          <w:szCs w:val="32"/>
          <w:highlight w:val="none"/>
          <w:shd w:val="clear" w:color="auto" w:fill="FFFFFF"/>
          <w:lang w:val="en-US" w:eastAsia="zh-CN"/>
        </w:rPr>
        <w:t>鼓励在区</w:t>
      </w:r>
      <w:r>
        <w:rPr>
          <w:rFonts w:hint="default" w:ascii="Times New Roman" w:hAnsi="Times New Roman" w:eastAsia="方正仿宋_GBK" w:cs="Times New Roman"/>
          <w:color w:val="auto"/>
          <w:kern w:val="0"/>
          <w:sz w:val="32"/>
          <w:szCs w:val="32"/>
          <w:highlight w:val="none"/>
          <w:shd w:val="clear" w:color="auto" w:fill="FFFFFF"/>
        </w:rPr>
        <w:t>企业与高校、科研院所联合申报国家</w:t>
      </w:r>
      <w:r>
        <w:rPr>
          <w:rFonts w:hint="default" w:ascii="Times New Roman" w:hAnsi="Times New Roman" w:eastAsia="方正仿宋_GBK" w:cs="Times New Roman"/>
          <w:color w:val="auto"/>
          <w:kern w:val="0"/>
          <w:sz w:val="32"/>
          <w:szCs w:val="32"/>
          <w:highlight w:val="none"/>
          <w:shd w:val="clear" w:color="auto" w:fill="FFFFFF"/>
          <w:lang w:val="en-US" w:eastAsia="zh-CN"/>
        </w:rPr>
        <w:t>级</w:t>
      </w:r>
      <w:r>
        <w:rPr>
          <w:rFonts w:hint="default" w:ascii="Times New Roman" w:hAnsi="Times New Roman" w:eastAsia="方正仿宋_GBK" w:cs="Times New Roman"/>
          <w:color w:val="auto"/>
          <w:kern w:val="0"/>
          <w:sz w:val="32"/>
          <w:szCs w:val="32"/>
          <w:highlight w:val="none"/>
          <w:shd w:val="clear" w:color="auto" w:fill="FFFFFF"/>
        </w:rPr>
        <w:t>、省市</w:t>
      </w:r>
      <w:r>
        <w:rPr>
          <w:rFonts w:hint="default" w:ascii="Times New Roman" w:hAnsi="Times New Roman" w:eastAsia="方正仿宋_GBK" w:cs="Times New Roman"/>
          <w:color w:val="auto"/>
          <w:kern w:val="0"/>
          <w:sz w:val="32"/>
          <w:szCs w:val="32"/>
          <w:highlight w:val="none"/>
          <w:shd w:val="clear" w:color="auto" w:fill="FFFFFF"/>
          <w:lang w:val="en-US" w:eastAsia="zh-CN"/>
        </w:rPr>
        <w:t>级</w:t>
      </w:r>
      <w:r>
        <w:rPr>
          <w:rFonts w:hint="default" w:ascii="Times New Roman" w:hAnsi="Times New Roman" w:eastAsia="方正仿宋_GBK" w:cs="Times New Roman"/>
          <w:color w:val="auto"/>
          <w:kern w:val="0"/>
          <w:sz w:val="32"/>
          <w:szCs w:val="32"/>
          <w:highlight w:val="none"/>
          <w:shd w:val="clear" w:color="auto" w:fill="FFFFFF"/>
        </w:rPr>
        <w:t>重点研发计划项目和重大科技项目，围绕国产大模型框架、深度学习框架等技术进行国产替代研发，填补核心算法短板。激发开源社区创造活力，推动技术创新与共享。引导算法企业联合各行业龙头企业开展跨行业跨领域创新合作，推进算法在各行业领域的融合创新，促进科技成果快速转化落地。</w:t>
      </w:r>
    </w:p>
    <w:p w14:paraId="3FEE936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完善人工智能数据资源供给。</w:t>
      </w:r>
      <w:r>
        <w:rPr>
          <w:rFonts w:hint="default" w:ascii="Times New Roman" w:hAnsi="Times New Roman" w:eastAsia="方正仿宋_GBK" w:cs="Times New Roman"/>
          <w:color w:val="auto"/>
          <w:kern w:val="0"/>
          <w:sz w:val="32"/>
          <w:szCs w:val="32"/>
          <w:shd w:val="clear" w:color="auto" w:fill="FFFFFF"/>
          <w:lang w:val="en-US" w:eastAsia="zh-CN"/>
        </w:rPr>
        <w:t>将数据作为关键生产要素，以数据资源化为起点，以数据要素市场化配置流通、融合创新为重点，深入推进公共数据开放，为人工智能应用提供数据资源。面向人工智能训练、数据挖掘与分析应用等领域，支持建立行业数据资源共享机制与平台，提高公共科技研发资源利用效率。支持数据清洗、数据标注、数据审核等数据加工业务发展，培育一批数据厂商和第三方数据加工企业，壮大数据服务产业，提升数据资源供给能力。围绕视觉识别、自然语言处理、深度学习等基础领域及工业、医疗、金融、交通等行业领域，建设人工智能训练数据资源库、标准测试数据集。</w:t>
      </w:r>
    </w:p>
    <w:p w14:paraId="11099D59">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（二）创新主体培育行动。</w:t>
      </w:r>
    </w:p>
    <w:p w14:paraId="5392D91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招引人工智能领军企业。</w:t>
      </w:r>
      <w:r>
        <w:rPr>
          <w:rFonts w:hint="default" w:ascii="Times New Roman" w:hAnsi="Times New Roman" w:eastAsia="方正仿宋_GBK" w:cs="Times New Roman"/>
          <w:color w:val="auto"/>
          <w:kern w:val="0"/>
          <w:sz w:val="32"/>
          <w:szCs w:val="32"/>
          <w:shd w:val="clear" w:color="auto" w:fill="FFFFFF"/>
          <w:lang w:val="en-US" w:eastAsia="zh-CN"/>
        </w:rPr>
        <w:t>依托渝中地理位置优越、交通便利等区位优势，积极争取</w:t>
      </w:r>
      <w:r>
        <w:rPr>
          <w:rFonts w:hint="default" w:ascii="Times New Roman" w:hAnsi="Times New Roman" w:eastAsia="方正仿宋_GBK" w:cs="Times New Roman"/>
          <w:color w:val="auto"/>
          <w:kern w:val="0"/>
          <w:sz w:val="32"/>
          <w:szCs w:val="32"/>
          <w:shd w:val="clear" w:color="auto" w:fill="FFFFFF"/>
        </w:rPr>
        <w:t>纵目科技</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赛特斯信息科技</w:t>
      </w:r>
      <w:r>
        <w:rPr>
          <w:rFonts w:hint="default" w:ascii="Times New Roman" w:hAnsi="Times New Roman" w:eastAsia="方正仿宋_GBK" w:cs="Times New Roman"/>
          <w:color w:val="auto"/>
          <w:kern w:val="0"/>
          <w:sz w:val="32"/>
          <w:szCs w:val="32"/>
          <w:shd w:val="clear" w:color="auto" w:fill="FFFFFF"/>
          <w:lang w:val="en-US" w:eastAsia="zh-CN"/>
        </w:rPr>
        <w:t>等人工智能链主型企业总部或区域总部落户渝中。发挥渝中区场景资源丰富优势，面向智慧医疗、智慧金融、智能驾驶等领域，通过场景开放、资本招商等方式，提升对行业应用型龙头企业细分领域总部的吸引力度。借助渝中与西南大学、重庆师范大学、重庆邮电大学达成战略合作的优势，鼓励拥有AI大模型、智算中心、大型数据中心、省级及以上创新平台的核心技术型企业在渝中区设立研发机构、人工智能开发平台、孵化基地。</w:t>
      </w:r>
    </w:p>
    <w:p w14:paraId="06138FF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培育人工智能优质企业。</w:t>
      </w:r>
      <w:r>
        <w:rPr>
          <w:rFonts w:hint="default" w:ascii="Times New Roman" w:hAnsi="Times New Roman" w:eastAsia="方正仿宋_GBK" w:cs="Times New Roman"/>
          <w:b w:val="0"/>
          <w:bCs w:val="0"/>
          <w:color w:val="auto"/>
          <w:kern w:val="0"/>
          <w:sz w:val="32"/>
          <w:szCs w:val="32"/>
          <w:shd w:val="clear" w:color="auto" w:fill="FFFFFF"/>
          <w:lang w:val="en-US" w:eastAsia="zh-CN"/>
        </w:rPr>
        <w:t>充分发挥渝中数字经济产业</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产业+科技+金融</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（以下简称</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产科金</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）综合服务平台扶持作用</w:t>
      </w:r>
      <w:r>
        <w:rPr>
          <w:rFonts w:hint="default" w:ascii="Times New Roman" w:hAnsi="Times New Roman" w:eastAsia="方正仿宋_GBK" w:cs="Times New Roman"/>
          <w:color w:val="auto"/>
          <w:kern w:val="0"/>
          <w:sz w:val="32"/>
          <w:szCs w:val="32"/>
          <w:shd w:val="clear" w:color="auto" w:fill="FFFFFF"/>
          <w:lang w:val="en-US" w:eastAsia="zh-CN"/>
        </w:rPr>
        <w:t>，为在区人工智能企业提供产业类、科技类、金融类、风控类、培训类、商务类支持，鼓励企业做大做强。建立部门协同推动的工作机制，培育一批人工智能专精特新企业，跟踪服务一批具有核心竞争力的数字化转型服务企业，建立</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一企一策</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培育机制。重点培育从传统优势企业成功转型的人工智能解决方案服务商，鼓励该类企业参与人工智能应用部署，带动传统行业数字化转型发展。</w:t>
      </w:r>
    </w:p>
    <w:p w14:paraId="22911B58">
      <w:pPr>
        <w:keepNext w:val="0"/>
        <w:keepLines w:val="0"/>
        <w:pageBreakBefore w:val="0"/>
        <w:widowControl w:val="0"/>
        <w:numPr>
          <w:ilvl w:val="-1"/>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（三）产业供需拓展行动。</w:t>
      </w:r>
    </w:p>
    <w:p w14:paraId="4419F00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fill="FFFFFF"/>
          <w:lang w:val="en-US" w:eastAsia="zh-CN" w:bidi="ar-SA"/>
        </w:rPr>
        <w:t>扩大</w:t>
      </w:r>
      <w:r>
        <w:rPr>
          <w:rFonts w:hint="default" w:ascii="Times New Roman" w:hAnsi="Times New Roman" w:eastAsia="方正仿宋_GBK" w:cs="Times New Roman"/>
          <w:b/>
          <w:bCs/>
          <w:color w:val="auto"/>
          <w:kern w:val="0"/>
          <w:sz w:val="32"/>
          <w:szCs w:val="32"/>
          <w:shd w:val="clear" w:color="auto" w:fill="FFFFFF"/>
          <w:lang w:val="en-US" w:eastAsia="zh-CN"/>
        </w:rPr>
        <w:t>人工智能产品供给。</w:t>
      </w:r>
      <w:r>
        <w:rPr>
          <w:rFonts w:hint="default" w:ascii="Times New Roman" w:hAnsi="Times New Roman" w:eastAsia="方正仿宋_GBK" w:cs="Times New Roman"/>
          <w:color w:val="auto"/>
          <w:kern w:val="0"/>
          <w:sz w:val="32"/>
          <w:szCs w:val="32"/>
          <w:shd w:val="clear" w:color="auto" w:fill="FFFFFF"/>
          <w:lang w:val="en-US" w:eastAsia="zh-CN"/>
        </w:rPr>
        <w:t>瞄准智能网联汽车领域，加快培育智能座舱、自动驾驶等人工智能软件。围绕智慧政务、智慧金融、智慧教育、智慧医疗等领域，鼓励企业着力研发一批行业应用级人工智能软件产品。开发面向智能机器人、智能装备、智能终端等产品的嵌入式系统，促进各类应用功能开发。建设人工智能软硬件适配中心，提升产品研发、集成验证等公共服务能力，开展软件、硬件、应用和服务一体化适配，推动人工智能软硬件产品一体化发展。</w:t>
      </w:r>
    </w:p>
    <w:p w14:paraId="2E42F99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挖掘人工智能应用场景。</w:t>
      </w:r>
      <w:r>
        <w:rPr>
          <w:rFonts w:hint="default" w:ascii="Times New Roman" w:hAnsi="Times New Roman" w:eastAsia="方正仿宋_GBK" w:cs="Times New Roman"/>
          <w:color w:val="auto"/>
          <w:kern w:val="0"/>
          <w:sz w:val="32"/>
          <w:szCs w:val="32"/>
          <w:shd w:val="clear" w:color="auto" w:fill="FFFFFF"/>
          <w:lang w:val="en-US" w:eastAsia="zh-CN"/>
        </w:rPr>
        <w:t>推动政府部门、国有企事业单位、重点行业、科研机构等开放人工智能场景，开展场景调研与场景征集，深入挖掘人工智能场景，项目化、清单化、节点化开放</w:t>
      </w:r>
      <w:r>
        <w:rPr>
          <w:rFonts w:hint="default" w:ascii="Times New Roman" w:hAnsi="Times New Roman" w:eastAsia="方正仿宋_GBK" w:cs="Times New Roman"/>
          <w:color w:val="auto"/>
          <w:kern w:val="0"/>
          <w:sz w:val="32"/>
          <w:szCs w:val="32"/>
          <w:highlight w:val="none"/>
          <w:shd w:val="clear" w:color="auto" w:fill="FFFFFF"/>
          <w:lang w:val="en-US" w:eastAsia="zh-CN"/>
        </w:rPr>
        <w:t>人工智能场景，推动人工智能培育从</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给政策</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给项目</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到</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给机会</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转变。倡导和</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支持</w:t>
      </w:r>
      <w:r>
        <w:rPr>
          <w:rFonts w:hint="default" w:ascii="Times New Roman" w:hAnsi="Times New Roman" w:eastAsia="方正仿宋_GBK" w:cs="Times New Roman"/>
          <w:color w:val="auto"/>
          <w:kern w:val="0"/>
          <w:sz w:val="32"/>
          <w:szCs w:val="32"/>
          <w:highlight w:val="none"/>
          <w:shd w:val="clear" w:color="auto" w:fill="FFFFFF"/>
          <w:lang w:val="en-US" w:eastAsia="zh-CN"/>
        </w:rPr>
        <w:t>人工智能企业积极参与城市场景与产业场景建设。</w:t>
      </w:r>
    </w:p>
    <w:p w14:paraId="5B0F2E91">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3</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人工智能提速行动</w:t>
      </w:r>
      <w:r>
        <w:rPr>
          <w:rFonts w:hint="default" w:ascii="Times New Roman" w:hAnsi="Times New Roman" w:eastAsia="方正黑体_GBK" w:cs="Times New Roman"/>
          <w:bCs/>
          <w:color w:val="auto"/>
          <w:sz w:val="28"/>
          <w:szCs w:val="28"/>
        </w:rPr>
        <w:t>重点项目</w:t>
      </w:r>
    </w:p>
    <w:tbl>
      <w:tblPr>
        <w:tblStyle w:val="11"/>
        <w:tblW w:w="4861"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9"/>
      </w:tblGrid>
      <w:tr w14:paraId="4642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trPr>
        <w:tc>
          <w:tcPr>
            <w:tcW w:w="5000" w:type="pct"/>
            <w:vAlign w:val="center"/>
          </w:tcPr>
          <w:p w14:paraId="244343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西部算电协同创新中心加速建设</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kern w:val="2"/>
                <w:sz w:val="28"/>
                <w:szCs w:val="28"/>
                <w:lang w:val="en-US" w:eastAsia="zh-CN" w:bidi="ar-SA"/>
              </w:rPr>
              <w:t>加快打造先进计算集群和算力网传输体系，联合新疆哈密、视联动力加快推进西部算电协同创新中心建设，打造基于绿色能源与新型算力联动的西部算力创新枢纽和应用高地，推进</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基于新型国产通信协议的一体化算力网</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项目建设，打造高速度、低成本、高确定性、高安全性的重庆市算力网，构建重庆与哈密以及新加坡的数据传输</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高速公路</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w:t>
            </w:r>
          </w:p>
          <w:p w14:paraId="398D503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default" w:ascii="Times New Roman" w:hAnsi="Times New Roman" w:eastAsia="方正楷体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人工智能优质企业培育。</w:t>
            </w:r>
            <w:r>
              <w:rPr>
                <w:rFonts w:hint="default" w:ascii="Times New Roman" w:hAnsi="Times New Roman" w:eastAsia="方正仿宋_GBK" w:cs="Times New Roman"/>
                <w:color w:val="auto"/>
                <w:kern w:val="2"/>
                <w:sz w:val="28"/>
                <w:szCs w:val="28"/>
                <w:lang w:val="en-US" w:eastAsia="zh-CN" w:bidi="ar-SA"/>
              </w:rPr>
              <w:t>充分发挥渝中数字经济产业</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产科金</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综合服务平台扶持作用，</w:t>
            </w:r>
            <w:r>
              <w:rPr>
                <w:rFonts w:hint="default" w:ascii="Times New Roman" w:hAnsi="Times New Roman" w:eastAsia="方正仿宋_GBK" w:cs="Times New Roman"/>
                <w:color w:val="auto"/>
                <w:sz w:val="28"/>
                <w:szCs w:val="28"/>
              </w:rPr>
              <w:t>提高</w:t>
            </w:r>
            <w:r>
              <w:rPr>
                <w:rFonts w:hint="default" w:ascii="Times New Roman" w:hAnsi="Times New Roman" w:eastAsia="方正仿宋_GBK" w:cs="Times New Roman"/>
                <w:color w:val="auto"/>
                <w:sz w:val="28"/>
                <w:szCs w:val="28"/>
                <w:lang w:val="en-US" w:eastAsia="zh-CN"/>
              </w:rPr>
              <w:t>政策</w:t>
            </w:r>
            <w:r>
              <w:rPr>
                <w:rFonts w:hint="default" w:ascii="Times New Roman" w:hAnsi="Times New Roman" w:eastAsia="方正仿宋_GBK" w:cs="Times New Roman"/>
                <w:color w:val="auto"/>
                <w:sz w:val="28"/>
                <w:szCs w:val="28"/>
              </w:rPr>
              <w:t>支持精准度和有效性，</w:t>
            </w:r>
            <w:r>
              <w:rPr>
                <w:rFonts w:hint="default" w:ascii="Times New Roman" w:hAnsi="Times New Roman" w:eastAsia="方正仿宋_GBK" w:cs="Times New Roman"/>
                <w:color w:val="auto"/>
                <w:sz w:val="28"/>
                <w:szCs w:val="28"/>
                <w:lang w:val="en-US" w:eastAsia="zh-CN"/>
              </w:rPr>
              <w:t>推动具有核心竞争力的数字化转型服务企业以及</w:t>
            </w:r>
            <w:r>
              <w:rPr>
                <w:rFonts w:hint="default" w:ascii="Times New Roman" w:hAnsi="Times New Roman" w:eastAsia="方正仿宋_GBK" w:cs="Times New Roman"/>
                <w:color w:val="auto"/>
                <w:kern w:val="2"/>
                <w:sz w:val="28"/>
                <w:szCs w:val="28"/>
                <w:lang w:val="en-US" w:eastAsia="zh-CN" w:bidi="ar-SA"/>
              </w:rPr>
              <w:t>人工智能解决方案服务商，建立</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一企一策</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培育机制，为企业提供产业类、科技类、金融类、风控类、培训类、商务类支持。</w:t>
            </w:r>
            <w:r>
              <w:rPr>
                <w:rFonts w:hint="default" w:ascii="Times New Roman" w:hAnsi="Times New Roman" w:eastAsia="方正仿宋_GBK" w:cs="Times New Roman"/>
                <w:color w:val="auto"/>
                <w:sz w:val="28"/>
                <w:szCs w:val="28"/>
              </w:rPr>
              <w:t>力争到2027年，培育</w:t>
            </w:r>
            <w:r>
              <w:rPr>
                <w:rFonts w:hint="default" w:ascii="Times New Roman" w:hAnsi="Times New Roman" w:eastAsia="方正仿宋_GBK" w:cs="Times New Roman"/>
                <w:color w:val="auto"/>
                <w:sz w:val="28"/>
                <w:szCs w:val="28"/>
                <w:lang w:val="en-US" w:eastAsia="zh-CN"/>
              </w:rPr>
              <w:t>人工智能领域</w:t>
            </w:r>
            <w:r>
              <w:rPr>
                <w:rFonts w:hint="default" w:ascii="Times New Roman" w:hAnsi="Times New Roman" w:eastAsia="方正仿宋_GBK" w:cs="Times New Roman"/>
                <w:color w:val="auto"/>
                <w:sz w:val="28"/>
                <w:szCs w:val="28"/>
              </w:rPr>
              <w:t>市级创新型中小企业</w:t>
            </w:r>
            <w:r>
              <w:rPr>
                <w:rFonts w:hint="default" w:ascii="Times New Roman" w:hAnsi="Times New Roman" w:eastAsia="方正仿宋_GBK" w:cs="Times New Roman"/>
                <w:color w:val="auto"/>
                <w:sz w:val="28"/>
                <w:szCs w:val="28"/>
                <w:lang w:val="en-US" w:eastAsia="zh-CN"/>
              </w:rPr>
              <w:t>30</w:t>
            </w:r>
            <w:r>
              <w:rPr>
                <w:rFonts w:hint="default" w:ascii="Times New Roman" w:hAnsi="Times New Roman" w:eastAsia="方正仿宋_GBK" w:cs="Times New Roman"/>
                <w:color w:val="auto"/>
                <w:sz w:val="28"/>
                <w:szCs w:val="28"/>
              </w:rPr>
              <w:t>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专精特新</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中小企业</w:t>
            </w: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家。</w:t>
            </w:r>
          </w:p>
          <w:p w14:paraId="4A3BAD32">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kern w:val="2"/>
                <w:sz w:val="28"/>
                <w:szCs w:val="28"/>
                <w:lang w:val="en-US" w:eastAsia="zh-CN" w:bidi="ar-SA"/>
              </w:rPr>
              <w:t>扩大行业级人工智能产品供给。</w:t>
            </w:r>
            <w:r>
              <w:rPr>
                <w:rFonts w:hint="default" w:ascii="Times New Roman" w:hAnsi="Times New Roman" w:eastAsia="方正仿宋_GBK" w:cs="Times New Roman"/>
                <w:color w:val="auto"/>
                <w:kern w:val="2"/>
                <w:sz w:val="28"/>
                <w:szCs w:val="28"/>
                <w:lang w:val="en-US" w:eastAsia="zh-CN" w:bidi="ar-SA"/>
              </w:rPr>
              <w:t>加快智能网联汽车领域的人工智能软件培育，促进智能网联汽车的商业化应用。重点支持融合大模型、多模态、具身智能等先进技术的行业级人工智能应用软件研发推广，推动嵌入式系统在智能机器人、智能装备、智能终端等产品的广泛应用。力争到2027年，在人工智能领域取得突破性进展，形成一批具有自主知识</w:t>
            </w:r>
            <w:r>
              <w:rPr>
                <w:rFonts w:hint="default" w:ascii="Times New Roman" w:hAnsi="Times New Roman" w:eastAsia="方正仿宋_GBK" w:cs="Times New Roman"/>
                <w:color w:val="auto"/>
                <w:spacing w:val="-6"/>
                <w:kern w:val="2"/>
                <w:sz w:val="28"/>
                <w:szCs w:val="28"/>
                <w:lang w:val="en-US" w:eastAsia="zh-CN" w:bidi="ar-SA"/>
              </w:rPr>
              <w:t>产权的核心技术和创新产品。</w:t>
            </w:r>
          </w:p>
        </w:tc>
      </w:tr>
    </w:tbl>
    <w:p w14:paraId="0410709E">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六、培育元宇宙</w:t>
      </w:r>
    </w:p>
    <w:p w14:paraId="335016E2">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（一）产业创新领航行动。</w:t>
      </w:r>
    </w:p>
    <w:p w14:paraId="6465A1D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强化元宇宙技术集成创新。</w:t>
      </w:r>
      <w:r>
        <w:rPr>
          <w:rFonts w:hint="default" w:ascii="Times New Roman" w:hAnsi="Times New Roman" w:eastAsia="方正仿宋_GBK" w:cs="Times New Roman"/>
          <w:color w:val="auto"/>
          <w:kern w:val="0"/>
          <w:sz w:val="32"/>
          <w:szCs w:val="32"/>
          <w:shd w:val="clear" w:color="auto" w:fill="FFFFFF"/>
          <w:lang w:val="en-US" w:eastAsia="zh-CN"/>
        </w:rPr>
        <w:t>强化人工智能、云计算、区块链、虚拟现实、5G/6G等新一代信息技术在元宇宙中的集成突破，促进重庆大学、重庆邮电大学等高校、科研院所与行业龙头企业共建创新主体，联合开展理论基础研究，重点突破智能生成算法、分布式身份认证、智能采集、数据资产流通等元宇宙与区块链共性融合技术。结合渝中区区块链及金融产业基础优势，探索创新产业金融应用模式，围绕资产设备、订单数据、生产情况等开展供应链金融服务，通过工业元宇宙虚拟形象建设，打通产业链供应链各环节数据壁垒，打造</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工业元宇宙+区块链+金融</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的动态监测、预警、运营和决策等应用。</w:t>
      </w:r>
    </w:p>
    <w:p w14:paraId="7E1C819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丰富元宇宙终端产品产出。</w:t>
      </w:r>
      <w:r>
        <w:rPr>
          <w:rFonts w:hint="default" w:ascii="Times New Roman" w:hAnsi="Times New Roman" w:eastAsia="方正仿宋_GBK" w:cs="Times New Roman"/>
          <w:color w:val="auto"/>
          <w:kern w:val="0"/>
          <w:sz w:val="32"/>
          <w:szCs w:val="32"/>
          <w:shd w:val="clear" w:color="auto" w:fill="FFFFFF"/>
          <w:lang w:val="en-US" w:eastAsia="zh-CN"/>
        </w:rPr>
        <w:t>发展元宇宙关键基础软件，开发面向元宇宙的操作系统和中间件，突破建模软件、绘制引擎、物理仿真引擎、沉浸式视音频编解码引擎</w:t>
      </w:r>
      <w:r>
        <w:rPr>
          <w:rFonts w:hint="default" w:ascii="Times New Roman" w:hAnsi="Times New Roman" w:eastAsia="方正仿宋_GBK" w:cs="Times New Roman"/>
          <w:color w:val="auto"/>
          <w:kern w:val="0"/>
          <w:sz w:val="32"/>
          <w:szCs w:val="32"/>
          <w:shd w:val="clear" w:color="auto" w:fill="FFFFFF"/>
          <w:lang w:eastAsia="zh-CN"/>
        </w:rPr>
        <w:t>等</w:t>
      </w:r>
      <w:r>
        <w:rPr>
          <w:rFonts w:hint="default" w:ascii="Times New Roman" w:hAnsi="Times New Roman" w:eastAsia="方正仿宋_GBK" w:cs="Times New Roman"/>
          <w:color w:val="auto"/>
          <w:kern w:val="0"/>
          <w:sz w:val="32"/>
          <w:szCs w:val="32"/>
          <w:shd w:val="clear" w:color="auto" w:fill="FFFFFF"/>
          <w:lang w:val="en-US" w:eastAsia="zh-CN"/>
        </w:rPr>
        <w:t>基础软件的核心</w:t>
      </w:r>
      <w:r>
        <w:rPr>
          <w:rFonts w:hint="default" w:ascii="Times New Roman" w:hAnsi="Times New Roman" w:eastAsia="方正仿宋_GBK" w:cs="Times New Roman"/>
          <w:color w:val="auto"/>
          <w:kern w:val="0"/>
          <w:sz w:val="32"/>
          <w:szCs w:val="32"/>
          <w:shd w:val="clear" w:color="auto" w:fill="FFFFFF"/>
          <w:lang w:eastAsia="zh-CN"/>
        </w:rPr>
        <w:t>技术</w:t>
      </w:r>
      <w:r>
        <w:rPr>
          <w:rFonts w:hint="default" w:ascii="Times New Roman" w:hAnsi="Times New Roman" w:eastAsia="方正仿宋_GBK" w:cs="Times New Roman"/>
          <w:color w:val="auto"/>
          <w:kern w:val="0"/>
          <w:sz w:val="32"/>
          <w:szCs w:val="32"/>
          <w:shd w:val="clear" w:color="auto" w:fill="FFFFFF"/>
          <w:lang w:val="en-US" w:eastAsia="zh-CN"/>
        </w:rPr>
        <w:t>，构建一站式元宇宙开发平台。拓展元宇宙终端入口，加速XR头显、裸眼3D等沉浸显示终端的规模化推广，丰富基于手机、计算机、电视机、可穿戴设备等终端的元宇宙应用，支持脑机接口等前沿产品研发。培育创作者群体，建立用户内容生产激励机制，鼓励各类创作主体依托洪崖洞、鹅岭贰厂等地标，开发极具渝中特色的元宇宙IP。促进区内企业现有数字内容向虚拟现实内容迁移，鼓励游戏、动画动漫、短视频制作公司与元宇宙IP嫁接，丰富融合虚拟现实体验的内容供应。</w:t>
      </w:r>
    </w:p>
    <w:p w14:paraId="72F61927">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（二）产业强链补链行动。</w:t>
      </w:r>
    </w:p>
    <w:p w14:paraId="6B1DFDE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b/>
          <w:bCs/>
          <w:color w:val="auto"/>
          <w:kern w:val="0"/>
          <w:sz w:val="32"/>
          <w:szCs w:val="32"/>
          <w:shd w:val="clear" w:color="auto" w:fill="FFFFFF"/>
          <w:lang w:val="en-US" w:eastAsia="zh-CN"/>
        </w:rPr>
        <w:t>加大核心节点企业招引力度</w:t>
      </w:r>
      <w:r>
        <w:rPr>
          <w:rFonts w:hint="default" w:ascii="Times New Roman" w:hAnsi="Times New Roman" w:eastAsia="方正仿宋_GBK" w:cs="Times New Roman"/>
          <w:b/>
          <w:bCs/>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建立健全元宇宙产业链招商图谱，重点围绕智能内容生产、数字孪生等产业链核心节点，实施靶向精准招商，加大对</w:t>
      </w:r>
      <w:r>
        <w:rPr>
          <w:rFonts w:hint="default" w:ascii="Times New Roman" w:hAnsi="Times New Roman" w:eastAsia="方正仿宋_GBK" w:cs="Times New Roman"/>
          <w:color w:val="auto"/>
          <w:kern w:val="0"/>
          <w:sz w:val="32"/>
          <w:szCs w:val="32"/>
          <w:shd w:val="clear" w:color="auto" w:fill="FFFFFF"/>
        </w:rPr>
        <w:t>云知声智能科技</w:t>
      </w:r>
      <w:r>
        <w:rPr>
          <w:rFonts w:hint="default" w:ascii="Times New Roman" w:hAnsi="Times New Roman" w:eastAsia="方正仿宋_GBK" w:cs="Times New Roman"/>
          <w:color w:val="auto"/>
          <w:kern w:val="0"/>
          <w:sz w:val="32"/>
          <w:szCs w:val="32"/>
          <w:shd w:val="clear" w:color="auto" w:fill="FFFFFF"/>
          <w:lang w:val="en-US" w:eastAsia="zh-CN"/>
        </w:rPr>
        <w:t>等</w:t>
      </w:r>
      <w:r>
        <w:rPr>
          <w:rFonts w:hint="default" w:ascii="Times New Roman" w:hAnsi="Times New Roman" w:eastAsia="方正仿宋_GBK" w:cs="Times New Roman"/>
          <w:color w:val="auto"/>
          <w:kern w:val="0"/>
          <w:sz w:val="32"/>
          <w:szCs w:val="32"/>
          <w:shd w:val="clear" w:color="auto" w:fill="FFFFFF"/>
          <w:lang w:val="en-US" w:eastAsia="zh-CN" w:bidi="ar-SA"/>
        </w:rPr>
        <w:t>具有较大产业影响力的元宇宙企业或机构招引力度。加快推进域内存量载体配套设施改造升级建设，打造元宇宙特色产业园区、示范楼宇，打造专业化、特色化元宇宙产业集群，依托</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数字重庆</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建设以及渝中智慧城市应用场景开放，通过需求和载体供给吸引一批技术集成能力强、上下游影响力大的龙头企业、链主企业、隐形冠军企业，逐步形成以头部企业为主体、链条企业协同发展的产业集群生态圈。</w:t>
      </w:r>
    </w:p>
    <w:p w14:paraId="3B4A1DF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b/>
          <w:bCs/>
          <w:color w:val="auto"/>
          <w:kern w:val="0"/>
          <w:sz w:val="32"/>
          <w:szCs w:val="32"/>
          <w:shd w:val="clear" w:color="auto" w:fill="FFFFFF"/>
          <w:lang w:val="en-US" w:eastAsia="zh-CN" w:bidi="ar-SA"/>
        </w:rPr>
        <w:t>鼓励弱链节点企业做优做强。</w:t>
      </w:r>
      <w:r>
        <w:rPr>
          <w:rFonts w:hint="default" w:ascii="Times New Roman" w:hAnsi="Times New Roman" w:eastAsia="方正仿宋_GBK" w:cs="Times New Roman"/>
          <w:color w:val="auto"/>
          <w:kern w:val="0"/>
          <w:sz w:val="32"/>
          <w:szCs w:val="32"/>
          <w:shd w:val="clear" w:color="auto" w:fill="FFFFFF"/>
          <w:lang w:val="en-US" w:eastAsia="zh-CN"/>
        </w:rPr>
        <w:t>建立中小企业从孵化培育、成长扶持到推广壮大的全生命周期梯度培育制度，完善企业梯度培育评价体系，定期发布高成长性创新型中小企业名单，形成企业动态监测、跟踪、管理机制。</w:t>
      </w:r>
      <w:r>
        <w:rPr>
          <w:rFonts w:hint="default" w:ascii="Times New Roman" w:hAnsi="Times New Roman" w:eastAsia="方正仿宋_GBK" w:cs="Times New Roman"/>
          <w:color w:val="auto"/>
          <w:kern w:val="0"/>
          <w:sz w:val="32"/>
          <w:szCs w:val="32"/>
          <w:shd w:val="clear" w:color="auto" w:fill="FFFFFF"/>
          <w:lang w:val="en-US" w:eastAsia="zh-CN" w:bidi="ar-SA"/>
        </w:rPr>
        <w:t>推动在模型渲染、感知交互等渝中区元宇宙产业链弱链节点上具有专业化、精细化、特色化、新颖化特征的企业发展。通过政策支持、需求对接等多种形式，有效降低企业创新创业成本，重点培育一批元宇宙弱链节点</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专精特新</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优质企业。</w:t>
      </w:r>
    </w:p>
    <w:p w14:paraId="481C35F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楷体_GBK" w:cs="Times New Roman"/>
          <w:color w:val="auto"/>
          <w:kern w:val="0"/>
          <w:sz w:val="32"/>
          <w:szCs w:val="32"/>
          <w:lang w:val="en-US" w:eastAsia="zh-CN"/>
        </w:rPr>
        <w:t>（三）场景融合推广行动。</w:t>
      </w:r>
    </w:p>
    <w:p w14:paraId="0E58F50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打造虚实融合文旅场景。</w:t>
      </w:r>
      <w:r>
        <w:rPr>
          <w:rFonts w:hint="default" w:ascii="Times New Roman" w:hAnsi="Times New Roman" w:eastAsia="方正仿宋_GBK" w:cs="Times New Roman"/>
          <w:b w:val="0"/>
          <w:bCs w:val="0"/>
          <w:color w:val="auto"/>
          <w:kern w:val="0"/>
          <w:sz w:val="32"/>
          <w:szCs w:val="32"/>
          <w:shd w:val="clear" w:color="auto" w:fill="FFFFFF"/>
          <w:lang w:val="en-US" w:eastAsia="zh-CN"/>
        </w:rPr>
        <w:t>鼓励洪崖洞、解放碑、十八梯等景区、特色街区、美术馆、博物馆运用全息投影、裸眼3D、数字人讲解、XR导览等技术，打造虚实交互的沉浸式文旅体验空间。集成运用地理位置服务（LBS）、高精度视觉定位等卫星互联网技术，将地理位置、信息点（POI）数据与数字空间进行精准叠加，开发AR伴游、VR云游等沉浸式旅游服务产品，拓展VR全景旅游新模式，加速推进</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城市全域AI私人伴游</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智能人体感知的XR骑行系统</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等项目落地实施。</w:t>
      </w:r>
    </w:p>
    <w:p w14:paraId="35D9AA3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推广沉浸交互消费场景。</w:t>
      </w:r>
      <w:r>
        <w:rPr>
          <w:rFonts w:hint="default" w:ascii="Times New Roman" w:hAnsi="Times New Roman" w:eastAsia="方正仿宋_GBK" w:cs="Times New Roman"/>
          <w:b w:val="0"/>
          <w:bCs w:val="0"/>
          <w:color w:val="auto"/>
          <w:kern w:val="0"/>
          <w:sz w:val="32"/>
          <w:szCs w:val="32"/>
          <w:shd w:val="clear" w:color="auto" w:fill="FFFFFF"/>
          <w:lang w:val="en-US" w:eastAsia="zh-CN"/>
        </w:rPr>
        <w:t>深化智慧商圈建设进程，支持大坪时代天街、解放碑——朝天门商圈等有条件的商业综合体引入人工智能、虚拟现实等技术，探索元宇宙融合新模式。遴选一批虚拟试穿、数字人导购、虚拟直播等数字消费应用场景，打造实数融合、线上线下联动的沉浸式消费元宇宙体验新业态新模式。鼓励</w:t>
      </w:r>
      <w:r>
        <w:rPr>
          <w:rFonts w:hint="default" w:ascii="Times New Roman" w:hAnsi="Times New Roman" w:eastAsia="方正仿宋_GBK" w:cs="Times New Roman"/>
          <w:color w:val="auto"/>
          <w:kern w:val="0"/>
          <w:sz w:val="32"/>
          <w:szCs w:val="32"/>
          <w:shd w:val="clear" w:color="auto" w:fill="FFFFFF"/>
          <w:lang w:val="en-US" w:eastAsia="zh-CN"/>
        </w:rPr>
        <w:t>传统游戏公司结合元宇宙技术，探索开发元宇宙游戏，提升传统游戏交互体验。</w:t>
      </w:r>
    </w:p>
    <w:p w14:paraId="7948F42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加快建设城市治理场景。</w:t>
      </w:r>
      <w:r>
        <w:rPr>
          <w:rFonts w:hint="default" w:ascii="Times New Roman" w:hAnsi="Times New Roman" w:eastAsia="方正仿宋_GBK" w:cs="Times New Roman"/>
          <w:b w:val="0"/>
          <w:bCs w:val="0"/>
          <w:color w:val="auto"/>
          <w:kern w:val="0"/>
          <w:sz w:val="32"/>
          <w:szCs w:val="32"/>
          <w:shd w:val="clear" w:color="auto" w:fill="FFFFFF"/>
          <w:lang w:val="en-US" w:eastAsia="zh-CN"/>
        </w:rPr>
        <w:t>结合3D可视化、城市信息模型（CIM）、虚拟交互等技术手段，运用公共地理空间数据采集、运营和管理能力，建设实时监测、沉浸映射的数字孪生城市，提升城市治理的可视化、交互式、智能化水平。引导企业和科研机构加强在元宇宙环境下虚拟数字人的生成、驱动、交互、标注、场景穿越等关键技术研究，拓展虚拟数字人技术在政务服务中的应用，提升城市智能化政务服务水平。</w:t>
      </w:r>
    </w:p>
    <w:p w14:paraId="2D0B0C3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探索打造智慧教育场景。</w:t>
      </w:r>
      <w:r>
        <w:rPr>
          <w:rFonts w:hint="default" w:ascii="Times New Roman" w:hAnsi="Times New Roman" w:eastAsia="方正仿宋_GBK" w:cs="Times New Roman"/>
          <w:b w:val="0"/>
          <w:bCs w:val="0"/>
          <w:color w:val="auto"/>
          <w:kern w:val="0"/>
          <w:sz w:val="32"/>
          <w:szCs w:val="32"/>
          <w:shd w:val="clear" w:color="auto" w:fill="FFFFFF"/>
          <w:lang w:val="en-US" w:eastAsia="zh-CN"/>
        </w:rPr>
        <w:t>推动教育领域线上线下融合，鼓励企业构建虚拟教室、虚拟课堂、虚拟实验室等教育教学环境，促进中小学教学与元宇宙技术深度融合，培育创新应用标杆学校。鼓励通过平台共享虚拟仿真实验实训资源，扩大优质教育资源覆盖面。鼓励重庆医科大学等医学院校，围绕全息教学、病例模拟、手术模拟等应用联合元宇宙企业开展产品研发和应用推广，提高教学效果和临床学习体验。</w:t>
      </w:r>
    </w:p>
    <w:p w14:paraId="726BF124">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4</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元宇宙创新行动</w:t>
      </w:r>
      <w:r>
        <w:rPr>
          <w:rFonts w:hint="default" w:ascii="Times New Roman" w:hAnsi="Times New Roman" w:eastAsia="方正黑体_GBK" w:cs="Times New Roman"/>
          <w:bCs/>
          <w:color w:val="auto"/>
          <w:sz w:val="28"/>
          <w:szCs w:val="28"/>
        </w:rPr>
        <w:t>重点项目</w:t>
      </w:r>
    </w:p>
    <w:tbl>
      <w:tblPr>
        <w:tblStyle w:val="11"/>
        <w:tblW w:w="4861" w:type="pc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9"/>
      </w:tblGrid>
      <w:tr w14:paraId="660B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vAlign w:val="center"/>
          </w:tcPr>
          <w:p w14:paraId="67B3F981">
            <w:pPr>
              <w:spacing w:line="500" w:lineRule="exact"/>
              <w:ind w:firstLine="560" w:firstLineChars="200"/>
              <w:outlineLvl w:val="0"/>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元宇宙+区块链技术集成创新</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kern w:val="2"/>
                <w:sz w:val="28"/>
                <w:szCs w:val="28"/>
                <w:lang w:val="en-US" w:eastAsia="zh-CN" w:bidi="ar-SA"/>
              </w:rPr>
              <w:t>加强高校、科研院所与行业龙头企业的合作，针对智能生成算法、分布式身份认证、智能采集、数据资产流通等元宇宙与区块链共性融合技术共同开展理论基础研究和技术创新，打造</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元宇宙+区块链+金融</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的融合应用模式，鼓励</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慧风控汽车风险</w:t>
            </w:r>
            <w:r>
              <w:rPr>
                <w:rFonts w:hint="default" w:ascii="Times New Roman" w:hAnsi="Times New Roman" w:eastAsia="方正仿宋_GBK" w:cs="Times New Roman"/>
                <w:color w:val="auto"/>
                <w:spacing w:val="-6"/>
                <w:kern w:val="2"/>
                <w:sz w:val="28"/>
                <w:szCs w:val="28"/>
                <w:lang w:val="en-US" w:eastAsia="zh-CN" w:bidi="ar-SA"/>
              </w:rPr>
              <w:t>数字化管理平台</w:t>
            </w:r>
            <w:r>
              <w:rPr>
                <w:rFonts w:hint="eastAsia" w:ascii="Times New Roman" w:hAnsi="Times New Roman" w:eastAsia="方正仿宋_GBK" w:cs="Times New Roman"/>
                <w:color w:val="auto"/>
                <w:spacing w:val="-6"/>
                <w:kern w:val="2"/>
                <w:sz w:val="28"/>
                <w:szCs w:val="28"/>
                <w:lang w:val="en-US" w:eastAsia="zh-CN" w:bidi="ar-SA"/>
              </w:rPr>
              <w:t>”</w:t>
            </w:r>
            <w:r>
              <w:rPr>
                <w:rFonts w:hint="default" w:ascii="Times New Roman" w:hAnsi="Times New Roman" w:eastAsia="方正仿宋_GBK" w:cs="Times New Roman"/>
                <w:color w:val="auto"/>
                <w:spacing w:val="-6"/>
                <w:kern w:val="2"/>
                <w:sz w:val="28"/>
                <w:szCs w:val="28"/>
                <w:lang w:val="en-US" w:eastAsia="zh-CN" w:bidi="ar-SA"/>
              </w:rPr>
              <w:t>等多领域融合项目，实现产业链、供应链的数字化升级。</w:t>
            </w:r>
          </w:p>
          <w:p w14:paraId="0BF62167">
            <w:pPr>
              <w:spacing w:line="500" w:lineRule="exact"/>
              <w:ind w:firstLine="560" w:firstLineChars="200"/>
              <w:outlineLvl w:val="0"/>
              <w:rPr>
                <w:rFonts w:hint="default" w:ascii="Times New Roman" w:hAnsi="Times New Roman" w:eastAsia="方正楷体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弱链节点引育补强。</w:t>
            </w:r>
            <w:r>
              <w:rPr>
                <w:rFonts w:hint="default" w:ascii="Times New Roman" w:hAnsi="Times New Roman" w:eastAsia="方正仿宋_GBK" w:cs="Times New Roman"/>
                <w:color w:val="auto"/>
                <w:kern w:val="2"/>
                <w:sz w:val="28"/>
                <w:szCs w:val="28"/>
                <w:lang w:val="en-US" w:eastAsia="zh-CN" w:bidi="ar-SA"/>
              </w:rPr>
              <w:t>重点围绕智能内容生产、数字孪生等核心节点，实施精准招商，加快载体建设，吸引和培育一批具有影响力的企业，打造一批具有国际竞争力的龙头企业和知名品牌。争取昆仑万维、万兴科技等国内知名企业落户渝中区，形成以头部企业为主体、链条企业协同发展的产业集群生态圈。</w:t>
            </w:r>
            <w:r>
              <w:rPr>
                <w:rFonts w:hint="default" w:ascii="Times New Roman" w:hAnsi="Times New Roman" w:eastAsia="方正仿宋_GBK" w:cs="Times New Roman"/>
                <w:color w:val="auto"/>
                <w:sz w:val="28"/>
                <w:szCs w:val="28"/>
              </w:rPr>
              <w:t>力争到2027年，引进国内</w:t>
            </w:r>
            <w:r>
              <w:rPr>
                <w:rFonts w:hint="default" w:ascii="Times New Roman" w:hAnsi="Times New Roman" w:eastAsia="方正仿宋_GBK" w:cs="Times New Roman"/>
                <w:color w:val="auto"/>
                <w:sz w:val="28"/>
                <w:szCs w:val="28"/>
                <w:lang w:val="en-US" w:eastAsia="zh-CN"/>
              </w:rPr>
              <w:t>元宇宙龙头</w:t>
            </w:r>
            <w:r>
              <w:rPr>
                <w:rFonts w:hint="default" w:ascii="Times New Roman" w:hAnsi="Times New Roman" w:eastAsia="方正仿宋_GBK" w:cs="Times New Roman"/>
                <w:color w:val="auto"/>
                <w:sz w:val="28"/>
                <w:szCs w:val="28"/>
              </w:rPr>
              <w:t>企业</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家，引进培育</w:t>
            </w:r>
            <w:r>
              <w:rPr>
                <w:rFonts w:hint="default" w:ascii="Times New Roman" w:hAnsi="Times New Roman" w:eastAsia="方正仿宋_GBK" w:cs="Times New Roman"/>
                <w:color w:val="auto"/>
                <w:sz w:val="28"/>
                <w:szCs w:val="28"/>
                <w:lang w:val="en-US" w:eastAsia="zh-CN"/>
              </w:rPr>
              <w:t>5家</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专精特新</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或</w:t>
            </w:r>
            <w:r>
              <w:rPr>
                <w:rFonts w:hint="default" w:ascii="Times New Roman" w:hAnsi="Times New Roman" w:eastAsia="方正仿宋_GBK" w:cs="Times New Roman"/>
                <w:color w:val="auto"/>
                <w:sz w:val="28"/>
                <w:szCs w:val="28"/>
              </w:rPr>
              <w:t>隐形冠军企业</w:t>
            </w:r>
            <w:r>
              <w:rPr>
                <w:rFonts w:hint="default" w:ascii="Times New Roman" w:hAnsi="Times New Roman" w:eastAsia="方正仿宋_GBK" w:cs="Times New Roman"/>
                <w:color w:val="auto"/>
                <w:sz w:val="28"/>
                <w:szCs w:val="28"/>
                <w:lang w:eastAsia="zh-CN"/>
              </w:rPr>
              <w:t>。</w:t>
            </w:r>
          </w:p>
          <w:p w14:paraId="1FAB12EC">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w:hAnsi="Times New Roman" w:cs="Times New Roman"/>
                <w:color w:val="auto"/>
                <w:lang w:val="en-US" w:eastAsia="zh-CN"/>
              </w:rPr>
            </w:pPr>
            <w:r>
              <w:rPr>
                <w:rFonts w:hint="eastAsia" w:ascii="Times New Roman" w:hAnsi="Times New Roman" w:eastAsia="方正黑体_GBK" w:cs="Times New Roman"/>
                <w:color w:val="auto"/>
                <w:kern w:val="2"/>
                <w:sz w:val="28"/>
                <w:szCs w:val="28"/>
                <w:lang w:val="en-US" w:eastAsia="zh-CN" w:bidi="ar-SA"/>
              </w:rPr>
              <w:t>“</w:t>
            </w:r>
            <w:r>
              <w:rPr>
                <w:rFonts w:hint="default" w:ascii="Times New Roman" w:hAnsi="Times New Roman" w:eastAsia="方正黑体_GBK" w:cs="Times New Roman"/>
                <w:color w:val="auto"/>
                <w:kern w:val="2"/>
                <w:sz w:val="28"/>
                <w:szCs w:val="28"/>
                <w:lang w:val="en-US" w:eastAsia="zh-CN" w:bidi="ar-SA"/>
              </w:rPr>
              <w:t>渝中宇宙</w:t>
            </w:r>
            <w:r>
              <w:rPr>
                <w:rFonts w:hint="eastAsia" w:ascii="Times New Roman" w:hAnsi="Times New Roman" w:eastAsia="方正黑体_GBK" w:cs="Times New Roman"/>
                <w:color w:val="auto"/>
                <w:kern w:val="2"/>
                <w:sz w:val="28"/>
                <w:szCs w:val="28"/>
                <w:lang w:val="en-US" w:eastAsia="zh-CN" w:bidi="ar-SA"/>
              </w:rPr>
              <w:t>”</w:t>
            </w:r>
            <w:r>
              <w:rPr>
                <w:rFonts w:hint="default" w:ascii="Times New Roman" w:hAnsi="Times New Roman" w:eastAsia="方正黑体_GBK" w:cs="Times New Roman"/>
                <w:color w:val="auto"/>
                <w:kern w:val="2"/>
                <w:sz w:val="28"/>
                <w:szCs w:val="28"/>
                <w:lang w:val="en-US" w:eastAsia="zh-CN" w:bidi="ar-SA"/>
              </w:rPr>
              <w:t>虚实文旅建设。</w:t>
            </w:r>
            <w:r>
              <w:rPr>
                <w:rFonts w:hint="default" w:ascii="Times New Roman" w:hAnsi="Times New Roman" w:eastAsia="方正仿宋_GBK" w:cs="Times New Roman"/>
                <w:color w:val="auto"/>
                <w:kern w:val="2"/>
                <w:sz w:val="28"/>
                <w:szCs w:val="28"/>
                <w:lang w:val="en-US" w:eastAsia="zh-CN" w:bidi="ar-SA"/>
              </w:rPr>
              <w:t>加速推进</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游语通垂直应用大模型文旅项目</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等文旅元宇宙项目的落地实施，利用人工智能技术为游客提供个性化的旅游推荐和导览服务，实现游客与城市的智能互动，打造虚实交互的沉浸式文旅体验空间。力争在文旅产业领域形成一批具有创新性和示范性的沉浸式文旅体验空间和旅游服务产品，提升文旅产业的科技含量和市场竞争力。</w:t>
            </w:r>
          </w:p>
        </w:tc>
      </w:tr>
    </w:tbl>
    <w:p w14:paraId="182D50D6">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七、保障措施</w:t>
      </w:r>
    </w:p>
    <w:p w14:paraId="7F7043C7">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加强统筹协调</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成立渝中区软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重点新兴产业高质量发展领导</w:t>
      </w:r>
      <w:r>
        <w:rPr>
          <w:rFonts w:hint="default" w:ascii="Times New Roman" w:hAnsi="Times New Roman" w:eastAsia="方正仿宋_GBK" w:cs="Times New Roman"/>
          <w:color w:val="auto"/>
          <w:sz w:val="32"/>
          <w:szCs w:val="32"/>
          <w:lang w:val="en-US" w:eastAsia="zh-CN"/>
        </w:rPr>
        <w:t>工作专班</w:t>
      </w:r>
      <w:r>
        <w:rPr>
          <w:rFonts w:hint="default" w:ascii="Times New Roman" w:hAnsi="Times New Roman" w:eastAsia="方正仿宋_GBK" w:cs="Times New Roman"/>
          <w:color w:val="auto"/>
          <w:sz w:val="32"/>
          <w:szCs w:val="32"/>
        </w:rPr>
        <w:t>，统筹推进全区软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重点新兴产业发展，定期研究解决软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重点新兴产业发展的重大事项、重大问题。建立健全工作推进机制，明确各</w:t>
      </w:r>
      <w:r>
        <w:rPr>
          <w:rFonts w:hint="default" w:ascii="Times New Roman" w:hAnsi="Times New Roman" w:eastAsia="方正仿宋_GBK" w:cs="Times New Roman"/>
          <w:color w:val="auto"/>
          <w:sz w:val="32"/>
          <w:szCs w:val="32"/>
          <w:lang w:val="en-US" w:eastAsia="zh-CN"/>
        </w:rPr>
        <w:t>成员单位职责分工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细化工作措施，</w:t>
      </w:r>
      <w:r>
        <w:rPr>
          <w:rFonts w:hint="default" w:ascii="Times New Roman" w:hAnsi="Times New Roman" w:eastAsia="方正仿宋_GBK" w:cs="Times New Roman"/>
          <w:color w:val="auto"/>
          <w:sz w:val="32"/>
          <w:szCs w:val="32"/>
        </w:rPr>
        <w:t>根据工作重点制定合理的资源分配方案。加强与国家和市级有关部门对接力度，主动争取更多政策、项目及资金支持与倾斜。组建软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w:t>
      </w:r>
      <w:r>
        <w:rPr>
          <w:rFonts w:hint="default" w:ascii="Times New Roman" w:hAnsi="Times New Roman" w:eastAsia="方正仿宋_GBK" w:cs="Times New Roman"/>
          <w:color w:val="auto"/>
          <w:sz w:val="31"/>
          <w:szCs w:val="31"/>
        </w:rPr>
        <w:t>专家</w:t>
      </w:r>
      <w:r>
        <w:rPr>
          <w:rFonts w:hint="default" w:ascii="Times New Roman" w:hAnsi="Times New Roman" w:eastAsia="方正仿宋_GBK" w:cs="Times New Roman"/>
          <w:color w:val="auto"/>
          <w:sz w:val="31"/>
          <w:szCs w:val="31"/>
          <w:lang w:val="en-US" w:eastAsia="zh-CN"/>
        </w:rPr>
        <w:t>库</w:t>
      </w:r>
      <w:r>
        <w:rPr>
          <w:rFonts w:hint="default" w:ascii="Times New Roman" w:hAnsi="Times New Roman" w:eastAsia="方正仿宋_GBK" w:cs="Times New Roman"/>
          <w:color w:val="auto"/>
          <w:sz w:val="31"/>
          <w:szCs w:val="31"/>
        </w:rPr>
        <w:t>，提高产业决策科学性</w:t>
      </w:r>
      <w:r>
        <w:rPr>
          <w:rFonts w:hint="default" w:ascii="Times New Roman" w:hAnsi="Times New Roman" w:eastAsia="方正仿宋_GBK" w:cs="Times New Roman"/>
          <w:color w:val="auto"/>
          <w:sz w:val="31"/>
          <w:szCs w:val="31"/>
          <w:lang w:eastAsia="zh-CN"/>
        </w:rPr>
        <w:t>、</w:t>
      </w:r>
      <w:r>
        <w:rPr>
          <w:rFonts w:hint="default" w:ascii="Times New Roman" w:hAnsi="Times New Roman" w:eastAsia="方正仿宋_GBK" w:cs="Times New Roman"/>
          <w:color w:val="auto"/>
          <w:sz w:val="31"/>
          <w:szCs w:val="31"/>
        </w:rPr>
        <w:t>前瞻性。</w:t>
      </w:r>
    </w:p>
    <w:p w14:paraId="002E720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加强政策支持</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围绕软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重点新兴产业集群高质量发展，</w:t>
      </w:r>
      <w:r>
        <w:rPr>
          <w:rFonts w:hint="default" w:ascii="Times New Roman" w:hAnsi="Times New Roman" w:eastAsia="方正仿宋_GBK" w:cs="Times New Roman"/>
          <w:i w:val="0"/>
          <w:iCs w:val="0"/>
          <w:caps w:val="0"/>
          <w:color w:val="auto"/>
          <w:spacing w:val="0"/>
          <w:sz w:val="32"/>
          <w:szCs w:val="32"/>
          <w:shd w:val="clear" w:fill="FFFFFF"/>
          <w:lang w:val="en-US" w:eastAsia="zh-CN"/>
        </w:rPr>
        <w:t>研究出台支撑产业发展的创新政策</w:t>
      </w:r>
      <w:r>
        <w:rPr>
          <w:rFonts w:hint="default" w:ascii="Times New Roman" w:hAnsi="Times New Roman" w:eastAsia="方正仿宋_GBK" w:cs="Times New Roman"/>
          <w:color w:val="auto"/>
          <w:sz w:val="32"/>
          <w:szCs w:val="32"/>
        </w:rPr>
        <w:t>。按照中央建设国内统一大市场要求，依法依规在政策范围内落实国家和市级相关财政补贴、税收减免、市场应用、研究开发政策，支撑软信重点新兴产业建设发展。加大企业知识价值和商业价值信用贷款力度，鼓励企业积极对接社会资本、国有基金、股权投资机构等，加大对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重点新兴企业投资力度，支持企业技术研发和成果转化。</w:t>
      </w:r>
    </w:p>
    <w:p w14:paraId="7A02EC3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32"/>
          <w:lang w:val="en-US" w:eastAsia="zh-CN" w:bidi="ar-SA"/>
        </w:rPr>
        <w:t>（三）</w:t>
      </w:r>
      <w:r>
        <w:rPr>
          <w:rFonts w:hint="default" w:ascii="Times New Roman" w:hAnsi="Times New Roman" w:eastAsia="方正楷体_GBK" w:cs="Times New Roman"/>
          <w:color w:val="auto"/>
          <w:sz w:val="32"/>
          <w:szCs w:val="32"/>
        </w:rPr>
        <w:t>加强要素配套</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全面推动软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重点新兴产业配套要素建设，保障产业创新高质量发展。鼓励相关部门协同软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重点新兴产业各行业协会共同制定行业标准，</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根据行业发展和市场需求适时修</w:t>
      </w:r>
      <w:r>
        <w:rPr>
          <w:rFonts w:hint="default" w:ascii="Times New Roman" w:hAnsi="Times New Roman" w:eastAsia="方正仿宋_GBK" w:cs="Times New Roman"/>
          <w:color w:val="auto"/>
          <w:sz w:val="32"/>
          <w:szCs w:val="32"/>
          <w:lang w:val="en-US" w:eastAsia="zh-CN"/>
        </w:rPr>
        <w:t>改</w:t>
      </w:r>
      <w:r>
        <w:rPr>
          <w:rFonts w:hint="default" w:ascii="Times New Roman" w:hAnsi="Times New Roman" w:eastAsia="方正仿宋_GBK" w:cs="Times New Roman"/>
          <w:color w:val="auto"/>
          <w:sz w:val="32"/>
          <w:szCs w:val="32"/>
        </w:rPr>
        <w:t>完善。推动软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重点新兴产业自主知识产权发展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鼓励企业参与国际规则和标准制定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基于</w:t>
      </w:r>
      <w:r>
        <w:rPr>
          <w:rFonts w:hint="default" w:ascii="Times New Roman" w:hAnsi="Times New Roman" w:eastAsia="方正仿宋_GBK" w:cs="Times New Roman"/>
          <w:color w:val="auto"/>
          <w:sz w:val="32"/>
          <w:szCs w:val="32"/>
        </w:rPr>
        <w:t>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重点新兴产业各行业特点，建立各行业伦理风险评估机制，制定专项伦理准则和规范，积极开展伦理教育宣传，避免技术的不当使用。</w:t>
      </w:r>
      <w:r>
        <w:rPr>
          <w:rFonts w:hint="default" w:ascii="Times New Roman" w:hAnsi="Times New Roman" w:eastAsia="方正仿宋_GBK" w:cs="Times New Roman"/>
          <w:color w:val="auto"/>
          <w:sz w:val="32"/>
          <w:szCs w:val="32"/>
          <w:lang w:eastAsia="zh-CN"/>
        </w:rPr>
        <w:t>严格落实、大力宣传</w:t>
      </w:r>
      <w:r>
        <w:rPr>
          <w:rFonts w:hint="default" w:ascii="Times New Roman" w:hAnsi="Times New Roman" w:eastAsia="方正仿宋_GBK" w:cs="Times New Roman"/>
          <w:color w:val="auto"/>
          <w:sz w:val="32"/>
          <w:szCs w:val="32"/>
        </w:rPr>
        <w:t>相关法律法规，</w:t>
      </w:r>
      <w:r>
        <w:rPr>
          <w:rFonts w:hint="default" w:ascii="Times New Roman" w:hAnsi="Times New Roman" w:eastAsia="方正仿宋_GBK" w:cs="Times New Roman"/>
          <w:color w:val="auto"/>
          <w:sz w:val="32"/>
          <w:szCs w:val="32"/>
          <w:lang w:eastAsia="zh-CN"/>
        </w:rPr>
        <w:t>引导企业合法经营</w:t>
      </w:r>
      <w:r>
        <w:rPr>
          <w:rFonts w:hint="default" w:ascii="Times New Roman" w:hAnsi="Times New Roman" w:eastAsia="方正仿宋_GBK" w:cs="Times New Roman"/>
          <w:color w:val="auto"/>
          <w:sz w:val="32"/>
          <w:szCs w:val="32"/>
        </w:rPr>
        <w:t>。</w:t>
      </w:r>
    </w:p>
    <w:p w14:paraId="1C0F2B9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（四）加强氛围营造</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强化软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重点新兴产业政策、行业规范</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宣贯力度，加强软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重点新兴产业专业知识宣传普及力度，提升全社会对软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前沿科技认知水平。支持各类企事业单位、行业协会、高校及科研院所积极承办产业峰会、创新创业大赛、行业会议、专题培训等活动，促进行业交流。推动产业优秀示范案例评选，大力推介先进典型，鼓励对接新闻媒体</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宣传报道，营造良好产业发展氛围。</w:t>
      </w:r>
    </w:p>
    <w:p w14:paraId="4DBBFC07">
      <w:pPr>
        <w:pStyle w:val="3"/>
        <w:rPr>
          <w:rFonts w:hint="default" w:ascii="Times New Roman" w:hAnsi="Times New Roman" w:eastAsia="方正仿宋_GBK" w:cs="Times New Roman"/>
          <w:color w:val="auto"/>
          <w:sz w:val="32"/>
          <w:szCs w:val="32"/>
        </w:rPr>
      </w:pPr>
    </w:p>
    <w:p w14:paraId="28AF929C">
      <w:pPr>
        <w:pStyle w:val="3"/>
        <w:rPr>
          <w:rFonts w:hint="default" w:ascii="Times New Roman" w:hAnsi="Times New Roman" w:eastAsia="方正仿宋_GBK" w:cs="Times New Roman"/>
          <w:color w:val="auto"/>
          <w:sz w:val="32"/>
          <w:szCs w:val="32"/>
        </w:rPr>
      </w:pPr>
    </w:p>
    <w:p w14:paraId="3E846199">
      <w:pPr>
        <w:rPr>
          <w:rFonts w:hint="default" w:ascii="Times New Roman" w:hAnsi="Times New Roman" w:eastAsia="方正仿宋_GBK" w:cs="Times New Roman"/>
          <w:color w:val="auto"/>
          <w:sz w:val="32"/>
          <w:szCs w:val="32"/>
          <w:lang w:val="en-US" w:eastAsia="zh-CN"/>
        </w:rPr>
      </w:pPr>
    </w:p>
    <w:p w14:paraId="36B0CDD7">
      <w:pPr>
        <w:pStyle w:val="3"/>
        <w:rPr>
          <w:rFonts w:hint="default" w:ascii="Times New Roman" w:hAnsi="Times New Roman" w:eastAsia="方正仿宋_GBK" w:cs="Times New Roman"/>
          <w:color w:val="auto"/>
          <w:sz w:val="32"/>
          <w:szCs w:val="32"/>
        </w:rPr>
      </w:pPr>
    </w:p>
    <w:p w14:paraId="1D2F6A62">
      <w:pPr>
        <w:rPr>
          <w:rFonts w:hint="default" w:ascii="Times New Roman" w:hAnsi="Times New Roman" w:eastAsia="方正仿宋_GBK" w:cs="Times New Roman"/>
          <w:color w:val="auto"/>
          <w:sz w:val="32"/>
          <w:szCs w:val="32"/>
          <w:lang w:val="en-US" w:eastAsia="zh-CN"/>
        </w:rPr>
      </w:pPr>
    </w:p>
    <w:p w14:paraId="0C41BD5B">
      <w:pPr>
        <w:pStyle w:val="3"/>
        <w:rPr>
          <w:rFonts w:hint="default" w:ascii="Times New Roman" w:hAnsi="Times New Roman" w:eastAsia="方正仿宋_GBK" w:cs="Times New Roman"/>
          <w:color w:val="auto"/>
          <w:sz w:val="32"/>
          <w:szCs w:val="32"/>
        </w:rPr>
      </w:pPr>
    </w:p>
    <w:p w14:paraId="3306EFC5">
      <w:pPr>
        <w:rPr>
          <w:rFonts w:hint="default" w:ascii="Times New Roman" w:hAnsi="Times New Roman" w:eastAsia="方正仿宋_GBK" w:cs="Times New Roman"/>
          <w:color w:val="auto"/>
          <w:sz w:val="32"/>
          <w:szCs w:val="32"/>
          <w:lang w:val="en-US" w:eastAsia="zh-CN"/>
        </w:rPr>
      </w:pPr>
    </w:p>
    <w:p w14:paraId="1985EF92">
      <w:pPr>
        <w:pStyle w:val="3"/>
        <w:rPr>
          <w:rFonts w:hint="default" w:ascii="Times New Roman" w:hAnsi="Times New Roman" w:eastAsia="方正仿宋_GBK" w:cs="Times New Roman"/>
          <w:color w:val="auto"/>
          <w:sz w:val="32"/>
          <w:szCs w:val="32"/>
        </w:rPr>
      </w:pPr>
    </w:p>
    <w:p w14:paraId="7C1EF88A">
      <w:pPr>
        <w:rPr>
          <w:rFonts w:hint="default" w:ascii="Times New Roman" w:hAnsi="Times New Roman" w:eastAsia="方正仿宋_GBK" w:cs="Times New Roman"/>
          <w:color w:val="auto"/>
          <w:sz w:val="32"/>
          <w:szCs w:val="32"/>
          <w:lang w:val="en-US" w:eastAsia="zh-CN"/>
        </w:rPr>
      </w:pPr>
    </w:p>
    <w:p w14:paraId="408569E0">
      <w:pPr>
        <w:pStyle w:val="3"/>
        <w:rPr>
          <w:rFonts w:hint="default" w:ascii="Times New Roman" w:hAnsi="Times New Roman" w:eastAsia="方正仿宋_GBK" w:cs="Times New Roman"/>
          <w:color w:val="auto"/>
          <w:sz w:val="32"/>
          <w:szCs w:val="32"/>
        </w:rPr>
      </w:pPr>
    </w:p>
    <w:p w14:paraId="49DE0D76">
      <w:pPr>
        <w:rPr>
          <w:rFonts w:hint="default" w:ascii="Times New Roman" w:hAnsi="Times New Roman" w:eastAsia="方正仿宋_GBK" w:cs="Times New Roman"/>
          <w:color w:val="auto"/>
          <w:sz w:val="32"/>
          <w:szCs w:val="32"/>
          <w:lang w:val="en-US" w:eastAsia="zh-CN"/>
        </w:rPr>
      </w:pPr>
    </w:p>
    <w:p w14:paraId="63E2C18C">
      <w:pPr>
        <w:pStyle w:val="3"/>
        <w:rPr>
          <w:rFonts w:hint="default" w:ascii="Times New Roman" w:hAnsi="Times New Roman" w:eastAsia="方正仿宋_GBK" w:cs="Times New Roman"/>
          <w:color w:val="auto"/>
          <w:sz w:val="32"/>
          <w:szCs w:val="32"/>
        </w:rPr>
      </w:pPr>
    </w:p>
    <w:p w14:paraId="5845E339">
      <w:pPr>
        <w:rPr>
          <w:rFonts w:hint="default" w:ascii="Times New Roman" w:hAnsi="Times New Roman" w:eastAsia="方正仿宋_GBK" w:cs="Times New Roman"/>
          <w:color w:val="auto"/>
          <w:sz w:val="32"/>
          <w:szCs w:val="32"/>
          <w:lang w:val="en-US" w:eastAsia="zh-CN"/>
        </w:rPr>
      </w:pPr>
    </w:p>
    <w:p w14:paraId="080EE186">
      <w:pPr>
        <w:pStyle w:val="3"/>
        <w:rPr>
          <w:rFonts w:hint="default" w:ascii="Times New Roman" w:hAnsi="Times New Roman" w:eastAsia="方正仿宋_GBK" w:cs="Times New Roman"/>
          <w:color w:val="auto"/>
          <w:sz w:val="32"/>
          <w:szCs w:val="32"/>
        </w:rPr>
      </w:pPr>
    </w:p>
    <w:p w14:paraId="0312A868">
      <w:pPr>
        <w:rPr>
          <w:rFonts w:hint="default" w:ascii="Times New Roman" w:hAnsi="Times New Roman" w:eastAsia="方正仿宋_GBK" w:cs="Times New Roman"/>
          <w:color w:val="auto"/>
          <w:sz w:val="32"/>
          <w:szCs w:val="32"/>
          <w:lang w:val="en-US" w:eastAsia="zh-CN"/>
        </w:rPr>
      </w:pPr>
    </w:p>
    <w:p w14:paraId="778D347E">
      <w:pPr>
        <w:spacing w:line="620" w:lineRule="exact"/>
        <w:ind w:firstLine="140" w:firstLineChars="5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000000"/>
          <w:sz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48895</wp:posOffset>
                </wp:positionV>
                <wp:extent cx="554418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544185"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6.55pt;z-index:251660288;mso-width-relative:page;mso-height-relative:page;" filled="f" stroked="t" coordsize="21600,21600" o:gfxdata="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OwWw&#10;1AAAAAQBAAAPAAAAAAAAAAEAIAAAACIAAABkcnMvZG93bnJldi54bWxQSwECFAAUAAAACACHTuJA&#10;U2W87CUCAAA4BAAADgAAAAAAAAABACAAAAAjAQAAZHJzL2Uyb0RvYy54bWxQSwUGAAAAAAYABgBZ&#10;AQAAugUAAAAA&#10;">
                <v:fill on="f" focussize="0,0"/>
                <v:stroke color="#000000" joinstyle="miter"/>
                <v:imagedata o:title=""/>
                <o:lock v:ext="edit" aspectratio="f"/>
              </v:line>
            </w:pict>
          </mc:Fallback>
        </mc:AlternateContent>
      </w:r>
      <w:r>
        <w:rPr>
          <w:rFonts w:hint="default" w:ascii="Times New Roman" w:hAnsi="Times New Roman" w:cs="Times New Roman"/>
          <w:color w:val="000000"/>
          <w:sz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404495</wp:posOffset>
                </wp:positionV>
                <wp:extent cx="554418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544185"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6.55pt;z-index:251661312;mso-width-relative:page;mso-height-relative:page;" filled="f" stroked="t" coordsize="21600,21600" o:gfxdata="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n4Te1wAAAAcBAAAPAAAAAAAAAAEAIAAAACIAAABkcnMvZG93bnJldi54bWxQSwECFAAUAAAACACH&#10;TuJAq1G52iUCAAA4BAAADgAAAAAAAAABACAAAAAmAQAAZHJzL2Uyb0RvYy54bWxQSwUGAAAAAAYA&#10;BgBZAQAAvQUAAAAA&#10;">
                <v:fill on="f" focussize="0,0"/>
                <v:stroke color="#000000" joinstyle="miter"/>
                <v:imagedata o:title=""/>
                <o:lock v:ext="edit" aspectratio="f"/>
              </v:line>
            </w:pict>
          </mc:Fallback>
        </mc:AlternateContent>
      </w:r>
      <w:r>
        <w:rPr>
          <w:rFonts w:hint="default" w:ascii="Times New Roman" w:hAnsi="Times New Roman" w:eastAsia="方正仿宋_GBK" w:cs="Times New Roman"/>
          <w:color w:val="000000"/>
          <w:sz w:val="28"/>
          <w:szCs w:val="28"/>
        </w:rPr>
        <w:t xml:space="preserve">重庆市渝中区人民政府办公室      </w:t>
      </w:r>
      <w:r>
        <w:rPr>
          <w:rFonts w:hint="default" w:ascii="Times New Roman" w:hAnsi="Times New Roman" w:eastAsia="方正仿宋_GBK" w:cs="Times New Roman"/>
          <w:color w:val="000000"/>
          <w:spacing w:val="6"/>
          <w:sz w:val="28"/>
          <w:szCs w:val="28"/>
        </w:rPr>
        <w:t xml:space="preserve">  </w:t>
      </w:r>
      <w:r>
        <w:rPr>
          <w:rFonts w:hint="eastAsia" w:ascii="Times New Roman" w:hAnsi="Times New Roman" w:eastAsia="方正仿宋_GBK" w:cs="Times New Roman"/>
          <w:color w:val="000000"/>
          <w:spacing w:val="6"/>
          <w:sz w:val="28"/>
          <w:szCs w:val="28"/>
          <w:lang w:val="en-US" w:eastAsia="zh-CN"/>
        </w:rPr>
        <w:t xml:space="preserve"> </w:t>
      </w:r>
      <w:r>
        <w:rPr>
          <w:rFonts w:hint="default" w:ascii="Times New Roman" w:hAnsi="Times New Roman" w:eastAsia="方正仿宋_GBK" w:cs="Times New Roman"/>
          <w:color w:val="000000"/>
          <w:spacing w:val="6"/>
          <w:sz w:val="28"/>
          <w:szCs w:val="28"/>
          <w:lang w:val="en-US" w:eastAsia="zh-CN"/>
        </w:rPr>
        <w:t xml:space="preserve">    </w:t>
      </w:r>
      <w:r>
        <w:rPr>
          <w:rFonts w:hint="eastAsia" w:ascii="Times New Roman" w:hAnsi="Times New Roman" w:eastAsia="方正仿宋_GBK" w:cs="Times New Roman"/>
          <w:color w:val="000000"/>
          <w:spacing w:val="6"/>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20</w:t>
      </w:r>
      <w:r>
        <w:rPr>
          <w:rFonts w:hint="default" w:ascii="Times New Roman" w:hAnsi="Times New Roman" w:eastAsia="方正仿宋_GBK" w:cs="Times New Roman"/>
          <w:color w:val="000000"/>
          <w:sz w:val="28"/>
          <w:szCs w:val="28"/>
        </w:rPr>
        <w:t>日印发</w:t>
      </w:r>
    </w:p>
    <w:sectPr>
      <w:footerReference r:id="rId3" w:type="default"/>
      <w:footerReference r:id="rId4" w:type="even"/>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C392">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4566920</wp:posOffset>
              </wp:positionH>
              <wp:positionV relativeFrom="paragraph">
                <wp:posOffset>-123190</wp:posOffset>
              </wp:positionV>
              <wp:extent cx="977900" cy="269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790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59823">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6pt;margin-top:-9.7pt;height:21.2pt;width:77pt;mso-position-horizontal-relative:margin;z-index:251659264;mso-width-relative:page;mso-height-relative:page;" filled="f" stroked="f" coordsize="21600,21600" o:gfxdata="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sa9E2gAAAAoBAAAPAAAAAAAAAAEAIAAAACIAAABkcnMvZG93&#10;bnJldi54bWxQSwECFAAUAAAACACHTuJAkcqBozcCAABhBAAADgAAAAAAAAABACAAAAApAQAAZHJz&#10;L2Uyb0RvYy54bWxQSwUGAAAAAAYABgBZAQAA0gUAAAAA&#10;">
              <v:fill on="f" focussize="0,0"/>
              <v:stroke on="f" weight="0.5pt"/>
              <v:imagedata o:title=""/>
              <o:lock v:ext="edit" aspectratio="f"/>
              <v:textbox inset="0mm,0mm,0mm,0mm">
                <w:txbxContent>
                  <w:p w14:paraId="1B159823">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CD0C">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-133350</wp:posOffset>
              </wp:positionV>
              <wp:extent cx="1883410"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834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6D5D9">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5pt;height:22pt;width:148.3pt;mso-position-horizontal-relative:margin;z-index:251660288;mso-width-relative:page;mso-height-relative:page;" filled="f" stroked="f" coordsize="21600,21600" o:gfxdata="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gsU4NUAAAAHAQAADwAAAAAAAAABACAAAAAiAAAAZHJzL2Rvd25yZXYu&#10;eG1sUEsBAhQAFAAAAAgAh07iQGCmA7E3AgAAYgQAAA4AAAAAAAAAAQAgAAAAJAEAAGRycy9lMm9E&#10;b2MueG1sUEsFBgAAAAAGAAYAWQEAAM0FAAAAAA==&#10;">
              <v:fill on="f" focussize="0,0"/>
              <v:stroke on="f" weight="0.5pt"/>
              <v:imagedata o:title=""/>
              <o:lock v:ext="edit" aspectratio="f"/>
              <v:textbox inset="0mm,0mm,0mm,0mm">
                <w:txbxContent>
                  <w:p w14:paraId="3316D5D9">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17E8"/>
    <w:rsid w:val="00981520"/>
    <w:rsid w:val="00B8428B"/>
    <w:rsid w:val="00E30FAC"/>
    <w:rsid w:val="01680AD7"/>
    <w:rsid w:val="019D6A48"/>
    <w:rsid w:val="01E14E4C"/>
    <w:rsid w:val="020F0807"/>
    <w:rsid w:val="0253756E"/>
    <w:rsid w:val="02667E34"/>
    <w:rsid w:val="02FF6CC4"/>
    <w:rsid w:val="034741D8"/>
    <w:rsid w:val="034D4FEF"/>
    <w:rsid w:val="036D355B"/>
    <w:rsid w:val="03936A63"/>
    <w:rsid w:val="03B10EED"/>
    <w:rsid w:val="04341859"/>
    <w:rsid w:val="04EE51E1"/>
    <w:rsid w:val="0585028E"/>
    <w:rsid w:val="05A2106D"/>
    <w:rsid w:val="05BC559D"/>
    <w:rsid w:val="05E21783"/>
    <w:rsid w:val="060E4A33"/>
    <w:rsid w:val="069053B0"/>
    <w:rsid w:val="06966A2B"/>
    <w:rsid w:val="06A85738"/>
    <w:rsid w:val="06A91D04"/>
    <w:rsid w:val="06AD45D0"/>
    <w:rsid w:val="06FA704F"/>
    <w:rsid w:val="07363815"/>
    <w:rsid w:val="076A180C"/>
    <w:rsid w:val="07D03DB5"/>
    <w:rsid w:val="07F66DCC"/>
    <w:rsid w:val="080C18D1"/>
    <w:rsid w:val="08C55F20"/>
    <w:rsid w:val="093F5845"/>
    <w:rsid w:val="0A14667A"/>
    <w:rsid w:val="0AC03516"/>
    <w:rsid w:val="0AC55F29"/>
    <w:rsid w:val="0C913586"/>
    <w:rsid w:val="0D3477A4"/>
    <w:rsid w:val="0D470FDC"/>
    <w:rsid w:val="0DBA12E6"/>
    <w:rsid w:val="0DD759F4"/>
    <w:rsid w:val="0E55135C"/>
    <w:rsid w:val="0E6453CE"/>
    <w:rsid w:val="101C784D"/>
    <w:rsid w:val="1066466C"/>
    <w:rsid w:val="10B57FE7"/>
    <w:rsid w:val="10EB7CBC"/>
    <w:rsid w:val="10FC7667"/>
    <w:rsid w:val="11C40985"/>
    <w:rsid w:val="11DF7A0D"/>
    <w:rsid w:val="11F615E6"/>
    <w:rsid w:val="126C2C21"/>
    <w:rsid w:val="12BD7EC0"/>
    <w:rsid w:val="12D3796E"/>
    <w:rsid w:val="12EA0DCD"/>
    <w:rsid w:val="13936BBB"/>
    <w:rsid w:val="13BC2C0C"/>
    <w:rsid w:val="143F2220"/>
    <w:rsid w:val="144B722E"/>
    <w:rsid w:val="14F45230"/>
    <w:rsid w:val="156E30E2"/>
    <w:rsid w:val="15A34CFB"/>
    <w:rsid w:val="15E6711C"/>
    <w:rsid w:val="16222D9A"/>
    <w:rsid w:val="17322D88"/>
    <w:rsid w:val="1797180F"/>
    <w:rsid w:val="17A841DE"/>
    <w:rsid w:val="17C30204"/>
    <w:rsid w:val="17D80B19"/>
    <w:rsid w:val="17E87EBB"/>
    <w:rsid w:val="1824217E"/>
    <w:rsid w:val="18922D0F"/>
    <w:rsid w:val="19582FA2"/>
    <w:rsid w:val="19E23181"/>
    <w:rsid w:val="1B386E10"/>
    <w:rsid w:val="1BBA312A"/>
    <w:rsid w:val="1C006388"/>
    <w:rsid w:val="1C744D56"/>
    <w:rsid w:val="1CAB5593"/>
    <w:rsid w:val="1D4F125E"/>
    <w:rsid w:val="1D5042C5"/>
    <w:rsid w:val="1D9D45A6"/>
    <w:rsid w:val="1DC44F32"/>
    <w:rsid w:val="1DCF55B0"/>
    <w:rsid w:val="1E1E5A36"/>
    <w:rsid w:val="1E3A6788"/>
    <w:rsid w:val="1E5F5CBE"/>
    <w:rsid w:val="1E7833D5"/>
    <w:rsid w:val="1EB27D85"/>
    <w:rsid w:val="1EB83620"/>
    <w:rsid w:val="1EDA7CD2"/>
    <w:rsid w:val="1EFE2F32"/>
    <w:rsid w:val="1F047610"/>
    <w:rsid w:val="1F107C09"/>
    <w:rsid w:val="1F815B44"/>
    <w:rsid w:val="1FC21FBF"/>
    <w:rsid w:val="1FFE0CDA"/>
    <w:rsid w:val="20D662C6"/>
    <w:rsid w:val="21271444"/>
    <w:rsid w:val="21271802"/>
    <w:rsid w:val="22052A66"/>
    <w:rsid w:val="221C28AF"/>
    <w:rsid w:val="225E473E"/>
    <w:rsid w:val="22DF6C4F"/>
    <w:rsid w:val="23372F3B"/>
    <w:rsid w:val="238824E9"/>
    <w:rsid w:val="24A501A2"/>
    <w:rsid w:val="24FB1FC5"/>
    <w:rsid w:val="25195B20"/>
    <w:rsid w:val="253D1D74"/>
    <w:rsid w:val="267C13D7"/>
    <w:rsid w:val="27032260"/>
    <w:rsid w:val="27925796"/>
    <w:rsid w:val="28004B44"/>
    <w:rsid w:val="284407BC"/>
    <w:rsid w:val="28CD2E00"/>
    <w:rsid w:val="291349A9"/>
    <w:rsid w:val="29744828"/>
    <w:rsid w:val="29A83BEC"/>
    <w:rsid w:val="2A516A58"/>
    <w:rsid w:val="2A7C7C4C"/>
    <w:rsid w:val="2A815C8A"/>
    <w:rsid w:val="2AEA61F7"/>
    <w:rsid w:val="2B071D39"/>
    <w:rsid w:val="2B4A2D16"/>
    <w:rsid w:val="2C697D08"/>
    <w:rsid w:val="2C774E6F"/>
    <w:rsid w:val="2C972542"/>
    <w:rsid w:val="2C994A91"/>
    <w:rsid w:val="2D527A4F"/>
    <w:rsid w:val="2D964A56"/>
    <w:rsid w:val="2DA36B5C"/>
    <w:rsid w:val="2E2C5491"/>
    <w:rsid w:val="2EFB404C"/>
    <w:rsid w:val="2F3C6EF5"/>
    <w:rsid w:val="312C0AE1"/>
    <w:rsid w:val="317830B1"/>
    <w:rsid w:val="32140A7F"/>
    <w:rsid w:val="32C4213C"/>
    <w:rsid w:val="32D54B9D"/>
    <w:rsid w:val="32DD0643"/>
    <w:rsid w:val="33B95A18"/>
    <w:rsid w:val="34D14694"/>
    <w:rsid w:val="35683252"/>
    <w:rsid w:val="356E5B3C"/>
    <w:rsid w:val="363D1B90"/>
    <w:rsid w:val="369167D9"/>
    <w:rsid w:val="36940077"/>
    <w:rsid w:val="369D1ECB"/>
    <w:rsid w:val="377E6F6B"/>
    <w:rsid w:val="38D1296D"/>
    <w:rsid w:val="38F848ED"/>
    <w:rsid w:val="39347784"/>
    <w:rsid w:val="393F4973"/>
    <w:rsid w:val="3A137505"/>
    <w:rsid w:val="3A804B9A"/>
    <w:rsid w:val="3A90336B"/>
    <w:rsid w:val="3A9C5B38"/>
    <w:rsid w:val="3B692910"/>
    <w:rsid w:val="3BC53255"/>
    <w:rsid w:val="3CBB48F3"/>
    <w:rsid w:val="3D100A5B"/>
    <w:rsid w:val="3D3A2FDC"/>
    <w:rsid w:val="3DF00289"/>
    <w:rsid w:val="3E2947D8"/>
    <w:rsid w:val="3E644519"/>
    <w:rsid w:val="3EFB0FFF"/>
    <w:rsid w:val="3F186BB2"/>
    <w:rsid w:val="3F1E0E25"/>
    <w:rsid w:val="3F42102A"/>
    <w:rsid w:val="402F46CA"/>
    <w:rsid w:val="40741BB1"/>
    <w:rsid w:val="40B06A01"/>
    <w:rsid w:val="40D514AA"/>
    <w:rsid w:val="40F3091C"/>
    <w:rsid w:val="412344D1"/>
    <w:rsid w:val="41793DF3"/>
    <w:rsid w:val="41A35612"/>
    <w:rsid w:val="4208548C"/>
    <w:rsid w:val="42ED656C"/>
    <w:rsid w:val="43080CF1"/>
    <w:rsid w:val="43197CCC"/>
    <w:rsid w:val="43EB1D09"/>
    <w:rsid w:val="44750FF4"/>
    <w:rsid w:val="44A1314C"/>
    <w:rsid w:val="44DC50C3"/>
    <w:rsid w:val="45097E82"/>
    <w:rsid w:val="45A029F9"/>
    <w:rsid w:val="45AE0AE9"/>
    <w:rsid w:val="45D703A9"/>
    <w:rsid w:val="465F41FD"/>
    <w:rsid w:val="466D7A8A"/>
    <w:rsid w:val="46F718F8"/>
    <w:rsid w:val="46FB0D36"/>
    <w:rsid w:val="4765774F"/>
    <w:rsid w:val="47763817"/>
    <w:rsid w:val="477B6857"/>
    <w:rsid w:val="479F2075"/>
    <w:rsid w:val="485B74C8"/>
    <w:rsid w:val="49302978"/>
    <w:rsid w:val="49866B78"/>
    <w:rsid w:val="49BD7823"/>
    <w:rsid w:val="4A11673F"/>
    <w:rsid w:val="4A394042"/>
    <w:rsid w:val="4AC42881"/>
    <w:rsid w:val="4B0519F0"/>
    <w:rsid w:val="4B7971A0"/>
    <w:rsid w:val="4BBE31C1"/>
    <w:rsid w:val="4C0472C6"/>
    <w:rsid w:val="4CE42257"/>
    <w:rsid w:val="4D233AF8"/>
    <w:rsid w:val="4D9D560B"/>
    <w:rsid w:val="4EAD6143"/>
    <w:rsid w:val="4EB92CBE"/>
    <w:rsid w:val="4ED83C56"/>
    <w:rsid w:val="4F302EFA"/>
    <w:rsid w:val="4F784C39"/>
    <w:rsid w:val="4F7E4CF7"/>
    <w:rsid w:val="4F7F141F"/>
    <w:rsid w:val="4FD763AB"/>
    <w:rsid w:val="50A4221A"/>
    <w:rsid w:val="5154546D"/>
    <w:rsid w:val="51BC1787"/>
    <w:rsid w:val="51E4278A"/>
    <w:rsid w:val="51EF617D"/>
    <w:rsid w:val="52813EDC"/>
    <w:rsid w:val="535E4FF9"/>
    <w:rsid w:val="53805E0A"/>
    <w:rsid w:val="538523ED"/>
    <w:rsid w:val="539B23CA"/>
    <w:rsid w:val="550C28C8"/>
    <w:rsid w:val="552E46BC"/>
    <w:rsid w:val="554615BE"/>
    <w:rsid w:val="556E5560"/>
    <w:rsid w:val="557058FB"/>
    <w:rsid w:val="55BD75CA"/>
    <w:rsid w:val="55D00F7A"/>
    <w:rsid w:val="56A123B4"/>
    <w:rsid w:val="56ED3D52"/>
    <w:rsid w:val="57077FCE"/>
    <w:rsid w:val="57215673"/>
    <w:rsid w:val="57366E6D"/>
    <w:rsid w:val="5746243C"/>
    <w:rsid w:val="574861E9"/>
    <w:rsid w:val="579B705F"/>
    <w:rsid w:val="579C20A6"/>
    <w:rsid w:val="57F12ECF"/>
    <w:rsid w:val="580A1AEF"/>
    <w:rsid w:val="583849FF"/>
    <w:rsid w:val="586B0507"/>
    <w:rsid w:val="58E60161"/>
    <w:rsid w:val="59622AE1"/>
    <w:rsid w:val="59D95249"/>
    <w:rsid w:val="5A0A2742"/>
    <w:rsid w:val="5A0B0AA6"/>
    <w:rsid w:val="5A731A42"/>
    <w:rsid w:val="5AE300AA"/>
    <w:rsid w:val="5B195F24"/>
    <w:rsid w:val="5C1C603C"/>
    <w:rsid w:val="5C1E5B4F"/>
    <w:rsid w:val="5C2F265B"/>
    <w:rsid w:val="5CD836E7"/>
    <w:rsid w:val="5D1B0B3B"/>
    <w:rsid w:val="5D486DE0"/>
    <w:rsid w:val="5D86762A"/>
    <w:rsid w:val="5D8E6B74"/>
    <w:rsid w:val="5DBF7553"/>
    <w:rsid w:val="5DE828D3"/>
    <w:rsid w:val="5E584985"/>
    <w:rsid w:val="5E6043DE"/>
    <w:rsid w:val="5EE8324C"/>
    <w:rsid w:val="5F577D10"/>
    <w:rsid w:val="5FA6231D"/>
    <w:rsid w:val="60025188"/>
    <w:rsid w:val="60123C37"/>
    <w:rsid w:val="603D5158"/>
    <w:rsid w:val="60545E30"/>
    <w:rsid w:val="605D75EE"/>
    <w:rsid w:val="606129CC"/>
    <w:rsid w:val="607C3EE7"/>
    <w:rsid w:val="610674C4"/>
    <w:rsid w:val="61122998"/>
    <w:rsid w:val="61253115"/>
    <w:rsid w:val="61445B9D"/>
    <w:rsid w:val="61707D3B"/>
    <w:rsid w:val="618677C3"/>
    <w:rsid w:val="61931390"/>
    <w:rsid w:val="61CC20EC"/>
    <w:rsid w:val="61DB47A0"/>
    <w:rsid w:val="62324144"/>
    <w:rsid w:val="626866FE"/>
    <w:rsid w:val="62C55BF8"/>
    <w:rsid w:val="62E9508B"/>
    <w:rsid w:val="63532456"/>
    <w:rsid w:val="636D667E"/>
    <w:rsid w:val="63807715"/>
    <w:rsid w:val="638A0B75"/>
    <w:rsid w:val="6420379D"/>
    <w:rsid w:val="64852BFC"/>
    <w:rsid w:val="64BA2911"/>
    <w:rsid w:val="64FF5F2D"/>
    <w:rsid w:val="650852D4"/>
    <w:rsid w:val="65150451"/>
    <w:rsid w:val="65347DB4"/>
    <w:rsid w:val="65957DD9"/>
    <w:rsid w:val="65EE0CA2"/>
    <w:rsid w:val="665947B7"/>
    <w:rsid w:val="668274EA"/>
    <w:rsid w:val="67917B37"/>
    <w:rsid w:val="67FE7F23"/>
    <w:rsid w:val="68161876"/>
    <w:rsid w:val="68B41B49"/>
    <w:rsid w:val="68B97345"/>
    <w:rsid w:val="68BE0E20"/>
    <w:rsid w:val="68EC18B0"/>
    <w:rsid w:val="692E5B7B"/>
    <w:rsid w:val="6A486BD3"/>
    <w:rsid w:val="6AB77A1F"/>
    <w:rsid w:val="6ACF544E"/>
    <w:rsid w:val="6B252AED"/>
    <w:rsid w:val="6B9540A4"/>
    <w:rsid w:val="6BF32A97"/>
    <w:rsid w:val="6CC50E50"/>
    <w:rsid w:val="6CDA3686"/>
    <w:rsid w:val="6D5C06C0"/>
    <w:rsid w:val="6D7F6FE9"/>
    <w:rsid w:val="6D841426"/>
    <w:rsid w:val="6DAF2A8F"/>
    <w:rsid w:val="6E0F4DD7"/>
    <w:rsid w:val="6E6A2257"/>
    <w:rsid w:val="70193815"/>
    <w:rsid w:val="71381023"/>
    <w:rsid w:val="717B3608"/>
    <w:rsid w:val="71A6022E"/>
    <w:rsid w:val="71D15310"/>
    <w:rsid w:val="72000D41"/>
    <w:rsid w:val="727B1B10"/>
    <w:rsid w:val="72805D21"/>
    <w:rsid w:val="72BE2F72"/>
    <w:rsid w:val="72C40ABA"/>
    <w:rsid w:val="73002FCB"/>
    <w:rsid w:val="731A6C33"/>
    <w:rsid w:val="741C4C2C"/>
    <w:rsid w:val="743273F9"/>
    <w:rsid w:val="74B26798"/>
    <w:rsid w:val="754507D9"/>
    <w:rsid w:val="75555A8B"/>
    <w:rsid w:val="75632109"/>
    <w:rsid w:val="75D05CCE"/>
    <w:rsid w:val="75D9228C"/>
    <w:rsid w:val="76143E0D"/>
    <w:rsid w:val="76171CE3"/>
    <w:rsid w:val="7625026A"/>
    <w:rsid w:val="77566DD3"/>
    <w:rsid w:val="77BF27B0"/>
    <w:rsid w:val="78192421"/>
    <w:rsid w:val="794B064E"/>
    <w:rsid w:val="79EC33E7"/>
    <w:rsid w:val="7A2F7467"/>
    <w:rsid w:val="7A406DC9"/>
    <w:rsid w:val="7AB60EE3"/>
    <w:rsid w:val="7AD1051F"/>
    <w:rsid w:val="7AF4245F"/>
    <w:rsid w:val="7BA5672C"/>
    <w:rsid w:val="7BA7127F"/>
    <w:rsid w:val="7BC57DF6"/>
    <w:rsid w:val="7BD823A4"/>
    <w:rsid w:val="7BDF2F80"/>
    <w:rsid w:val="7BE54F72"/>
    <w:rsid w:val="7C47612F"/>
    <w:rsid w:val="7C847EE5"/>
    <w:rsid w:val="7C947A56"/>
    <w:rsid w:val="7CFF6D8E"/>
    <w:rsid w:val="7D093197"/>
    <w:rsid w:val="7D495EEB"/>
    <w:rsid w:val="7D6A6067"/>
    <w:rsid w:val="7D8335F7"/>
    <w:rsid w:val="7D8775BA"/>
    <w:rsid w:val="7D921D42"/>
    <w:rsid w:val="7E4A299F"/>
    <w:rsid w:val="7E7062A0"/>
    <w:rsid w:val="7E916D01"/>
    <w:rsid w:val="7F1E703D"/>
    <w:rsid w:val="7F3B049C"/>
    <w:rsid w:val="7F563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outlineLvl w:val="0"/>
    </w:pPr>
    <w:rPr>
      <w:rFonts w:ascii="Times New Roman" w:hAnsi="Times New Roman" w:eastAsia="方正黑体_GBK" w:cs="Times New Roman"/>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
    <w:name w:val="Body Text"/>
    <w:basedOn w:val="1"/>
    <w:next w:val="1"/>
    <w:unhideWhenUsed/>
    <w:qFormat/>
    <w:uiPriority w:val="0"/>
    <w:pPr>
      <w:spacing w:after="120"/>
    </w:pPr>
  </w:style>
  <w:style w:type="paragraph" w:styleId="5">
    <w:name w:val="index 8"/>
    <w:basedOn w:val="1"/>
    <w:next w:val="1"/>
    <w:qFormat/>
    <w:uiPriority w:val="0"/>
    <w:pPr>
      <w:ind w:left="294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widowControl w:val="0"/>
      <w:spacing w:after="0" w:line="240" w:lineRule="auto"/>
      <w:ind w:left="420" w:leftChars="200"/>
      <w:jc w:val="both"/>
    </w:pPr>
    <w:rPr>
      <w:rFonts w:ascii="仿宋_GB2312" w:hAnsi="等线" w:eastAsia="楷体_GB2312" w:cs="Times New Roman"/>
      <w:kern w:val="2"/>
      <w:sz w:val="3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3"/>
    <w:next w:val="1"/>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51"/>
    <w:basedOn w:val="13"/>
    <w:qFormat/>
    <w:uiPriority w:val="0"/>
    <w:rPr>
      <w:rFonts w:ascii="方正仿宋_GBK" w:hAnsi="方正仿宋_GBK" w:eastAsia="方正仿宋_GBK" w:cs="方正仿宋_GBK"/>
      <w:color w:val="000000"/>
      <w:sz w:val="22"/>
      <w:szCs w:val="22"/>
      <w:u w:val="none"/>
    </w:rPr>
  </w:style>
  <w:style w:type="character" w:customStyle="1" w:styleId="15">
    <w:name w:val="font41"/>
    <w:basedOn w:val="13"/>
    <w:qFormat/>
    <w:uiPriority w:val="0"/>
    <w:rPr>
      <w:rFonts w:hint="default" w:ascii="Times New Roman" w:hAnsi="Times New Roman" w:cs="Times New Roman"/>
      <w:color w:val="000000"/>
      <w:sz w:val="22"/>
      <w:szCs w:val="22"/>
      <w:u w:val="none"/>
    </w:rPr>
  </w:style>
  <w:style w:type="paragraph" w:customStyle="1" w:styleId="16">
    <w:name w:val="样式 1 小三"/>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3659</Words>
  <Characters>3891</Characters>
  <Lines>0</Lines>
  <Paragraphs>0</Paragraphs>
  <TotalTime>16</TotalTime>
  <ScaleCrop>false</ScaleCrop>
  <LinksUpToDate>false</LinksUpToDate>
  <CharactersWithSpaces>3895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YZJXW</dc:creator>
  <cp:lastModifiedBy>Administrator</cp:lastModifiedBy>
  <cp:lastPrinted>2025-06-20T02:39:00Z</cp:lastPrinted>
  <dcterms:modified xsi:type="dcterms:W3CDTF">2025-08-12T03:41:30Z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eyJoZGlkIjoiZDRmYjZjNDE5M2I5OGI1NWNiNjE1MzMzN2IxYWM3ZWUifQ==</vt:lpwstr>
  </property>
  <property fmtid="{D5CDD505-2E9C-101B-9397-08002B2CF9AE}" pid="4" name="ICV">
    <vt:lpwstr>627520AAC0054AC590DA28CA32F33813_13</vt:lpwstr>
  </property>
</Properties>
</file>