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方正仿宋_GBK" w:hAnsi="方正仿宋_GBK"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rPr>
          <w:rFonts w:hint="eastAsia" w:ascii="方正仿宋_GBK" w:hAnsi="方正仿宋_GBK" w:eastAsia="方正仿宋_GBK" w:cs="方正仿宋_GBK"/>
          <w:b/>
          <w:bCs/>
        </w:rPr>
      </w:pP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both"/>
        <w:textAlignment w:val="auto"/>
        <w:outlineLvl w:val="9"/>
        <w:rPr>
          <w:rFonts w:hint="eastAsia" w:ascii="方正黑体_GBK" w:hAnsi="方正黑体_GBK" w:eastAsia="方正黑体_GBK" w:cs="方正黑体_GBK"/>
          <w:bCs/>
          <w:color w:val="FF0000"/>
          <w:spacing w:val="-6"/>
          <w:w w:val="50"/>
          <w:sz w:val="90"/>
          <w:szCs w:val="90"/>
        </w:rPr>
      </w:pPr>
      <w:r>
        <w:rPr>
          <w:spacing w:val="-6"/>
          <w:sz w:val="90"/>
          <w:szCs w:val="90"/>
        </w:rPr>
        <mc:AlternateContent>
          <mc:Choice Requires="wps">
            <w:drawing>
              <wp:anchor distT="0" distB="0" distL="114300" distR="114300" simplePos="0" relativeHeight="251662336" behindDoc="0" locked="0" layoutInCell="1" allowOverlap="1">
                <wp:simplePos x="0" y="0"/>
                <wp:positionH relativeFrom="column">
                  <wp:posOffset>4817110</wp:posOffset>
                </wp:positionH>
                <wp:positionV relativeFrom="paragraph">
                  <wp:posOffset>405130</wp:posOffset>
                </wp:positionV>
                <wp:extent cx="940435" cy="942975"/>
                <wp:effectExtent l="5080" t="4445" r="6985" b="5080"/>
                <wp:wrapNone/>
                <wp:docPr id="4" name="文本框 10"/>
                <wp:cNvGraphicFramePr/>
                <a:graphic xmlns:a="http://schemas.openxmlformats.org/drawingml/2006/main">
                  <a:graphicData uri="http://schemas.microsoft.com/office/word/2010/wordprocessingShape">
                    <wps:wsp>
                      <wps:cNvSpPr txBox="1"/>
                      <wps:spPr>
                        <a:xfrm>
                          <a:off x="0" y="0"/>
                          <a:ext cx="940435" cy="94297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both"/>
                              <w:textAlignment w:val="auto"/>
                              <w:outlineLvl w:val="9"/>
                              <w:rPr>
                                <w:rFonts w:hint="eastAsia" w:ascii="方正黑体_GBK" w:hAnsi="方正黑体_GBK" w:eastAsia="方正黑体_GBK" w:cs="方正黑体_GBK"/>
                                <w:bCs/>
                                <w:color w:val="FF0000"/>
                                <w:spacing w:val="-6"/>
                                <w:w w:val="50"/>
                                <w:sz w:val="110"/>
                                <w:szCs w:val="110"/>
                                <w:lang w:eastAsia="zh-CN"/>
                              </w:rPr>
                            </w:pPr>
                            <w:r>
                              <w:rPr>
                                <w:rFonts w:hint="eastAsia" w:ascii="方正黑体_GBK" w:hAnsi="方正黑体_GBK" w:eastAsia="方正黑体_GBK" w:cs="方正黑体_GBK"/>
                                <w:bCs/>
                                <w:color w:val="FF0000"/>
                                <w:spacing w:val="-6"/>
                                <w:w w:val="50"/>
                                <w:sz w:val="110"/>
                                <w:szCs w:val="110"/>
                                <w:lang w:eastAsia="zh-CN"/>
                              </w:rPr>
                              <w:t>文件</w:t>
                            </w:r>
                          </w:p>
                        </w:txbxContent>
                      </wps:txbx>
                      <wps:bodyPr lIns="0" tIns="0" rIns="0" bIns="0" upright="1"/>
                    </wps:wsp>
                  </a:graphicData>
                </a:graphic>
              </wp:anchor>
            </w:drawing>
          </mc:Choice>
          <mc:Fallback>
            <w:pict>
              <v:shape id="文本框 10" o:spid="_x0000_s1026" o:spt="202" type="#_x0000_t202" style="position:absolute;left:0pt;margin-left:379.3pt;margin-top:31.9pt;height:74.25pt;width:74.05pt;z-index:251662336;mso-width-relative:page;mso-height-relative:page;" fillcolor="#FFFFFF" filled="t" stroked="t" coordsize="21600,21600" o:gfxdata="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w425baAAAACgEAAA8AAAAAAAAAAQAgAAAAIgAAAGRycy9kb3ducmV2Lnht&#10;bFBLAQIUABQAAAAIAIdO4kBgOAcS9wEAAAwEAAAOAAAAAAAAAAEAIAAAACkBAABkcnMvZTJvRG9j&#10;LnhtbFBLBQYAAAAABgAGAFkBAACSBQAAAAA=&#10;">
                <v:fill on="t" focussize="0,0"/>
                <v:stroke color="#FFFFFF"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both"/>
                        <w:textAlignment w:val="auto"/>
                        <w:outlineLvl w:val="9"/>
                        <w:rPr>
                          <w:rFonts w:hint="eastAsia" w:ascii="方正黑体_GBK" w:hAnsi="方正黑体_GBK" w:eastAsia="方正黑体_GBK" w:cs="方正黑体_GBK"/>
                          <w:bCs/>
                          <w:color w:val="FF0000"/>
                          <w:spacing w:val="-6"/>
                          <w:w w:val="50"/>
                          <w:sz w:val="110"/>
                          <w:szCs w:val="110"/>
                          <w:lang w:eastAsia="zh-CN"/>
                        </w:rPr>
                      </w:pPr>
                      <w:r>
                        <w:rPr>
                          <w:rFonts w:hint="eastAsia" w:ascii="方正黑体_GBK" w:hAnsi="方正黑体_GBK" w:eastAsia="方正黑体_GBK" w:cs="方正黑体_GBK"/>
                          <w:bCs/>
                          <w:color w:val="FF0000"/>
                          <w:spacing w:val="-6"/>
                          <w:w w:val="50"/>
                          <w:sz w:val="110"/>
                          <w:szCs w:val="110"/>
                          <w:lang w:eastAsia="zh-CN"/>
                        </w:rPr>
                        <w:t>文件</w:t>
                      </w:r>
                    </w:p>
                  </w:txbxContent>
                </v:textbox>
              </v:shape>
            </w:pict>
          </mc:Fallback>
        </mc:AlternateContent>
      </w:r>
      <w:r>
        <w:rPr>
          <w:rFonts w:hint="eastAsia" w:ascii="方正黑体_GBK" w:hAnsi="方正黑体_GBK" w:eastAsia="方正黑体_GBK" w:cs="方正黑体_GBK"/>
          <w:bCs/>
          <w:color w:val="FF0000"/>
          <w:spacing w:val="-6"/>
          <w:w w:val="50"/>
          <w:sz w:val="90"/>
          <w:szCs w:val="90"/>
        </w:rPr>
        <w:t>中共</w:t>
      </w:r>
      <w:r>
        <w:rPr>
          <w:rFonts w:hint="eastAsia" w:ascii="方正黑体_GBK" w:hAnsi="方正黑体_GBK" w:eastAsia="方正黑体_GBK" w:cs="方正黑体_GBK"/>
          <w:bCs/>
          <w:color w:val="FF0000"/>
          <w:spacing w:val="-6"/>
          <w:w w:val="50"/>
          <w:sz w:val="90"/>
          <w:szCs w:val="90"/>
          <w:lang w:eastAsia="zh-CN"/>
        </w:rPr>
        <w:t>重庆市</w:t>
      </w:r>
      <w:r>
        <w:rPr>
          <w:rFonts w:hint="eastAsia" w:ascii="方正黑体_GBK" w:hAnsi="方正黑体_GBK" w:eastAsia="方正黑体_GBK" w:cs="方正黑体_GBK"/>
          <w:bCs/>
          <w:color w:val="FF0000"/>
          <w:spacing w:val="-6"/>
          <w:w w:val="50"/>
          <w:sz w:val="90"/>
          <w:szCs w:val="90"/>
        </w:rPr>
        <w:t>渝中区大坪街道工作委员会</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both"/>
        <w:textAlignment w:val="auto"/>
        <w:outlineLvl w:val="9"/>
        <w:rPr>
          <w:rFonts w:hint="eastAsia" w:ascii="仿宋_GB2312" w:eastAsia="仿宋_GB2312"/>
          <w:b w:val="0"/>
          <w:bCs w:val="0"/>
          <w:spacing w:val="-6"/>
          <w:sz w:val="90"/>
          <w:szCs w:val="90"/>
          <w:lang w:eastAsia="zh-CN"/>
        </w:rPr>
      </w:pPr>
      <w:r>
        <w:rPr>
          <w:rFonts w:hint="eastAsia" w:ascii="方正黑体_GBK" w:hAnsi="方正黑体_GBK" w:eastAsia="方正黑体_GBK" w:cs="方正黑体_GBK"/>
          <w:bCs/>
          <w:color w:val="FF0000"/>
          <w:spacing w:val="-6"/>
          <w:w w:val="50"/>
          <w:sz w:val="90"/>
          <w:szCs w:val="90"/>
          <w:lang w:eastAsia="zh-CN"/>
        </w:rPr>
        <w:t>重庆市渝中区人民政府大坪街道办事处</w:t>
      </w:r>
    </w:p>
    <w:p>
      <w:pPr>
        <w:jc w:val="center"/>
        <w:rPr>
          <w:rFonts w:hint="eastAsia" w:ascii="仿宋_GB2312" w:eastAsia="仿宋_GB2312"/>
          <w:b w:val="0"/>
          <w:bCs w:val="0"/>
          <w:sz w:val="32"/>
        </w:rPr>
      </w:pPr>
    </w:p>
    <w:p>
      <w:pPr>
        <w:jc w:val="center"/>
        <w:rPr>
          <w:rFonts w:hint="eastAsia" w:ascii="Times New Roman" w:hAnsi="Times New Roman" w:eastAsia="方正仿宋_GBK"/>
          <w:b w:val="0"/>
          <w:bCs w:val="0"/>
          <w:sz w:val="32"/>
        </w:rPr>
      </w:pPr>
      <w:bookmarkStart w:id="0" w:name="OLE_LINK1"/>
      <w:r>
        <w:rPr>
          <w:rFonts w:hint="eastAsia" w:ascii="Times New Roman" w:hAnsi="Times New Roman" w:eastAsia="方正仿宋_GBK" w:cs="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2709545</wp:posOffset>
                </wp:positionH>
                <wp:positionV relativeFrom="paragraph">
                  <wp:posOffset>334010</wp:posOffset>
                </wp:positionV>
                <wp:extent cx="248285" cy="248285"/>
                <wp:effectExtent l="13970" t="15875" r="23495" b="21590"/>
                <wp:wrapNone/>
                <wp:docPr id="3" name="自选图形 7"/>
                <wp:cNvGraphicFramePr/>
                <a:graphic xmlns:a="http://schemas.openxmlformats.org/drawingml/2006/main">
                  <a:graphicData uri="http://schemas.microsoft.com/office/word/2010/wordprocessingShape">
                    <wps:wsp>
                      <wps:cNvSpPr/>
                      <wps:spPr>
                        <a:xfrm>
                          <a:off x="0" y="0"/>
                          <a:ext cx="248285" cy="248285"/>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自选图形 7" o:spid="_x0000_s1026" style="position:absolute;left:0pt;margin-left:213.35pt;margin-top:26.3pt;height:19.55pt;width:19.55pt;z-index:251661312;mso-width-relative:page;mso-height-relative:page;" fillcolor="#FF0000" filled="t" stroked="t" coordsize="248285,248285" o:gfxdata="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4ud5&#10;2QAAAAkBAAAPAAAAAAAAAAEAIAAAACIAAABkcnMvZG93bnJldi54bWxQSwECFAAUAAAACACHTuJA&#10;Pg2zmucBAADWAwAADgAAAAAAAAABACAAAAAoAQAAZHJzL2Uyb0RvYy54bWxQSwUGAAAAAAYABgBZ&#10;AQAAgQUAAAAA&#10;" path="m0,94836l94836,94836,124142,0,153448,94836,248284,94836,171559,153447,200866,248284,124142,189671,47418,248284,76725,153447xe">
                <v:path o:connectlocs="124142,0;0,94836;47418,248284;200866,248284;248284,94836" o:connectangles="247,164,82,82,0"/>
                <v:fill on="t" focussize="0,0"/>
                <v:stroke color="#FF0000" joinstyle="miter"/>
                <v:imagedata o:title=""/>
                <o:lock v:ext="edit" aspectratio="f"/>
              </v:shape>
            </w:pict>
          </mc:Fallback>
        </mc:AlternateContent>
      </w:r>
      <w:r>
        <w:rPr>
          <w:rFonts w:hint="eastAsia" w:ascii="Times New Roman" w:hAnsi="Times New Roman" w:eastAsia="方正仿宋_GBK" w:cs="方正仿宋_GBK"/>
          <w:b w:val="0"/>
          <w:bCs w:val="0"/>
          <w:sz w:val="32"/>
          <w:szCs w:val="32"/>
        </w:rPr>
        <w:t>大坪街委</w:t>
      </w:r>
      <w:r>
        <w:rPr>
          <w:rFonts w:hint="eastAsia" w:ascii="Times New Roman" w:hAnsi="Times New Roman" w:eastAsia="方正仿宋_GBK" w:cs="方正仿宋_GBK"/>
          <w:b w:val="0"/>
          <w:bCs w:val="0"/>
          <w:sz w:val="32"/>
          <w:szCs w:val="32"/>
          <w:lang w:eastAsia="zh-CN"/>
        </w:rPr>
        <w:t>发</w:t>
      </w:r>
      <w:r>
        <w:rPr>
          <w:rFonts w:hint="eastAsia" w:ascii="Times New Roman" w:hAnsi="Times New Roman" w:eastAsia="方正仿宋_GBK"/>
          <w:b w:val="0"/>
          <w:bCs w:val="0"/>
          <w:sz w:val="32"/>
          <w:lang w:eastAsia="zh-CN"/>
        </w:rPr>
        <w:t>〔</w:t>
      </w:r>
      <w:r>
        <w:rPr>
          <w:rFonts w:hint="eastAsia" w:ascii="Times New Roman" w:hAnsi="Times New Roman" w:eastAsia="方正仿宋_GBK" w:cs="Times New Roman"/>
          <w:b w:val="0"/>
          <w:bCs w:val="0"/>
          <w:sz w:val="32"/>
          <w:lang w:val="en-US" w:eastAsia="zh-CN"/>
        </w:rPr>
        <w:t>2025</w:t>
      </w:r>
      <w:r>
        <w:rPr>
          <w:rFonts w:hint="eastAsia" w:ascii="Times New Roman" w:hAnsi="Times New Roman" w:eastAsia="方正仿宋_GBK"/>
          <w:b w:val="0"/>
          <w:bCs w:val="0"/>
          <w:sz w:val="32"/>
          <w:lang w:eastAsia="zh-CN"/>
        </w:rPr>
        <w:t>〕</w:t>
      </w:r>
      <w:r>
        <w:rPr>
          <w:rFonts w:hint="eastAsia" w:ascii="Times New Roman" w:hAnsi="Times New Roman" w:eastAsia="方正仿宋_GBK"/>
          <w:b w:val="0"/>
          <w:bCs w:val="0"/>
          <w:sz w:val="32"/>
          <w:lang w:val="en-US" w:eastAsia="zh-CN"/>
        </w:rPr>
        <w:t>115</w:t>
      </w:r>
      <w:r>
        <w:rPr>
          <w:rFonts w:hint="eastAsia" w:ascii="Times New Roman" w:hAnsi="Times New Roman" w:eastAsia="方正仿宋_GBK" w:cs="方正仿宋_GBK"/>
          <w:b w:val="0"/>
          <w:bCs w:val="0"/>
          <w:sz w:val="32"/>
        </w:rPr>
        <w:t>号</w:t>
      </w:r>
    </w:p>
    <w:bookmarkEnd w:id="0"/>
    <w:p>
      <w:pPr>
        <w:jc w:val="center"/>
        <w:rPr>
          <w:rFonts w:hint="eastAsia" w:ascii="仿宋_GB2312" w:eastAsia="仿宋_GB2312"/>
          <w:b w:val="0"/>
          <w:bCs w:val="0"/>
          <w:sz w:val="32"/>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3104515</wp:posOffset>
                </wp:positionH>
                <wp:positionV relativeFrom="paragraph">
                  <wp:posOffset>92075</wp:posOffset>
                </wp:positionV>
                <wp:extent cx="2520315" cy="0"/>
                <wp:effectExtent l="0" t="12700" r="13335" b="15875"/>
                <wp:wrapNone/>
                <wp:docPr id="2" name="直线 9"/>
                <wp:cNvGraphicFramePr/>
                <a:graphic xmlns:a="http://schemas.openxmlformats.org/drawingml/2006/main">
                  <a:graphicData uri="http://schemas.microsoft.com/office/word/2010/wordprocessingShape">
                    <wps:wsp>
                      <wps:cNvCnPr/>
                      <wps:spPr>
                        <a:xfrm>
                          <a:off x="0" y="0"/>
                          <a:ext cx="252031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244.45pt;margin-top:7.25pt;height:0pt;width:198.45pt;z-index:251660288;mso-width-relative:page;mso-height-relative:page;" filled="f" stroked="t" coordsize="21600,21600" o:gfxdata="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&#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hAKK1gAAAAkBAAAPAAAAAAAAAAEAIAAAACIAAABk&#10;cnMvZG93bnJldi54bWxQSwECFAAUAAAACACHTuJA2kLfvM8BAACOAwAADgAAAAAAAAABACAAAAAl&#10;AQAAZHJzL2Uyb0RvYy54bWxQSwUGAAAAAAYABgBZAQAAZgUAAAAA&#10;">
                <v:fill on="f" focussize="0,0"/>
                <v:stroke weight="2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101600</wp:posOffset>
                </wp:positionV>
                <wp:extent cx="2520315" cy="0"/>
                <wp:effectExtent l="0" t="12700" r="13335" b="15875"/>
                <wp:wrapNone/>
                <wp:docPr id="1" name="直线 8"/>
                <wp:cNvGraphicFramePr/>
                <a:graphic xmlns:a="http://schemas.openxmlformats.org/drawingml/2006/main">
                  <a:graphicData uri="http://schemas.microsoft.com/office/word/2010/wordprocessingShape">
                    <wps:wsp>
                      <wps:cNvCnPr/>
                      <wps:spPr>
                        <a:xfrm>
                          <a:off x="0" y="0"/>
                          <a:ext cx="252031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8pt;height:0pt;width:198.45pt;z-index:251659264;mso-width-relative:page;mso-height-relative:page;" filled="f" stroked="t" coordsize="21600,21600" o:gfxdata="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78yONQAAAAGAQAADwAAAAAAAAABACAAAAAiAAAAZHJz&#10;L2Rvd25yZXYueG1sUEsBAhQAFAAAAAgAh07iQOjcIoLPAQAAjgMAAA4AAAAAAAAAAQAgAAAAIwEA&#10;AGRycy9lMm9Eb2MueG1sUEsFBgAAAAAGAAYAWQEAAGQFAAAAAA==&#10;">
                <v:fill on="f" focussize="0,0"/>
                <v:stroke weight="2pt" color="#FF0000" joinstyle="round"/>
                <v:imagedata o:title=""/>
                <o:lock v:ext="edit" aspectratio="f"/>
              </v:line>
            </w:pict>
          </mc:Fallback>
        </mc:AlternateConten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0" w:firstLineChars="0"/>
        <w:jc w:val="center"/>
        <w:textAlignment w:val="auto"/>
        <w:rPr>
          <w:rFonts w:hint="eastAsia" w:eastAsia="方正小标宋_GBK" w:cs="Times New Roman"/>
          <w:b w:val="0"/>
          <w:bCs w:val="0"/>
          <w:sz w:val="44"/>
          <w:szCs w:val="32"/>
          <w:lang w:val="en-US" w:eastAsia="zh-CN"/>
        </w:rPr>
      </w:pPr>
      <w:bookmarkStart w:id="1" w:name="_Toc31975"/>
      <w:bookmarkStart w:id="2" w:name="_Toc11570"/>
      <w:r>
        <w:rPr>
          <w:rFonts w:hint="eastAsia" w:eastAsia="方正小标宋_GBK" w:cs="Times New Roman"/>
          <w:b w:val="0"/>
          <w:bCs w:val="0"/>
          <w:sz w:val="44"/>
          <w:szCs w:val="32"/>
          <w:lang w:val="en-US" w:eastAsia="zh-CN"/>
        </w:rPr>
        <w:t>中共重庆市渝中区大坪街道工作委员会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0" w:firstLineChars="0"/>
        <w:jc w:val="center"/>
        <w:textAlignment w:val="auto"/>
        <w:rPr>
          <w:rFonts w:hint="eastAsia" w:eastAsia="方正小标宋_GBK" w:cs="Times New Roman"/>
          <w:b w:val="0"/>
          <w:bCs w:val="0"/>
          <w:sz w:val="44"/>
          <w:szCs w:val="32"/>
          <w:lang w:val="en-US" w:eastAsia="zh-CN"/>
        </w:rPr>
      </w:pPr>
      <w:r>
        <w:rPr>
          <w:rFonts w:hint="eastAsia" w:eastAsia="方正小标宋_GBK" w:cs="Times New Roman"/>
          <w:b w:val="0"/>
          <w:bCs w:val="0"/>
          <w:sz w:val="44"/>
          <w:szCs w:val="32"/>
          <w:lang w:val="en-US" w:eastAsia="zh-CN"/>
        </w:rPr>
        <w:t>重庆市渝中区人民政府大坪街道办事处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000000"/>
          <w:sz w:val="44"/>
          <w:szCs w:val="32"/>
          <w:lang w:val="en-US" w:eastAsia="zh-CN"/>
        </w:rPr>
      </w:pPr>
      <w:r>
        <w:rPr>
          <w:rFonts w:hint="eastAsia" w:eastAsia="方正小标宋_GBK" w:cs="Times New Roman"/>
          <w:b w:val="0"/>
          <w:bCs w:val="0"/>
          <w:sz w:val="44"/>
          <w:szCs w:val="32"/>
          <w:lang w:val="en-US" w:eastAsia="zh-CN"/>
        </w:rPr>
        <w:t>关于印发</w:t>
      </w:r>
      <w:bookmarkEnd w:id="1"/>
      <w:r>
        <w:rPr>
          <w:rFonts w:hint="default" w:ascii="Times New Roman" w:hAnsi="Times New Roman" w:eastAsia="方正小标宋_GBK" w:cs="Times New Roman"/>
          <w:color w:val="000000"/>
          <w:sz w:val="44"/>
          <w:szCs w:val="32"/>
          <w:lang w:val="en-US" w:eastAsia="zh-CN"/>
        </w:rPr>
        <w:t>《大坪街道固定资产管理办法》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0" w:firstLineChars="0"/>
        <w:jc w:val="center"/>
        <w:textAlignment w:val="auto"/>
        <w:rPr>
          <w:rFonts w:hint="eastAsia" w:eastAsia="方正小标宋_GBK" w:cs="Times New Roman"/>
          <w:color w:val="000000"/>
          <w:sz w:val="44"/>
          <w:szCs w:val="32"/>
          <w:lang w:val="en-US" w:eastAsia="zh-CN"/>
        </w:rPr>
      </w:pPr>
      <w:r>
        <w:rPr>
          <w:rFonts w:hint="eastAsia" w:eastAsia="方正小标宋_GBK" w:cs="Times New Roman"/>
          <w:color w:val="000000"/>
          <w:sz w:val="44"/>
          <w:szCs w:val="32"/>
          <w:lang w:val="en-US" w:eastAsia="zh-CN"/>
        </w:rPr>
        <w:t>的通知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textAlignment w:val="auto"/>
        <w:rPr>
          <w:rFonts w:hint="eastAsia" w:eastAsia="方正仿宋_GBK" w:cs="Times New Roman"/>
          <w:color w:val="000000"/>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各领导班子成员，各办公室（中心、所、队、站）、各社区：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cs="Times New Roman"/>
          <w:sz w:val="32"/>
          <w:szCs w:val="32"/>
          <w:lang w:val="en-US" w:eastAsia="zh-CN"/>
        </w:rPr>
        <w:t>为进一步规范固定资产管理</w:t>
      </w:r>
      <w:r>
        <w:rPr>
          <w:rFonts w:hint="eastAsia" w:ascii="Times New Roman" w:hAnsi="Times New Roman" w:eastAsia="方正仿宋_GBK" w:cs="Times New Roman"/>
          <w:sz w:val="32"/>
          <w:szCs w:val="32"/>
          <w:lang w:val="en-US" w:eastAsia="zh-CN"/>
        </w:rPr>
        <w:t>，现将</w:t>
      </w:r>
      <w:r>
        <w:rPr>
          <w:rFonts w:hint="default" w:ascii="Times New Roman" w:hAnsi="Times New Roman" w:eastAsia="方正仿宋_GBK" w:cs="Times New Roman"/>
          <w:sz w:val="32"/>
          <w:szCs w:val="32"/>
          <w:lang w:val="en-US" w:eastAsia="zh-CN"/>
        </w:rPr>
        <w:t>《大坪街道固定资产管理办法》</w:t>
      </w:r>
      <w:r>
        <w:rPr>
          <w:rFonts w:hint="eastAsia" w:ascii="Times New Roman" w:hAnsi="Times New Roman" w:eastAsia="方正仿宋_GBK" w:cs="Times New Roman"/>
          <w:sz w:val="32"/>
          <w:szCs w:val="32"/>
          <w:lang w:val="en-US" w:eastAsia="zh-CN"/>
        </w:rPr>
        <w:t>印发给你们，请认真贯彻落实。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eastAsia" w:eastAsia="方正仿宋_GBK" w:cs="Times New Roman"/>
          <w:color w:val="000000"/>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2880" w:firstLineChars="900"/>
        <w:jc w:val="right"/>
        <w:textAlignment w:val="auto"/>
        <w:rPr>
          <w:rFonts w:hint="eastAsia" w:eastAsia="方正仿宋_GBK" w:cs="Times New Roman"/>
          <w:b w:val="0"/>
          <w:bCs w:val="0"/>
          <w:sz w:val="32"/>
          <w:szCs w:val="32"/>
          <w:lang w:val="en-US" w:eastAsia="zh-CN"/>
        </w:rPr>
      </w:pPr>
      <w:r>
        <w:rPr>
          <w:rFonts w:hint="eastAsia" w:eastAsia="方正仿宋_GBK" w:cs="Times New Roman"/>
          <w:b w:val="0"/>
          <w:bCs w:val="0"/>
          <w:sz w:val="32"/>
          <w:szCs w:val="32"/>
          <w:lang w:val="en-US" w:eastAsia="zh-CN"/>
        </w:rPr>
        <w:t>中共重庆市渝中区大坪街道工作委员会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2880" w:firstLineChars="900"/>
        <w:jc w:val="right"/>
        <w:textAlignment w:val="auto"/>
        <w:rPr>
          <w:rFonts w:hint="default" w:eastAsia="方正仿宋_GBK" w:cs="Times New Roman"/>
          <w:b w:val="0"/>
          <w:bCs w:val="0"/>
          <w:sz w:val="32"/>
          <w:szCs w:val="32"/>
          <w:lang w:val="en-US" w:eastAsia="zh-CN"/>
        </w:rPr>
      </w:pPr>
      <w:r>
        <w:rPr>
          <w:rFonts w:hint="eastAsia" w:eastAsia="方正仿宋_GBK" w:cs="Times New Roman"/>
          <w:b w:val="0"/>
          <w:bCs w:val="0"/>
          <w:sz w:val="32"/>
          <w:szCs w:val="32"/>
          <w:lang w:val="en-US" w:eastAsia="zh-CN"/>
        </w:rPr>
        <w:t>重庆市渝中区人民政府大坪街道办事处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480" w:firstLineChars="1400"/>
        <w:jc w:val="center"/>
        <w:textAlignment w:val="auto"/>
        <w:rPr>
          <w:rFonts w:hint="eastAsia" w:eastAsia="方正仿宋_GBK" w:cs="Times New Roman"/>
          <w:b w:val="0"/>
          <w:bCs w:val="0"/>
          <w:sz w:val="32"/>
          <w:szCs w:val="32"/>
          <w:lang w:val="en-US" w:eastAsia="zh-CN"/>
        </w:rPr>
      </w:pPr>
      <w:r>
        <w:rPr>
          <w:rFonts w:hint="eastAsia" w:eastAsia="方正仿宋_GBK" w:cs="Times New Roman"/>
          <w:b w:val="0"/>
          <w:bCs w:val="0"/>
          <w:sz w:val="32"/>
          <w:szCs w:val="32"/>
          <w:lang w:val="en-US" w:eastAsia="zh-CN"/>
        </w:rPr>
        <w:t>2025年12月1日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jc w:val="left"/>
        <w:textAlignment w:val="auto"/>
        <w:rPr>
          <w:rFonts w:hint="default" w:eastAsia="方正仿宋_GBK" w:cs="Times New Roman"/>
          <w:b w:val="0"/>
          <w:bCs w:val="0"/>
          <w:sz w:val="32"/>
          <w:szCs w:val="32"/>
          <w:lang w:val="en-US" w:eastAsia="zh-CN"/>
        </w:rPr>
      </w:pPr>
      <w:r>
        <w:rPr>
          <w:rFonts w:hint="eastAsia" w:eastAsia="方正仿宋_GBK" w:cs="Times New Roman"/>
          <w:b w:val="0"/>
          <w:bCs w:val="0"/>
          <w:sz w:val="32"/>
          <w:szCs w:val="32"/>
          <w:lang w:val="en-US" w:eastAsia="zh-CN"/>
        </w:rPr>
        <w:t>（此件公开发布）</w:t>
      </w:r>
      <w:bookmarkStart w:id="9" w:name="_GoBack"/>
      <w:bookmarkEnd w:id="9"/>
    </w:p>
    <w:p>
      <w:pPr>
        <w:pStyle w:val="3"/>
        <w:pageBreakBefore w:val="0"/>
        <w:widowControl w:val="0"/>
        <w:kinsoku/>
        <w:wordWrap/>
        <w:overflowPunct/>
        <w:topLinePunct w:val="0"/>
        <w:autoSpaceDE/>
        <w:autoSpaceDN/>
        <w:bidi w:val="0"/>
        <w:adjustRightInd/>
        <w:snapToGrid/>
        <w:textAlignment w:val="auto"/>
        <w:rPr>
          <w:rFonts w:hint="eastAsia" w:eastAsia="方正小标宋_GBK"/>
          <w:highlight w:val="none"/>
          <w:lang w:eastAsia="zh-CN"/>
        </w:rPr>
      </w:pPr>
      <w:r>
        <w:rPr>
          <w:rFonts w:hint="eastAsia"/>
          <w:highlight w:val="none"/>
          <w:lang w:val="en-US" w:eastAsia="zh-CN"/>
        </w:rPr>
        <w:t>大坪街道固定</w:t>
      </w:r>
      <w:r>
        <w:rPr>
          <w:rFonts w:hint="eastAsia"/>
          <w:highlight w:val="none"/>
        </w:rPr>
        <w:t>资产管理</w:t>
      </w:r>
      <w:bookmarkEnd w:id="2"/>
      <w:r>
        <w:rPr>
          <w:rFonts w:hint="eastAsia"/>
          <w:highlight w:val="none"/>
          <w:lang w:val="en-US" w:eastAsia="zh-CN"/>
        </w:rPr>
        <w:t>办法</w:t>
      </w:r>
    </w:p>
    <w:p>
      <w:pPr>
        <w:pStyle w:val="4"/>
        <w:keepNext/>
        <w:keepLines/>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lang w:val="en-US" w:eastAsia="zh-CN"/>
        </w:rPr>
      </w:pPr>
      <w:bookmarkStart w:id="3" w:name="_Toc419289508"/>
      <w:bookmarkStart w:id="4" w:name="_Toc4144"/>
    </w:p>
    <w:p>
      <w:pPr>
        <w:pStyle w:val="4"/>
        <w:keepNext/>
        <w:keepLines/>
        <w:pageBreakBefore w:val="0"/>
        <w:widowControl w:val="0"/>
        <w:kinsoku/>
        <w:wordWrap/>
        <w:overflowPunct/>
        <w:topLinePunct w:val="0"/>
        <w:autoSpaceDE/>
        <w:autoSpaceDN/>
        <w:bidi w:val="0"/>
        <w:adjustRightInd/>
        <w:snapToGrid/>
        <w:ind w:firstLine="0" w:firstLineChars="0"/>
        <w:jc w:val="center"/>
        <w:textAlignment w:val="auto"/>
        <w:rPr>
          <w:highlight w:val="none"/>
        </w:rPr>
      </w:pPr>
      <w:r>
        <w:rPr>
          <w:rFonts w:hint="eastAsia"/>
          <w:highlight w:val="none"/>
          <w:lang w:val="en-US" w:eastAsia="zh-CN"/>
        </w:rPr>
        <w:t xml:space="preserve">第一章  </w:t>
      </w:r>
      <w:r>
        <w:rPr>
          <w:highlight w:val="none"/>
        </w:rPr>
        <w:t>总</w:t>
      </w:r>
      <w:r>
        <w:rPr>
          <w:rFonts w:hint="eastAsia"/>
          <w:highlight w:val="none"/>
        </w:rPr>
        <w:t xml:space="preserve">  </w:t>
      </w:r>
      <w:r>
        <w:rPr>
          <w:highlight w:val="none"/>
        </w:rPr>
        <w:t>则</w:t>
      </w:r>
      <w:bookmarkEnd w:id="3"/>
      <w:bookmarkEnd w:id="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cs="黑体"/>
          <w:szCs w:val="22"/>
          <w:highlight w:val="none"/>
        </w:rPr>
      </w:pPr>
      <w:r>
        <w:rPr>
          <w:rStyle w:val="17"/>
          <w:rFonts w:hint="eastAsia" w:ascii="Times New Roman" w:hAnsi="Times New Roman" w:eastAsia="方正楷体_GBK" w:cs="黑体"/>
          <w:b w:val="0"/>
          <w:kern w:val="2"/>
          <w:sz w:val="32"/>
          <w:szCs w:val="22"/>
          <w:highlight w:val="none"/>
          <w:lang w:val="en-US" w:eastAsia="zh-CN"/>
        </w:rPr>
        <w:t>第一条</w:t>
      </w:r>
      <w:r>
        <w:rPr>
          <w:rFonts w:hint="eastAsia" w:cs="黑体"/>
          <w:szCs w:val="22"/>
          <w:highlight w:val="none"/>
          <w:lang w:val="en-US" w:eastAsia="zh-CN"/>
        </w:rPr>
        <w:t xml:space="preserve"> 为了加强街道固定资产管理，提高固定资产的使用效益，根据《行政单位会计制度》、《事业单位会计制度》、《行政单位国有资产管理暂行办法》和《事业单位国有资产管理暂行办法》，制定本办法</w:t>
      </w:r>
      <w:r>
        <w:rPr>
          <w:rFonts w:hint="eastAsia" w:cs="黑体"/>
          <w:szCs w:val="22"/>
          <w:highlight w:val="none"/>
        </w:rPr>
        <w:t>。</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cs="黑体"/>
          <w:color w:val="auto"/>
          <w:szCs w:val="22"/>
          <w:highlight w:val="none"/>
          <w:lang w:eastAsia="zh-CN"/>
        </w:rPr>
      </w:pPr>
      <w:r>
        <w:rPr>
          <w:rStyle w:val="17"/>
          <w:rFonts w:hint="eastAsia" w:ascii="Times New Roman" w:hAnsi="Times New Roman" w:eastAsia="方正楷体_GBK" w:cs="黑体"/>
          <w:b w:val="0"/>
          <w:kern w:val="2"/>
          <w:sz w:val="32"/>
          <w:szCs w:val="22"/>
          <w:highlight w:val="none"/>
          <w:lang w:val="en-US" w:eastAsia="zh-CN"/>
        </w:rPr>
        <w:t xml:space="preserve">第二条 </w:t>
      </w:r>
      <w:r>
        <w:rPr>
          <w:rFonts w:hint="eastAsia" w:cs="黑体"/>
          <w:color w:val="auto"/>
          <w:szCs w:val="22"/>
          <w:highlight w:val="none"/>
        </w:rPr>
        <w:t>本</w:t>
      </w:r>
      <w:r>
        <w:rPr>
          <w:rFonts w:hint="eastAsia" w:cs="黑体"/>
          <w:color w:val="auto"/>
          <w:szCs w:val="22"/>
          <w:highlight w:val="none"/>
          <w:lang w:val="en-US" w:eastAsia="zh-CN"/>
        </w:rPr>
        <w:t>办法</w:t>
      </w:r>
      <w:r>
        <w:rPr>
          <w:rFonts w:hint="eastAsia" w:cs="黑体"/>
          <w:color w:val="auto"/>
          <w:szCs w:val="22"/>
          <w:highlight w:val="none"/>
        </w:rPr>
        <w:t>所称固定资产包括：房屋及建筑物、专用设备、</w:t>
      </w:r>
      <w:r>
        <w:rPr>
          <w:rFonts w:hint="eastAsia" w:cs="黑体"/>
          <w:color w:val="auto"/>
          <w:szCs w:val="22"/>
          <w:highlight w:val="none"/>
          <w:lang w:val="en-US" w:eastAsia="zh-CN"/>
        </w:rPr>
        <w:t>通用</w:t>
      </w:r>
      <w:r>
        <w:rPr>
          <w:rFonts w:hint="eastAsia" w:cs="黑体"/>
          <w:color w:val="auto"/>
          <w:szCs w:val="22"/>
          <w:highlight w:val="none"/>
        </w:rPr>
        <w:t>设备、</w:t>
      </w:r>
      <w:r>
        <w:rPr>
          <w:rFonts w:hint="eastAsia" w:cs="黑体"/>
          <w:color w:val="auto"/>
          <w:szCs w:val="22"/>
          <w:highlight w:val="none"/>
          <w:lang w:val="en-US" w:eastAsia="zh-CN"/>
        </w:rPr>
        <w:t>家具用具、</w:t>
      </w:r>
      <w:r>
        <w:rPr>
          <w:rFonts w:hint="eastAsia" w:cs="黑体"/>
          <w:color w:val="auto"/>
          <w:szCs w:val="22"/>
          <w:highlight w:val="none"/>
        </w:rPr>
        <w:t>文物和陈列品、图书</w:t>
      </w:r>
      <w:r>
        <w:rPr>
          <w:rFonts w:hint="eastAsia" w:cs="黑体"/>
          <w:color w:val="auto"/>
          <w:szCs w:val="22"/>
          <w:highlight w:val="none"/>
          <w:lang w:val="en-US" w:eastAsia="zh-CN"/>
        </w:rPr>
        <w:t>和</w:t>
      </w:r>
      <w:r>
        <w:rPr>
          <w:rFonts w:hint="eastAsia" w:cs="黑体"/>
          <w:color w:val="auto"/>
          <w:szCs w:val="22"/>
          <w:highlight w:val="none"/>
        </w:rPr>
        <w:t>其它固定资产</w:t>
      </w:r>
      <w:r>
        <w:rPr>
          <w:rFonts w:hint="eastAsia" w:cs="黑体"/>
          <w:color w:val="auto"/>
          <w:szCs w:val="22"/>
          <w:highlight w:val="none"/>
          <w:lang w:eastAsia="zh-CN"/>
        </w:rPr>
        <w:t>。</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cs="黑体"/>
          <w:color w:val="auto"/>
          <w:szCs w:val="22"/>
          <w:highlight w:val="none"/>
          <w:lang w:eastAsia="zh-CN"/>
        </w:rPr>
      </w:pPr>
      <w:r>
        <w:rPr>
          <w:rFonts w:hint="eastAsia" w:cs="黑体"/>
          <w:color w:val="auto"/>
          <w:szCs w:val="22"/>
          <w:highlight w:val="none"/>
          <w:lang w:eastAsia="zh-CN"/>
        </w:rPr>
        <w:t>（一）房屋及建筑物。指房屋、建筑物及其附属设施。房屋包括办公用房、生产经营用房、仓库、职工生活用房、食堂用房、锅炉房等；建筑物包括道路、围墙、水塔、雕塑等；附属设施包括房屋、建筑物内的电梯、通讯线路、输电线路、水气管道等。</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cs="黑体"/>
          <w:color w:val="auto"/>
          <w:szCs w:val="22"/>
          <w:highlight w:val="none"/>
          <w:lang w:eastAsia="zh-CN"/>
        </w:rPr>
      </w:pPr>
      <w:r>
        <w:rPr>
          <w:rFonts w:hint="eastAsia" w:cs="黑体"/>
          <w:color w:val="auto"/>
          <w:szCs w:val="22"/>
          <w:highlight w:val="none"/>
          <w:lang w:eastAsia="zh-CN"/>
        </w:rPr>
        <w:t>（二）专用设备。指各种具有专门性能和专门用途的设备，包括各种仪器和机械设备、医疗器械、文体事业单位的文体设备等。</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cs="黑体"/>
          <w:color w:val="auto"/>
          <w:szCs w:val="22"/>
          <w:highlight w:val="none"/>
          <w:lang w:eastAsia="zh-CN"/>
        </w:rPr>
      </w:pPr>
      <w:r>
        <w:rPr>
          <w:rFonts w:hint="eastAsia" w:cs="黑体"/>
          <w:color w:val="auto"/>
          <w:szCs w:val="22"/>
          <w:highlight w:val="none"/>
          <w:lang w:eastAsia="zh-CN"/>
        </w:rPr>
        <w:t>（三）</w:t>
      </w:r>
      <w:r>
        <w:rPr>
          <w:rFonts w:hint="eastAsia" w:cs="黑体"/>
          <w:color w:val="auto"/>
          <w:szCs w:val="22"/>
          <w:highlight w:val="none"/>
          <w:lang w:val="en-US" w:eastAsia="zh-CN"/>
        </w:rPr>
        <w:t>通用</w:t>
      </w:r>
      <w:r>
        <w:rPr>
          <w:rFonts w:hint="eastAsia" w:cs="黑体"/>
          <w:color w:val="auto"/>
          <w:szCs w:val="22"/>
          <w:highlight w:val="none"/>
          <w:lang w:eastAsia="zh-CN"/>
        </w:rPr>
        <w:t>设备。指办公和事务用的通用性设备、交通工具、通讯工具等。</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cs="黑体"/>
          <w:color w:val="auto"/>
          <w:szCs w:val="22"/>
          <w:highlight w:val="none"/>
          <w:lang w:val="en-US" w:eastAsia="zh-CN"/>
        </w:rPr>
      </w:pPr>
      <w:r>
        <w:rPr>
          <w:rFonts w:hint="eastAsia" w:cs="黑体"/>
          <w:color w:val="auto"/>
          <w:szCs w:val="22"/>
          <w:highlight w:val="none"/>
          <w:lang w:eastAsia="zh-CN"/>
        </w:rPr>
        <w:t>（</w:t>
      </w:r>
      <w:r>
        <w:rPr>
          <w:rFonts w:hint="eastAsia" w:cs="黑体"/>
          <w:color w:val="auto"/>
          <w:szCs w:val="22"/>
          <w:highlight w:val="none"/>
          <w:lang w:val="en-US" w:eastAsia="zh-CN"/>
        </w:rPr>
        <w:t>四</w:t>
      </w:r>
      <w:r>
        <w:rPr>
          <w:rFonts w:hint="eastAsia" w:cs="黑体"/>
          <w:color w:val="auto"/>
          <w:szCs w:val="22"/>
          <w:highlight w:val="none"/>
          <w:lang w:eastAsia="zh-CN"/>
        </w:rPr>
        <w:t>）</w:t>
      </w:r>
      <w:r>
        <w:rPr>
          <w:rFonts w:hint="eastAsia" w:cs="黑体"/>
          <w:color w:val="auto"/>
          <w:szCs w:val="22"/>
          <w:highlight w:val="none"/>
          <w:lang w:val="en-US" w:eastAsia="zh-CN"/>
        </w:rPr>
        <w:t>家具和用具。指办公桌、文件柜、沙发等。</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cs="黑体"/>
          <w:color w:val="auto"/>
          <w:szCs w:val="22"/>
          <w:highlight w:val="none"/>
          <w:lang w:eastAsia="zh-CN"/>
        </w:rPr>
      </w:pPr>
      <w:r>
        <w:rPr>
          <w:rFonts w:hint="eastAsia" w:cs="黑体"/>
          <w:color w:val="auto"/>
          <w:szCs w:val="22"/>
          <w:highlight w:val="none"/>
          <w:lang w:eastAsia="zh-CN"/>
        </w:rPr>
        <w:t>（</w:t>
      </w:r>
      <w:r>
        <w:rPr>
          <w:rFonts w:hint="eastAsia" w:cs="黑体"/>
          <w:color w:val="auto"/>
          <w:szCs w:val="22"/>
          <w:highlight w:val="none"/>
          <w:lang w:val="en-US" w:eastAsia="zh-CN"/>
        </w:rPr>
        <w:t>五</w:t>
      </w:r>
      <w:r>
        <w:rPr>
          <w:rFonts w:hint="eastAsia" w:cs="黑体"/>
          <w:color w:val="auto"/>
          <w:szCs w:val="22"/>
          <w:highlight w:val="none"/>
          <w:lang w:eastAsia="zh-CN"/>
        </w:rPr>
        <w:t>）文物和陈列品。指古玩、字画、纪念品、装饰品、展品、藏品等。</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cs="黑体"/>
          <w:color w:val="auto"/>
          <w:szCs w:val="22"/>
          <w:highlight w:val="none"/>
          <w:lang w:eastAsia="zh-CN"/>
        </w:rPr>
      </w:pPr>
      <w:r>
        <w:rPr>
          <w:rFonts w:hint="eastAsia" w:cs="黑体"/>
          <w:color w:val="auto"/>
          <w:szCs w:val="22"/>
          <w:highlight w:val="none"/>
          <w:lang w:eastAsia="zh-CN"/>
        </w:rPr>
        <w:t>（</w:t>
      </w:r>
      <w:r>
        <w:rPr>
          <w:rFonts w:hint="eastAsia" w:cs="黑体"/>
          <w:color w:val="auto"/>
          <w:szCs w:val="22"/>
          <w:highlight w:val="none"/>
          <w:lang w:val="en-US" w:eastAsia="zh-CN"/>
        </w:rPr>
        <w:t>六</w:t>
      </w:r>
      <w:r>
        <w:rPr>
          <w:rFonts w:hint="eastAsia" w:cs="黑体"/>
          <w:color w:val="auto"/>
          <w:szCs w:val="22"/>
          <w:highlight w:val="none"/>
          <w:lang w:eastAsia="zh-CN"/>
        </w:rPr>
        <w:t>）图书</w:t>
      </w:r>
      <w:r>
        <w:rPr>
          <w:rFonts w:hint="eastAsia" w:cs="黑体"/>
          <w:color w:val="auto"/>
          <w:szCs w:val="22"/>
          <w:highlight w:val="none"/>
          <w:lang w:val="en-US" w:eastAsia="zh-CN"/>
        </w:rPr>
        <w:t>和档案</w:t>
      </w:r>
      <w:r>
        <w:rPr>
          <w:rFonts w:hint="eastAsia" w:cs="黑体"/>
          <w:color w:val="auto"/>
          <w:szCs w:val="22"/>
          <w:highlight w:val="none"/>
          <w:lang w:eastAsia="zh-CN"/>
        </w:rPr>
        <w:t xml:space="preserve">。指图书馆（室）、阅览室的图书、资料等。 </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cs="黑体"/>
          <w:color w:val="auto"/>
          <w:szCs w:val="22"/>
          <w:highlight w:val="none"/>
          <w:lang w:eastAsia="zh-CN"/>
        </w:rPr>
      </w:pPr>
      <w:r>
        <w:rPr>
          <w:rFonts w:hint="eastAsia" w:cs="黑体"/>
          <w:color w:val="auto"/>
          <w:szCs w:val="22"/>
          <w:highlight w:val="none"/>
          <w:lang w:eastAsia="zh-CN"/>
        </w:rPr>
        <w:t>（</w:t>
      </w:r>
      <w:r>
        <w:rPr>
          <w:rFonts w:hint="eastAsia" w:cs="黑体"/>
          <w:color w:val="auto"/>
          <w:szCs w:val="22"/>
          <w:highlight w:val="none"/>
          <w:lang w:val="en-US" w:eastAsia="zh-CN"/>
        </w:rPr>
        <w:t>七</w:t>
      </w:r>
      <w:r>
        <w:rPr>
          <w:rFonts w:hint="eastAsia" w:cs="黑体"/>
          <w:color w:val="auto"/>
          <w:szCs w:val="22"/>
          <w:highlight w:val="none"/>
          <w:lang w:eastAsia="zh-CN"/>
        </w:rPr>
        <w:t>）其它固定资产。指未能包括在上述各项内的固定资产。</w:t>
      </w:r>
    </w:p>
    <w:p>
      <w:pPr>
        <w:numPr>
          <w:ilvl w:val="0"/>
          <w:numId w:val="0"/>
        </w:numPr>
        <w:bidi w:val="0"/>
        <w:spacing w:line="594" w:lineRule="exact"/>
        <w:ind w:firstLine="640" w:firstLineChars="200"/>
        <w:rPr>
          <w:rFonts w:cs="黑体"/>
          <w:color w:val="auto"/>
          <w:szCs w:val="22"/>
          <w:highlight w:val="none"/>
        </w:rPr>
      </w:pPr>
      <w:r>
        <w:rPr>
          <w:rStyle w:val="17"/>
          <w:rFonts w:hint="eastAsia" w:ascii="Times New Roman" w:hAnsi="Times New Roman" w:eastAsia="方正楷体_GBK" w:cs="黑体"/>
          <w:b w:val="0"/>
          <w:kern w:val="2"/>
          <w:sz w:val="32"/>
          <w:szCs w:val="22"/>
          <w:highlight w:val="none"/>
          <w:lang w:val="en-US" w:eastAsia="zh-CN"/>
        </w:rPr>
        <w:t xml:space="preserve">第三条 </w:t>
      </w:r>
      <w:r>
        <w:rPr>
          <w:rFonts w:hint="eastAsia" w:cs="黑体"/>
          <w:color w:val="auto"/>
          <w:szCs w:val="22"/>
          <w:highlight w:val="none"/>
        </w:rPr>
        <w:t>符合下列标准的列入固定资产管理：</w:t>
      </w:r>
    </w:p>
    <w:p>
      <w:pPr>
        <w:bidi w:val="0"/>
        <w:spacing w:line="594" w:lineRule="exact"/>
        <w:ind w:firstLine="640" w:firstLineChars="200"/>
        <w:rPr>
          <w:rFonts w:cs="黑体"/>
          <w:color w:val="auto"/>
          <w:szCs w:val="22"/>
          <w:highlight w:val="none"/>
        </w:rPr>
      </w:pPr>
      <w:r>
        <w:rPr>
          <w:rFonts w:hint="eastAsia" w:cs="黑体"/>
          <w:color w:val="auto"/>
          <w:szCs w:val="22"/>
          <w:highlight w:val="none"/>
          <w:lang w:eastAsia="zh-CN"/>
        </w:rPr>
        <w:t>（</w:t>
      </w:r>
      <w:r>
        <w:rPr>
          <w:rFonts w:hint="eastAsia" w:cs="黑体"/>
          <w:color w:val="auto"/>
          <w:szCs w:val="22"/>
          <w:highlight w:val="none"/>
          <w:lang w:val="en-US" w:eastAsia="zh-CN"/>
        </w:rPr>
        <w:t>一</w:t>
      </w:r>
      <w:r>
        <w:rPr>
          <w:rFonts w:hint="eastAsia" w:cs="黑体"/>
          <w:color w:val="auto"/>
          <w:szCs w:val="22"/>
          <w:highlight w:val="none"/>
          <w:lang w:eastAsia="zh-CN"/>
        </w:rPr>
        <w:t>）</w:t>
      </w:r>
      <w:r>
        <w:rPr>
          <w:rFonts w:hint="eastAsia" w:cs="黑体"/>
          <w:color w:val="auto"/>
          <w:szCs w:val="22"/>
          <w:highlight w:val="none"/>
        </w:rPr>
        <w:t>使用年限在一年以上，单位价值在1000元以上，专用设备单位价值在1500元以上，并在使用过程中基本保持原来物质形态的资产；</w:t>
      </w:r>
    </w:p>
    <w:p>
      <w:pPr>
        <w:bidi w:val="0"/>
        <w:spacing w:line="594" w:lineRule="exact"/>
        <w:ind w:firstLine="640" w:firstLineChars="200"/>
        <w:rPr>
          <w:rFonts w:cs="黑体"/>
          <w:color w:val="auto"/>
          <w:szCs w:val="22"/>
          <w:highlight w:val="none"/>
        </w:rPr>
      </w:pPr>
      <w:r>
        <w:rPr>
          <w:rFonts w:hint="eastAsia" w:cs="黑体"/>
          <w:color w:val="auto"/>
          <w:szCs w:val="22"/>
          <w:highlight w:val="none"/>
          <w:lang w:eastAsia="zh-CN"/>
        </w:rPr>
        <w:t>（</w:t>
      </w:r>
      <w:r>
        <w:rPr>
          <w:rFonts w:hint="eastAsia" w:cs="黑体"/>
          <w:color w:val="auto"/>
          <w:szCs w:val="22"/>
          <w:highlight w:val="none"/>
          <w:lang w:val="en-US" w:eastAsia="zh-CN"/>
        </w:rPr>
        <w:t>二</w:t>
      </w:r>
      <w:r>
        <w:rPr>
          <w:rFonts w:hint="eastAsia" w:cs="黑体"/>
          <w:color w:val="auto"/>
          <w:szCs w:val="22"/>
          <w:highlight w:val="none"/>
          <w:lang w:eastAsia="zh-CN"/>
        </w:rPr>
        <w:t>）</w:t>
      </w:r>
      <w:r>
        <w:rPr>
          <w:rFonts w:hint="eastAsia" w:cs="黑体"/>
          <w:color w:val="auto"/>
          <w:szCs w:val="22"/>
          <w:highlight w:val="none"/>
        </w:rPr>
        <w:t>单位价值虽不足规定标准，但耐用时间在一年以上的大批（</w:t>
      </w:r>
      <w:r>
        <w:rPr>
          <w:rFonts w:hint="eastAsia" w:cs="黑体"/>
          <w:color w:val="auto"/>
          <w:szCs w:val="22"/>
          <w:highlight w:val="none"/>
          <w:lang w:val="en-US" w:eastAsia="zh-CN"/>
        </w:rPr>
        <w:t>10</w:t>
      </w:r>
      <w:r>
        <w:rPr>
          <w:rFonts w:hint="eastAsia" w:cs="黑体"/>
          <w:color w:val="auto"/>
          <w:szCs w:val="22"/>
          <w:highlight w:val="none"/>
        </w:rPr>
        <w:t>件以上）同类物资，按固定资产管理。</w:t>
      </w:r>
    </w:p>
    <w:p>
      <w:pPr>
        <w:pStyle w:val="4"/>
        <w:keepNext/>
        <w:keepLines/>
        <w:pageBreakBefore w:val="0"/>
        <w:widowControl w:val="0"/>
        <w:kinsoku/>
        <w:wordWrap/>
        <w:overflowPunct/>
        <w:topLinePunct w:val="0"/>
        <w:autoSpaceDE/>
        <w:autoSpaceDN/>
        <w:bidi w:val="0"/>
        <w:adjustRightInd/>
        <w:snapToGrid/>
        <w:ind w:firstLine="0" w:firstLineChars="0"/>
        <w:jc w:val="center"/>
        <w:textAlignment w:val="auto"/>
        <w:rPr>
          <w:rFonts w:hint="default" w:eastAsia="方正黑体_GBK"/>
          <w:lang w:val="en-US" w:eastAsia="zh-CN"/>
        </w:rPr>
      </w:pPr>
      <w:bookmarkStart w:id="5" w:name="_Toc419289509"/>
      <w:bookmarkStart w:id="6" w:name="_Toc24759"/>
      <w:r>
        <w:rPr>
          <w:rFonts w:hint="eastAsia"/>
          <w:lang w:val="en-US" w:eastAsia="zh-CN"/>
        </w:rPr>
        <w:t xml:space="preserve">第二章 </w:t>
      </w:r>
      <w:bookmarkEnd w:id="5"/>
      <w:bookmarkEnd w:id="6"/>
      <w:r>
        <w:rPr>
          <w:rFonts w:hint="eastAsia"/>
          <w:lang w:val="en-US" w:eastAsia="zh-CN"/>
        </w:rPr>
        <w:t>固定资产的价值</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第四条</w:t>
      </w:r>
      <w:r>
        <w:rPr>
          <w:rFonts w:hint="eastAsia" w:cs="黑体"/>
          <w:szCs w:val="22"/>
          <w:lang w:val="en-US" w:eastAsia="zh-CN"/>
        </w:rPr>
        <w:t xml:space="preserve"> 固定资产的计价：</w:t>
      </w:r>
    </w:p>
    <w:p>
      <w:pPr>
        <w:bidi w:val="0"/>
        <w:spacing w:line="594" w:lineRule="exact"/>
        <w:ind w:firstLine="640" w:firstLineChars="200"/>
        <w:rPr>
          <w:rFonts w:hint="eastAsia" w:cs="黑体"/>
          <w:szCs w:val="22"/>
          <w:lang w:val="en-US" w:eastAsia="zh-CN"/>
        </w:rPr>
      </w:pPr>
      <w:r>
        <w:rPr>
          <w:rFonts w:hint="eastAsia" w:cs="黑体"/>
          <w:szCs w:val="22"/>
          <w:lang w:val="en-US" w:eastAsia="zh-CN"/>
        </w:rPr>
        <w:t>（一）购入、调入的固定资产，按实际支付的买价、调拨价以及运杂费、保险费、安装费、车辆购置附加费等记账；</w:t>
      </w:r>
    </w:p>
    <w:p>
      <w:pPr>
        <w:bidi w:val="0"/>
        <w:spacing w:line="594" w:lineRule="exact"/>
        <w:ind w:firstLine="640" w:firstLineChars="200"/>
        <w:rPr>
          <w:rFonts w:hint="eastAsia" w:cs="黑体"/>
          <w:szCs w:val="22"/>
          <w:lang w:val="en-US" w:eastAsia="zh-CN"/>
        </w:rPr>
      </w:pPr>
      <w:r>
        <w:rPr>
          <w:rFonts w:hint="eastAsia" w:cs="黑体"/>
          <w:szCs w:val="22"/>
          <w:lang w:val="en-US" w:eastAsia="zh-CN"/>
        </w:rPr>
        <w:t>（二）自行建造的固定资产，按建造过程中实际发生的全部支出记账；</w:t>
      </w:r>
    </w:p>
    <w:p>
      <w:pPr>
        <w:bidi w:val="0"/>
        <w:spacing w:line="594" w:lineRule="exact"/>
        <w:ind w:firstLine="640" w:firstLineChars="200"/>
        <w:rPr>
          <w:rFonts w:hint="eastAsia" w:cs="黑体"/>
          <w:szCs w:val="22"/>
          <w:lang w:val="en-US" w:eastAsia="zh-CN"/>
        </w:rPr>
      </w:pPr>
      <w:r>
        <w:rPr>
          <w:rFonts w:hint="eastAsia" w:cs="黑体"/>
          <w:szCs w:val="22"/>
          <w:lang w:val="en-US" w:eastAsia="zh-CN"/>
        </w:rPr>
        <w:t>（三）在原有固定资产基础上改建、扩建的固定资产，按改建、扩建发生的支出，减去改建、扩建过程中发生的变价收入后的净增加值，增记固定资产账；</w:t>
      </w:r>
    </w:p>
    <w:p>
      <w:pPr>
        <w:bidi w:val="0"/>
        <w:spacing w:line="594" w:lineRule="exact"/>
        <w:ind w:firstLine="640" w:firstLineChars="200"/>
        <w:rPr>
          <w:rFonts w:hint="eastAsia" w:cs="黑体"/>
          <w:szCs w:val="22"/>
          <w:lang w:val="en-US" w:eastAsia="zh-CN"/>
        </w:rPr>
      </w:pPr>
      <w:r>
        <w:rPr>
          <w:rFonts w:hint="eastAsia" w:cs="黑体"/>
          <w:szCs w:val="22"/>
          <w:lang w:val="en-US" w:eastAsia="zh-CN"/>
        </w:rPr>
        <w:t>（四）接受捐赠的固定资产，按照同类固定资产的市场价格或者有关凭证记账，接受捐赠固定资产时发生的相关费用应计入固定资产价值；</w:t>
      </w:r>
    </w:p>
    <w:p>
      <w:pPr>
        <w:bidi w:val="0"/>
        <w:spacing w:line="594" w:lineRule="exact"/>
        <w:ind w:firstLine="640" w:firstLineChars="200"/>
        <w:rPr>
          <w:rFonts w:hint="eastAsia" w:cs="黑体"/>
          <w:szCs w:val="22"/>
          <w:lang w:val="en-US" w:eastAsia="zh-CN"/>
        </w:rPr>
      </w:pPr>
      <w:r>
        <w:rPr>
          <w:rFonts w:hint="eastAsia" w:cs="黑体"/>
          <w:szCs w:val="22"/>
          <w:lang w:val="en-US" w:eastAsia="zh-CN"/>
        </w:rPr>
        <w:t>（五）无偿调入固定资产，不能查明原值的，按照估价入账；</w:t>
      </w:r>
    </w:p>
    <w:p>
      <w:pPr>
        <w:bidi w:val="0"/>
        <w:spacing w:line="594" w:lineRule="exact"/>
        <w:ind w:firstLine="640" w:firstLineChars="200"/>
        <w:rPr>
          <w:rFonts w:hint="eastAsia" w:cs="黑体"/>
          <w:szCs w:val="22"/>
          <w:lang w:val="en-US" w:eastAsia="zh-CN"/>
        </w:rPr>
      </w:pPr>
      <w:r>
        <w:rPr>
          <w:rFonts w:hint="eastAsia" w:cs="黑体"/>
          <w:szCs w:val="22"/>
          <w:lang w:val="en-US" w:eastAsia="zh-CN"/>
        </w:rPr>
        <w:t>（六）盘盈的固定资产，按照重置完全价值入账；</w:t>
      </w:r>
    </w:p>
    <w:p>
      <w:pPr>
        <w:bidi w:val="0"/>
        <w:spacing w:line="594" w:lineRule="exact"/>
        <w:ind w:firstLine="640" w:firstLineChars="200"/>
        <w:rPr>
          <w:rFonts w:hint="eastAsia" w:cs="黑体"/>
          <w:szCs w:val="22"/>
          <w:lang w:val="en-US" w:eastAsia="zh-CN"/>
        </w:rPr>
      </w:pPr>
      <w:r>
        <w:rPr>
          <w:rFonts w:hint="eastAsia" w:cs="黑体"/>
          <w:szCs w:val="22"/>
          <w:lang w:val="en-US" w:eastAsia="zh-CN"/>
        </w:rPr>
        <w:t>（七）已投入使用，但尚未办理移交手续的固定资产，可先按估价入账，待确定实际价值后，再进行调整；</w:t>
      </w:r>
    </w:p>
    <w:p>
      <w:pPr>
        <w:bidi w:val="0"/>
        <w:spacing w:line="594" w:lineRule="exact"/>
        <w:ind w:firstLine="640" w:firstLineChars="200"/>
        <w:rPr>
          <w:rFonts w:hint="eastAsia" w:cs="黑体"/>
          <w:szCs w:val="22"/>
          <w:lang w:val="en-US" w:eastAsia="zh-CN"/>
        </w:rPr>
      </w:pPr>
      <w:r>
        <w:rPr>
          <w:rFonts w:hint="eastAsia" w:cs="黑体"/>
          <w:szCs w:val="22"/>
          <w:lang w:val="en-US" w:eastAsia="zh-CN"/>
        </w:rPr>
        <w:t>（八）用外币进口的设备，按当时的汇率折合成人民币金额，加上国外部分的运费及其它费用(外币应折合成人民币金额)，再加上支付的关税、海关手续费等计价入账；</w:t>
      </w:r>
    </w:p>
    <w:p>
      <w:pPr>
        <w:bidi w:val="0"/>
        <w:spacing w:line="594" w:lineRule="exact"/>
        <w:ind w:firstLine="640" w:firstLineChars="200"/>
        <w:rPr>
          <w:rFonts w:hint="eastAsia" w:cs="黑体"/>
          <w:szCs w:val="22"/>
          <w:lang w:val="en-US" w:eastAsia="zh-CN"/>
        </w:rPr>
      </w:pPr>
      <w:r>
        <w:rPr>
          <w:rFonts w:hint="eastAsia" w:cs="黑体"/>
          <w:szCs w:val="22"/>
          <w:lang w:val="en-US" w:eastAsia="zh-CN"/>
        </w:rPr>
        <w:t>（九）融资租入的固定资产，按租赁协议确定的设备价款、运杂费、安装费等记账；</w:t>
      </w:r>
    </w:p>
    <w:p>
      <w:pPr>
        <w:bidi w:val="0"/>
        <w:spacing w:line="594" w:lineRule="exact"/>
        <w:ind w:firstLine="640" w:firstLineChars="200"/>
        <w:rPr>
          <w:rFonts w:hint="eastAsia" w:cs="黑体"/>
          <w:szCs w:val="22"/>
          <w:lang w:val="en-US" w:eastAsia="zh-CN"/>
        </w:rPr>
      </w:pPr>
      <w:r>
        <w:rPr>
          <w:rFonts w:hint="eastAsia" w:cs="黑体"/>
          <w:szCs w:val="22"/>
          <w:lang w:val="en-US" w:eastAsia="zh-CN"/>
        </w:rPr>
        <w:t>（十）购置固定资产过程中发生的差旅费，不计入固定资产价值。</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第五条</w:t>
      </w:r>
      <w:r>
        <w:rPr>
          <w:rFonts w:hint="eastAsia" w:cs="黑体"/>
          <w:szCs w:val="22"/>
          <w:lang w:val="en-US" w:eastAsia="zh-CN"/>
        </w:rPr>
        <w:t xml:space="preserve"> 已经入账的固定资产除发生下列情况外，不得任意变动固定资产账面价值：</w:t>
      </w:r>
    </w:p>
    <w:p>
      <w:pPr>
        <w:bidi w:val="0"/>
        <w:spacing w:line="594" w:lineRule="exact"/>
        <w:ind w:firstLine="640" w:firstLineChars="200"/>
        <w:rPr>
          <w:rFonts w:hint="eastAsia" w:cs="黑体"/>
          <w:szCs w:val="22"/>
          <w:lang w:val="en-US" w:eastAsia="zh-CN"/>
        </w:rPr>
      </w:pPr>
      <w:r>
        <w:rPr>
          <w:rFonts w:hint="eastAsia" w:cs="黑体"/>
          <w:szCs w:val="22"/>
          <w:lang w:val="en-US" w:eastAsia="zh-CN"/>
        </w:rPr>
        <w:t>根据国家规定对固定资产进行重新估价的；增加补充设备或改良装置的；将固定资产一部分拆除的；根据实际价值调整原来暂估价值的；发现原来记录固定资产价值有误的。</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第六条</w:t>
      </w:r>
      <w:r>
        <w:rPr>
          <w:rFonts w:hint="eastAsia" w:cs="黑体"/>
          <w:szCs w:val="22"/>
          <w:lang w:val="en-US" w:eastAsia="zh-CN"/>
        </w:rPr>
        <w:t xml:space="preserve"> 固定资产的价值变动，由综合协调岗负责办理，并及时通知财政管理岗，对固定资产有关账目作相应调整。具体账务处理，按《行政单位会计制度》和《事业单位会计制度》的规定执行。</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黑体_GBK" w:cs="黑体"/>
          <w:b w:val="0"/>
          <w:kern w:val="2"/>
          <w:sz w:val="32"/>
          <w:szCs w:val="22"/>
          <w:lang w:val="en-US" w:eastAsia="zh-CN" w:bidi="ar-SA"/>
        </w:rPr>
      </w:pPr>
      <w:r>
        <w:rPr>
          <w:rFonts w:hint="eastAsia" w:ascii="Times New Roman" w:hAnsi="Times New Roman" w:eastAsia="方正黑体_GBK" w:cs="黑体"/>
          <w:b w:val="0"/>
          <w:kern w:val="2"/>
          <w:sz w:val="32"/>
          <w:szCs w:val="22"/>
          <w:lang w:val="en-US" w:eastAsia="zh-CN" w:bidi="ar-SA"/>
        </w:rPr>
        <w:t>第三章 固定资产的配置</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第七条</w:t>
      </w:r>
      <w:r>
        <w:rPr>
          <w:rFonts w:hint="eastAsia" w:cs="黑体"/>
          <w:szCs w:val="22"/>
          <w:lang w:val="en-US" w:eastAsia="zh-CN"/>
        </w:rPr>
        <w:t xml:space="preserve"> 街道固定资产配置应当遵循以下原则：</w:t>
      </w:r>
    </w:p>
    <w:p>
      <w:pPr>
        <w:bidi w:val="0"/>
        <w:spacing w:line="594" w:lineRule="exact"/>
        <w:ind w:firstLine="640" w:firstLineChars="200"/>
        <w:rPr>
          <w:rFonts w:hint="eastAsia" w:cs="黑体"/>
          <w:szCs w:val="22"/>
          <w:lang w:val="en-US" w:eastAsia="zh-CN"/>
        </w:rPr>
      </w:pPr>
      <w:r>
        <w:rPr>
          <w:rFonts w:hint="eastAsia" w:cs="黑体"/>
          <w:szCs w:val="22"/>
          <w:lang w:val="en-US" w:eastAsia="zh-CN"/>
        </w:rPr>
        <w:t>（一）严格执行法律、法规和有关规章制度；</w:t>
      </w:r>
    </w:p>
    <w:p>
      <w:pPr>
        <w:bidi w:val="0"/>
        <w:spacing w:line="594" w:lineRule="exact"/>
        <w:ind w:firstLine="640" w:firstLineChars="200"/>
        <w:rPr>
          <w:rFonts w:hint="eastAsia" w:cs="黑体"/>
          <w:szCs w:val="22"/>
          <w:lang w:val="en-US" w:eastAsia="zh-CN"/>
        </w:rPr>
      </w:pPr>
      <w:r>
        <w:rPr>
          <w:rFonts w:hint="eastAsia" w:cs="黑体"/>
          <w:szCs w:val="22"/>
          <w:lang w:val="en-US" w:eastAsia="zh-CN"/>
        </w:rPr>
        <w:t>（二）与街道履行职能需要相适应；</w:t>
      </w:r>
    </w:p>
    <w:p>
      <w:pPr>
        <w:bidi w:val="0"/>
        <w:spacing w:line="594" w:lineRule="exact"/>
        <w:ind w:firstLine="640" w:firstLineChars="200"/>
        <w:rPr>
          <w:rFonts w:hint="eastAsia" w:cs="黑体"/>
          <w:szCs w:val="22"/>
          <w:lang w:val="en-US" w:eastAsia="zh-CN"/>
        </w:rPr>
      </w:pPr>
      <w:r>
        <w:rPr>
          <w:rFonts w:hint="eastAsia" w:cs="黑体"/>
          <w:szCs w:val="22"/>
          <w:lang w:val="en-US" w:eastAsia="zh-CN"/>
        </w:rPr>
        <w:t>（三）科学合理，优化资产结构；</w:t>
      </w:r>
    </w:p>
    <w:p>
      <w:pPr>
        <w:bidi w:val="0"/>
        <w:spacing w:line="594" w:lineRule="exact"/>
        <w:ind w:firstLine="640" w:firstLineChars="200"/>
        <w:rPr>
          <w:rFonts w:hint="eastAsia" w:cs="黑体"/>
          <w:szCs w:val="22"/>
          <w:lang w:val="en-US" w:eastAsia="zh-CN"/>
        </w:rPr>
      </w:pPr>
      <w:r>
        <w:rPr>
          <w:rFonts w:hint="eastAsia" w:cs="黑体"/>
          <w:szCs w:val="22"/>
          <w:lang w:val="en-US" w:eastAsia="zh-CN"/>
        </w:rPr>
        <w:t>（四）勤俭节约，从严控制。</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第八条</w:t>
      </w:r>
      <w:r>
        <w:rPr>
          <w:rFonts w:hint="eastAsia" w:cs="黑体"/>
          <w:szCs w:val="22"/>
          <w:lang w:val="en-US" w:eastAsia="zh-CN"/>
        </w:rPr>
        <w:t xml:space="preserve"> 对有规定配备标准的固定资产，应当按照标准进行配备；对没有规定配备标准的固定资产，应当从实际需要出发，从严控制，合理配备。</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 xml:space="preserve">第九条 </w:t>
      </w:r>
      <w:r>
        <w:rPr>
          <w:rFonts w:hint="eastAsia" w:cs="黑体"/>
          <w:szCs w:val="22"/>
          <w:lang w:val="en-US" w:eastAsia="zh-CN"/>
        </w:rPr>
        <w:t>固定资产采购由使用岗位填写《大坪街道物资（固定资产）购置申请表》（附件1），经板块B岗领导审核，由街道办事处主要领导审批后实施。</w:t>
      </w:r>
    </w:p>
    <w:p>
      <w:pPr>
        <w:bidi w:val="0"/>
        <w:spacing w:line="594" w:lineRule="exact"/>
        <w:ind w:firstLine="640" w:firstLineChars="200"/>
        <w:rPr>
          <w:rFonts w:hint="default" w:cs="黑体"/>
          <w:szCs w:val="22"/>
          <w:lang w:val="en-US" w:eastAsia="zh-CN"/>
        </w:rPr>
      </w:pPr>
      <w:r>
        <w:rPr>
          <w:rStyle w:val="17"/>
          <w:rFonts w:hint="eastAsia" w:ascii="Times New Roman" w:hAnsi="Times New Roman" w:eastAsia="方正楷体_GBK" w:cs="黑体"/>
          <w:b w:val="0"/>
          <w:kern w:val="2"/>
          <w:sz w:val="32"/>
          <w:szCs w:val="22"/>
          <w:lang w:val="en-US" w:eastAsia="zh-CN"/>
        </w:rPr>
        <w:t>第十条</w:t>
      </w:r>
      <w:r>
        <w:rPr>
          <w:rStyle w:val="17"/>
          <w:rFonts w:hint="eastAsia" w:eastAsia="方正楷体_GBK" w:cs="黑体"/>
          <w:b w:val="0"/>
          <w:kern w:val="2"/>
          <w:sz w:val="32"/>
          <w:szCs w:val="22"/>
          <w:lang w:val="en-US" w:eastAsia="zh-CN"/>
        </w:rPr>
        <w:t xml:space="preserve"> </w:t>
      </w:r>
      <w:r>
        <w:rPr>
          <w:rFonts w:hint="eastAsia" w:cs="黑体"/>
          <w:szCs w:val="22"/>
          <w:lang w:val="en-US" w:eastAsia="zh-CN"/>
        </w:rPr>
        <w:t>综合协调岗、使用岗位应当对购置的固定资产进行验收、登记，财政管理岗及时进行账务处理，使用岗位填写《大坪街道固定资产领用表》（附件2），经使用人、岗位（社区）负责人签字后领取使用。综合协调岗需在10个工作日内将对应的固定资产卡片粘贴在相应固定资产上，明确该资产的名称、型号、编号、购置日期、使用岗位、存放地点、管理人等信息。</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黑体_GBK" w:cs="黑体"/>
          <w:b w:val="0"/>
          <w:kern w:val="2"/>
          <w:sz w:val="32"/>
          <w:szCs w:val="22"/>
          <w:lang w:val="en-US" w:eastAsia="zh-CN" w:bidi="ar-SA"/>
        </w:rPr>
      </w:pPr>
      <w:r>
        <w:rPr>
          <w:rFonts w:hint="eastAsia" w:ascii="Times New Roman" w:hAnsi="Times New Roman" w:eastAsia="方正黑体_GBK" w:cs="黑体"/>
          <w:b w:val="0"/>
          <w:kern w:val="2"/>
          <w:sz w:val="32"/>
          <w:szCs w:val="22"/>
          <w:lang w:val="en-US" w:eastAsia="zh-CN" w:bidi="ar-SA"/>
        </w:rPr>
        <w:t>第四章 固定资产的日常管理</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第十一条</w:t>
      </w:r>
      <w:r>
        <w:rPr>
          <w:rFonts w:hint="eastAsia" w:cs="黑体"/>
          <w:szCs w:val="22"/>
          <w:lang w:val="en-US" w:eastAsia="zh-CN"/>
        </w:rPr>
        <w:t xml:space="preserve"> 固定资产的日常管理是指在日常行政工作或业务活动中对所需及占用的固定资产实施不间断的管理及核算，包括从编制固定资产预算、计划采购、验收入库、登记入账、领用发出到维修保养、处置等各个环节的实物管理和财务核算。</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第十二条</w:t>
      </w:r>
      <w:r>
        <w:rPr>
          <w:rFonts w:hint="eastAsia" w:cs="黑体"/>
          <w:szCs w:val="22"/>
          <w:lang w:val="en-US" w:eastAsia="zh-CN"/>
        </w:rPr>
        <w:t xml:space="preserve"> 在固定资产的日常管理中，财政管理岗负责固定资产的预算编制、价值核算，并对固定资产管理进行监督检查；综合协调岗负责固定资产的计划采购、验收入库、登记保管、领用发出、维修保养、调拨处置等具体管理，并负责分类进行实物量核算，建立固定资产总台账，在资产编号上应与固定资产卡片相对应，且固定资产台账和卡片均应定期或不定期复核，保证信息的真实和完整；使用岗位负责合理、有效使用和日常维护管理，杜绝浪费，并指定专人负责办理本岗位固定资产的定期清点工作，各使用岗位应根据本岗位固定资产的领用情况建立本岗位的固定资产台账，详细记录固定资产名称、规格、编号、领用时间等，并定期与综合协调岗进行核对。</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第十三条</w:t>
      </w:r>
      <w:r>
        <w:rPr>
          <w:rFonts w:hint="eastAsia" w:cs="黑体"/>
          <w:szCs w:val="22"/>
          <w:lang w:val="en-US" w:eastAsia="zh-CN"/>
        </w:rPr>
        <w:t xml:space="preserve"> 固定资产预算及购置计划既要从实际需要出发又要注意节约，要根据各类资产的配备情况及使用标准合理配置，充分利用现有固定资产，防止积压浪费。</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第十四条</w:t>
      </w:r>
      <w:r>
        <w:rPr>
          <w:rFonts w:hint="eastAsia" w:cs="黑体"/>
          <w:szCs w:val="22"/>
          <w:lang w:val="en-US" w:eastAsia="zh-CN"/>
        </w:rPr>
        <w:t xml:space="preserve"> 当固定资产使用人、存放地点等信息发生变动时，由资产使用岗位填写《大坪街道固定资产内部调剂使用申请表》（附件3），分别经岗位负责人、综合协调岗、资产管理B岗领导审批同意后，使用岗位、综合协调岗及时更新资产台账信息，财政管理岗同步更新资产账务系统信息。</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第十五条</w:t>
      </w:r>
      <w:r>
        <w:rPr>
          <w:rFonts w:hint="eastAsia" w:cs="黑体"/>
          <w:szCs w:val="22"/>
          <w:lang w:val="en-US" w:eastAsia="zh-CN"/>
        </w:rPr>
        <w:t xml:space="preserve"> 凡工作人员调离及退休时，必须清退其个人使用的固定资产。在固定资产清查和清退过程中，发现毁损或丢失现象应查明原因，如系管理不善或其他人为因素造成的，严肃追究当事人责任，并视其情节轻重，由当事人进行赔偿。</w:t>
      </w:r>
    </w:p>
    <w:p>
      <w:pPr>
        <w:bidi w:val="0"/>
        <w:spacing w:line="594" w:lineRule="exact"/>
        <w:ind w:firstLine="640" w:firstLineChars="200"/>
        <w:rPr>
          <w:rFonts w:hint="eastAsia" w:cs="黑体"/>
          <w:szCs w:val="22"/>
          <w:lang w:val="en-US" w:eastAsia="zh-CN"/>
        </w:rPr>
      </w:pPr>
      <w:r>
        <w:rPr>
          <w:rStyle w:val="17"/>
          <w:rFonts w:hint="eastAsia" w:ascii="Times New Roman" w:hAnsi="Times New Roman" w:eastAsia="方正楷体_GBK" w:cs="黑体"/>
          <w:b w:val="0"/>
          <w:kern w:val="2"/>
          <w:sz w:val="32"/>
          <w:szCs w:val="22"/>
          <w:lang w:val="en-US" w:eastAsia="zh-CN"/>
        </w:rPr>
        <w:t>第十六条</w:t>
      </w:r>
      <w:r>
        <w:rPr>
          <w:rFonts w:hint="eastAsia" w:cs="黑体"/>
          <w:szCs w:val="22"/>
          <w:lang w:val="en-US" w:eastAsia="zh-CN"/>
        </w:rPr>
        <w:t xml:space="preserve"> 综合协调岗应每年对街道的固定资产进行一次全面清查盘点，查明固定资产的实有数与账面结存数是否相符，固定资产的保管、使用、维修等情况是否正常。对清查盘点中发现的问题，应查明原因，说明情况，编制有关固定资产盘盈盘亏表，按管理权限报经区财政局批准后，调整固定资产账目。</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黑体_GBK" w:cs="黑体"/>
          <w:b w:val="0"/>
          <w:kern w:val="2"/>
          <w:sz w:val="32"/>
          <w:szCs w:val="22"/>
          <w:lang w:val="en-US" w:eastAsia="zh-CN" w:bidi="ar-SA"/>
        </w:rPr>
      </w:pPr>
      <w:bookmarkStart w:id="7" w:name="_Toc22903"/>
      <w:bookmarkStart w:id="8" w:name="_Toc419289513"/>
      <w:r>
        <w:rPr>
          <w:rFonts w:hint="eastAsia" w:ascii="Times New Roman" w:hAnsi="Times New Roman" w:eastAsia="方正黑体_GBK" w:cs="黑体"/>
          <w:b w:val="0"/>
          <w:kern w:val="2"/>
          <w:sz w:val="32"/>
          <w:szCs w:val="22"/>
          <w:lang w:val="en-US" w:eastAsia="zh-CN" w:bidi="ar-SA"/>
        </w:rPr>
        <w:t>第五章 固定资产的使用及维修</w:t>
      </w:r>
      <w:bookmarkEnd w:id="7"/>
      <w:bookmarkEnd w:id="8"/>
    </w:p>
    <w:p>
      <w:pPr>
        <w:bidi w:val="0"/>
        <w:spacing w:line="594" w:lineRule="exact"/>
        <w:ind w:firstLine="640" w:firstLineChars="200"/>
        <w:rPr>
          <w:rFonts w:cs="黑体"/>
          <w:szCs w:val="22"/>
        </w:rPr>
      </w:pPr>
      <w:r>
        <w:rPr>
          <w:rStyle w:val="17"/>
          <w:rFonts w:hint="eastAsia" w:ascii="Times New Roman" w:hAnsi="Times New Roman" w:eastAsia="方正楷体_GBK" w:cs="黑体"/>
          <w:b w:val="0"/>
          <w:kern w:val="2"/>
          <w:sz w:val="32"/>
          <w:szCs w:val="22"/>
          <w:lang w:val="en-US" w:eastAsia="zh-CN"/>
        </w:rPr>
        <w:t>第十七条</w:t>
      </w:r>
      <w:r>
        <w:rPr>
          <w:rFonts w:hint="eastAsia" w:cs="黑体"/>
          <w:szCs w:val="22"/>
          <w:lang w:val="en-US" w:eastAsia="zh-CN"/>
        </w:rPr>
        <w:t xml:space="preserve"> </w:t>
      </w:r>
      <w:r>
        <w:rPr>
          <w:rFonts w:hint="eastAsia" w:cs="黑体"/>
          <w:szCs w:val="22"/>
        </w:rPr>
        <w:t>固定资产遵循“谁使用谁负责”的原则，</w:t>
      </w:r>
      <w:r>
        <w:rPr>
          <w:rFonts w:hint="eastAsia" w:cs="黑体"/>
          <w:szCs w:val="22"/>
          <w:lang w:eastAsia="zh-CN"/>
        </w:rPr>
        <w:t>街道</w:t>
      </w:r>
      <w:r>
        <w:rPr>
          <w:rFonts w:hint="eastAsia" w:cs="黑体"/>
          <w:szCs w:val="22"/>
        </w:rPr>
        <w:t>公用的资产（如复印机）、会议室内设备由</w:t>
      </w:r>
      <w:r>
        <w:rPr>
          <w:rFonts w:hint="eastAsia" w:cs="黑体"/>
          <w:szCs w:val="22"/>
          <w:lang w:val="en-US" w:eastAsia="zh-CN"/>
        </w:rPr>
        <w:t>综合协调岗</w:t>
      </w:r>
      <w:r>
        <w:rPr>
          <w:rFonts w:hint="eastAsia" w:cs="黑体"/>
          <w:szCs w:val="22"/>
        </w:rPr>
        <w:t>指定专人负责管理；</w:t>
      </w:r>
      <w:r>
        <w:rPr>
          <w:rFonts w:hint="eastAsia" w:cs="黑体"/>
          <w:szCs w:val="22"/>
          <w:lang w:eastAsia="zh-CN"/>
        </w:rPr>
        <w:t>岗位</w:t>
      </w:r>
      <w:r>
        <w:rPr>
          <w:rFonts w:hint="eastAsia" w:cs="黑体"/>
          <w:szCs w:val="22"/>
        </w:rPr>
        <w:t>内部公用的资产由各</w:t>
      </w:r>
      <w:r>
        <w:rPr>
          <w:rFonts w:hint="eastAsia" w:cs="黑体"/>
          <w:szCs w:val="22"/>
          <w:lang w:eastAsia="zh-CN"/>
        </w:rPr>
        <w:t>岗位</w:t>
      </w:r>
      <w:r>
        <w:rPr>
          <w:rFonts w:hint="eastAsia" w:cs="黑体"/>
          <w:szCs w:val="22"/>
        </w:rPr>
        <w:t>指定专人负责管理。</w:t>
      </w:r>
    </w:p>
    <w:p>
      <w:pPr>
        <w:bidi w:val="0"/>
        <w:spacing w:line="594" w:lineRule="exact"/>
        <w:ind w:firstLine="640" w:firstLineChars="200"/>
        <w:rPr>
          <w:rFonts w:cs="黑体"/>
          <w:szCs w:val="22"/>
        </w:rPr>
      </w:pPr>
      <w:r>
        <w:rPr>
          <w:rStyle w:val="17"/>
          <w:rFonts w:hint="eastAsia" w:ascii="Times New Roman" w:hAnsi="Times New Roman" w:eastAsia="方正楷体_GBK" w:cs="黑体"/>
          <w:b w:val="0"/>
          <w:kern w:val="2"/>
          <w:sz w:val="32"/>
          <w:szCs w:val="22"/>
          <w:lang w:val="en-US" w:eastAsia="zh-CN"/>
        </w:rPr>
        <w:t xml:space="preserve">第十八条 </w:t>
      </w:r>
      <w:r>
        <w:rPr>
          <w:rFonts w:hint="eastAsia" w:eastAsia="方正仿宋_GBK" w:cs="黑体"/>
          <w:szCs w:val="22"/>
          <w:lang w:val="en-US" w:eastAsia="zh-CN"/>
        </w:rPr>
        <w:t>综合协调岗</w:t>
      </w:r>
      <w:r>
        <w:rPr>
          <w:rFonts w:hint="eastAsia" w:cs="黑体"/>
          <w:szCs w:val="22"/>
        </w:rPr>
        <w:t>对固定资产的保管、使用情况进行检查、监督，指导使用者严格按规定程序使用、维护、保养固定资产。</w:t>
      </w:r>
    </w:p>
    <w:p>
      <w:pPr>
        <w:bidi w:val="0"/>
        <w:spacing w:line="594" w:lineRule="exact"/>
        <w:ind w:firstLine="640" w:firstLineChars="200"/>
        <w:rPr>
          <w:rFonts w:cs="黑体"/>
          <w:szCs w:val="22"/>
        </w:rPr>
      </w:pPr>
      <w:r>
        <w:rPr>
          <w:rStyle w:val="17"/>
          <w:rFonts w:hint="eastAsia" w:ascii="Times New Roman" w:hAnsi="Times New Roman" w:eastAsia="方正楷体_GBK" w:cs="黑体"/>
          <w:b w:val="0"/>
          <w:kern w:val="2"/>
          <w:sz w:val="32"/>
          <w:szCs w:val="22"/>
          <w:lang w:val="en-US" w:eastAsia="zh-CN"/>
        </w:rPr>
        <w:t xml:space="preserve">第十九条 </w:t>
      </w:r>
      <w:r>
        <w:rPr>
          <w:rFonts w:hint="eastAsia" w:cs="黑体"/>
          <w:szCs w:val="22"/>
        </w:rPr>
        <w:t>资产使用</w:t>
      </w:r>
      <w:r>
        <w:rPr>
          <w:rFonts w:hint="eastAsia" w:cs="黑体"/>
          <w:szCs w:val="22"/>
          <w:lang w:val="en-US" w:eastAsia="zh-CN"/>
        </w:rPr>
        <w:t>岗位</w:t>
      </w:r>
      <w:r>
        <w:rPr>
          <w:rFonts w:hint="eastAsia" w:cs="黑体"/>
          <w:szCs w:val="22"/>
        </w:rPr>
        <w:t>需对设备作正常使用操作，如遇到使用上的疑问可向</w:t>
      </w:r>
      <w:r>
        <w:rPr>
          <w:rFonts w:hint="eastAsia" w:cs="黑体"/>
          <w:szCs w:val="22"/>
          <w:lang w:val="en-US" w:eastAsia="zh-CN"/>
        </w:rPr>
        <w:t>综合协调岗</w:t>
      </w:r>
      <w:r>
        <w:rPr>
          <w:rFonts w:hint="eastAsia" w:cs="黑体"/>
          <w:szCs w:val="22"/>
        </w:rPr>
        <w:t>进行咨询，以免因违规操作造成资产的损坏。</w:t>
      </w:r>
    </w:p>
    <w:p>
      <w:pPr>
        <w:bidi w:val="0"/>
        <w:spacing w:line="594" w:lineRule="exact"/>
        <w:ind w:firstLine="640" w:firstLineChars="200"/>
        <w:rPr>
          <w:rFonts w:cs="黑体"/>
          <w:szCs w:val="22"/>
        </w:rPr>
      </w:pPr>
      <w:r>
        <w:rPr>
          <w:rStyle w:val="17"/>
          <w:rFonts w:hint="eastAsia" w:ascii="Times New Roman" w:hAnsi="Times New Roman" w:eastAsia="方正楷体_GBK" w:cs="黑体"/>
          <w:b w:val="0"/>
          <w:kern w:val="2"/>
          <w:sz w:val="32"/>
          <w:szCs w:val="22"/>
          <w:lang w:val="en-US" w:eastAsia="zh-CN"/>
        </w:rPr>
        <w:t xml:space="preserve">第二十条 </w:t>
      </w:r>
      <w:r>
        <w:rPr>
          <w:rFonts w:hint="eastAsia" w:cs="黑体"/>
          <w:szCs w:val="22"/>
        </w:rPr>
        <w:t>对于电子办公设备，为保持其正常运转，增加使用寿命，设备应水平摆放，不要随意搬动，不要在设备上叠放过重物品，并须注意远离水源和热源，尽量做到防尘、避光和通风。</w:t>
      </w:r>
    </w:p>
    <w:p>
      <w:pPr>
        <w:bidi w:val="0"/>
        <w:spacing w:line="594" w:lineRule="exact"/>
        <w:ind w:firstLine="640" w:firstLineChars="200"/>
        <w:rPr>
          <w:rFonts w:cs="黑体"/>
          <w:szCs w:val="22"/>
        </w:rPr>
      </w:pPr>
      <w:r>
        <w:rPr>
          <w:rStyle w:val="17"/>
          <w:rFonts w:hint="eastAsia" w:ascii="Times New Roman" w:hAnsi="Times New Roman" w:eastAsia="方正楷体_GBK" w:cs="黑体"/>
          <w:b w:val="0"/>
          <w:kern w:val="2"/>
          <w:sz w:val="32"/>
          <w:szCs w:val="22"/>
          <w:lang w:val="en-US" w:eastAsia="zh-CN"/>
        </w:rPr>
        <w:t xml:space="preserve">第二十一条 </w:t>
      </w:r>
      <w:r>
        <w:rPr>
          <w:rFonts w:hint="eastAsia" w:cs="黑体"/>
          <w:szCs w:val="22"/>
        </w:rPr>
        <w:t>使用</w:t>
      </w:r>
      <w:r>
        <w:rPr>
          <w:rFonts w:hint="eastAsia" w:cs="黑体"/>
          <w:szCs w:val="22"/>
          <w:lang w:val="en-US" w:eastAsia="zh-CN"/>
        </w:rPr>
        <w:t>岗位</w:t>
      </w:r>
      <w:r>
        <w:rPr>
          <w:rFonts w:hint="eastAsia" w:cs="黑体"/>
          <w:szCs w:val="22"/>
        </w:rPr>
        <w:t>对电子办公设备有日常清洁、管理、维护的责任，使用须按照技术规范的要求操作，下班后及时关闭设备电源。</w:t>
      </w:r>
    </w:p>
    <w:p>
      <w:pPr>
        <w:bidi w:val="0"/>
        <w:spacing w:line="594" w:lineRule="exact"/>
        <w:ind w:firstLine="640" w:firstLineChars="200"/>
        <w:rPr>
          <w:rFonts w:cs="黑体"/>
          <w:szCs w:val="22"/>
        </w:rPr>
      </w:pPr>
      <w:r>
        <w:rPr>
          <w:rStyle w:val="17"/>
          <w:rFonts w:hint="eastAsia" w:ascii="Times New Roman" w:hAnsi="Times New Roman" w:eastAsia="方正楷体_GBK" w:cs="黑体"/>
          <w:b w:val="0"/>
          <w:kern w:val="2"/>
          <w:sz w:val="32"/>
          <w:szCs w:val="22"/>
          <w:lang w:val="en-US" w:eastAsia="zh-CN"/>
        </w:rPr>
        <w:t xml:space="preserve">第二十二条 </w:t>
      </w:r>
      <w:r>
        <w:rPr>
          <w:rFonts w:hint="eastAsia" w:cs="黑体"/>
          <w:szCs w:val="22"/>
        </w:rPr>
        <w:t>设备出现故障时，使用</w:t>
      </w:r>
      <w:r>
        <w:rPr>
          <w:rFonts w:hint="eastAsia" w:cs="黑体"/>
          <w:szCs w:val="22"/>
          <w:lang w:val="en-US" w:eastAsia="zh-CN"/>
        </w:rPr>
        <w:t>岗位</w:t>
      </w:r>
      <w:r>
        <w:rPr>
          <w:rFonts w:hint="eastAsia" w:cs="黑体"/>
          <w:szCs w:val="22"/>
        </w:rPr>
        <w:t>应及时向</w:t>
      </w:r>
      <w:r>
        <w:rPr>
          <w:rFonts w:hint="eastAsia" w:cs="黑体"/>
          <w:szCs w:val="22"/>
          <w:lang w:val="en-US" w:eastAsia="zh-CN"/>
        </w:rPr>
        <w:t>综合协调岗</w:t>
      </w:r>
      <w:r>
        <w:rPr>
          <w:rFonts w:hint="eastAsia" w:cs="黑体"/>
          <w:szCs w:val="22"/>
        </w:rPr>
        <w:t>报修，由</w:t>
      </w:r>
      <w:r>
        <w:rPr>
          <w:rFonts w:hint="eastAsia" w:cs="黑体"/>
          <w:szCs w:val="22"/>
          <w:lang w:val="en-US" w:eastAsia="zh-CN"/>
        </w:rPr>
        <w:t>综合协调岗</w:t>
      </w:r>
      <w:r>
        <w:rPr>
          <w:rFonts w:hint="eastAsia" w:cs="黑体"/>
          <w:szCs w:val="22"/>
        </w:rPr>
        <w:t>安排专业人员进行维修，任何人不得私自拆卸，以免造成设备损坏。由于私自拆卸设备及操作失误等人为原因造成设备损坏的，按损失程度，追究使用人赔偿责任。</w:t>
      </w:r>
    </w:p>
    <w:p>
      <w:pPr>
        <w:bidi w:val="0"/>
        <w:spacing w:line="594" w:lineRule="exact"/>
        <w:ind w:firstLine="640" w:firstLineChars="200"/>
        <w:rPr>
          <w:rFonts w:cs="黑体"/>
          <w:szCs w:val="22"/>
        </w:rPr>
      </w:pPr>
      <w:r>
        <w:rPr>
          <w:rStyle w:val="17"/>
          <w:rFonts w:hint="eastAsia" w:ascii="Times New Roman" w:hAnsi="Times New Roman" w:eastAsia="方正楷体_GBK" w:cs="黑体"/>
          <w:b w:val="0"/>
          <w:kern w:val="2"/>
          <w:sz w:val="32"/>
          <w:szCs w:val="22"/>
          <w:lang w:val="en-US" w:eastAsia="zh-CN"/>
        </w:rPr>
        <w:t xml:space="preserve">第二十三条 </w:t>
      </w:r>
      <w:r>
        <w:rPr>
          <w:rFonts w:hint="eastAsia" w:cs="黑体"/>
          <w:szCs w:val="22"/>
        </w:rPr>
        <w:t>处于保修期内的设备，由该设备的供货商进行保修。超过保修期的设备，日常运行维护由</w:t>
      </w:r>
      <w:r>
        <w:rPr>
          <w:rFonts w:hint="eastAsia" w:cs="黑体"/>
          <w:szCs w:val="22"/>
          <w:lang w:val="en-US" w:eastAsia="zh-CN"/>
        </w:rPr>
        <w:t>综合协调岗</w:t>
      </w:r>
      <w:r>
        <w:rPr>
          <w:rFonts w:hint="eastAsia" w:cs="黑体"/>
          <w:szCs w:val="22"/>
        </w:rPr>
        <w:t>委托专业公司负责，并按照委托合同对其服务质量进行监管。</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Chars="0"/>
        <w:jc w:val="center"/>
        <w:textAlignment w:val="auto"/>
        <w:outlineLvl w:val="2"/>
        <w:rPr>
          <w:rFonts w:eastAsia="黑体"/>
          <w:b/>
          <w:bCs/>
          <w:color w:val="auto"/>
          <w:sz w:val="30"/>
          <w:szCs w:val="30"/>
        </w:rPr>
      </w:pPr>
      <w:r>
        <w:rPr>
          <w:rFonts w:hint="eastAsia" w:ascii="Times New Roman" w:hAnsi="Times New Roman" w:eastAsia="方正黑体_GBK" w:cs="黑体"/>
          <w:b w:val="0"/>
          <w:kern w:val="2"/>
          <w:sz w:val="32"/>
          <w:szCs w:val="22"/>
          <w:lang w:val="en-US" w:eastAsia="zh-CN" w:bidi="ar-SA"/>
        </w:rPr>
        <w:t>第</w:t>
      </w:r>
      <w:r>
        <w:rPr>
          <w:rFonts w:hint="eastAsia" w:eastAsia="方正黑体_GBK" w:cs="黑体"/>
          <w:b w:val="0"/>
          <w:kern w:val="2"/>
          <w:sz w:val="32"/>
          <w:szCs w:val="22"/>
          <w:lang w:val="en-US" w:eastAsia="zh-CN" w:bidi="ar-SA"/>
        </w:rPr>
        <w:t>六</w:t>
      </w:r>
      <w:r>
        <w:rPr>
          <w:rFonts w:hint="eastAsia" w:ascii="Times New Roman" w:hAnsi="Times New Roman" w:eastAsia="方正黑体_GBK" w:cs="黑体"/>
          <w:b w:val="0"/>
          <w:kern w:val="2"/>
          <w:sz w:val="32"/>
          <w:szCs w:val="22"/>
          <w:lang w:val="en-US" w:eastAsia="zh-CN" w:bidi="ar-SA"/>
        </w:rPr>
        <w:t>章 固定资产的处置</w:t>
      </w:r>
    </w:p>
    <w:p>
      <w:pPr>
        <w:bidi w:val="0"/>
        <w:spacing w:line="594" w:lineRule="exact"/>
        <w:ind w:firstLine="640" w:firstLineChars="200"/>
        <w:rPr>
          <w:rFonts w:cs="黑体"/>
          <w:szCs w:val="22"/>
        </w:rPr>
      </w:pPr>
      <w:r>
        <w:rPr>
          <w:rStyle w:val="17"/>
          <w:rFonts w:hint="eastAsia" w:ascii="Calibri" w:hAnsi="Calibri" w:eastAsia="方正楷体_GBK" w:cs="Times New Roman"/>
          <w:b w:val="0"/>
          <w:kern w:val="2"/>
          <w:sz w:val="32"/>
          <w:szCs w:val="22"/>
          <w:lang w:val="en-US" w:eastAsia="zh-CN"/>
        </w:rPr>
        <w:t>第二十四条</w:t>
      </w:r>
      <w:r>
        <w:rPr>
          <w:rFonts w:hint="eastAsia" w:cs="黑体"/>
          <w:szCs w:val="22"/>
          <w:lang w:val="en-US" w:eastAsia="zh-CN"/>
        </w:rPr>
        <w:t xml:space="preserve"> </w:t>
      </w:r>
      <w:r>
        <w:rPr>
          <w:rFonts w:hint="eastAsia" w:cs="黑体"/>
          <w:szCs w:val="22"/>
        </w:rPr>
        <w:t>固定资产处置，是指</w:t>
      </w:r>
      <w:r>
        <w:rPr>
          <w:rFonts w:hint="eastAsia" w:cs="黑体"/>
          <w:szCs w:val="22"/>
          <w:lang w:eastAsia="zh-CN"/>
        </w:rPr>
        <w:t>街道</w:t>
      </w:r>
      <w:r>
        <w:rPr>
          <w:rFonts w:hint="eastAsia" w:cs="黑体"/>
          <w:szCs w:val="22"/>
        </w:rPr>
        <w:t>根据工作需要对其占有、使用的</w:t>
      </w:r>
      <w:r>
        <w:rPr>
          <w:rFonts w:hint="eastAsia" w:cs="黑体"/>
          <w:szCs w:val="22"/>
          <w:lang w:val="en-US" w:eastAsia="zh-CN"/>
        </w:rPr>
        <w:t>固定</w:t>
      </w:r>
      <w:r>
        <w:rPr>
          <w:rFonts w:hint="eastAsia" w:cs="黑体"/>
          <w:szCs w:val="22"/>
        </w:rPr>
        <w:t>资产进行产权转让或者注销产权的行为，包括调拨、捐赠、置换、出售、报废、报损等。</w:t>
      </w:r>
    </w:p>
    <w:p>
      <w:pPr>
        <w:bidi w:val="0"/>
        <w:spacing w:line="594" w:lineRule="exact"/>
        <w:ind w:firstLine="640" w:firstLineChars="200"/>
        <w:rPr>
          <w:rFonts w:cs="黑体"/>
          <w:szCs w:val="22"/>
        </w:rPr>
      </w:pPr>
      <w:r>
        <w:rPr>
          <w:rFonts w:hint="eastAsia" w:cs="黑体"/>
          <w:szCs w:val="22"/>
          <w:lang w:eastAsia="zh-CN"/>
        </w:rPr>
        <w:t>（</w:t>
      </w:r>
      <w:r>
        <w:rPr>
          <w:rFonts w:hint="eastAsia" w:cs="黑体"/>
          <w:szCs w:val="22"/>
          <w:lang w:val="en-US" w:eastAsia="zh-CN"/>
        </w:rPr>
        <w:t>一</w:t>
      </w:r>
      <w:r>
        <w:rPr>
          <w:rFonts w:hint="eastAsia" w:cs="黑体"/>
          <w:szCs w:val="22"/>
          <w:lang w:eastAsia="zh-CN"/>
        </w:rPr>
        <w:t>）</w:t>
      </w:r>
      <w:r>
        <w:rPr>
          <w:rFonts w:hint="eastAsia" w:cs="黑体"/>
          <w:szCs w:val="22"/>
        </w:rPr>
        <w:t>调拨，是指行政事业单位之间以无偿转让的方式变更资产占有、使用权的一种资产处置形式。</w:t>
      </w:r>
    </w:p>
    <w:p>
      <w:pPr>
        <w:bidi w:val="0"/>
        <w:spacing w:line="594" w:lineRule="exact"/>
        <w:ind w:firstLine="640" w:firstLineChars="200"/>
        <w:rPr>
          <w:rFonts w:cs="黑体"/>
          <w:szCs w:val="22"/>
        </w:rPr>
      </w:pPr>
      <w:r>
        <w:rPr>
          <w:rFonts w:hint="eastAsia" w:cs="黑体"/>
          <w:szCs w:val="22"/>
          <w:lang w:eastAsia="zh-CN"/>
        </w:rPr>
        <w:t>（</w:t>
      </w:r>
      <w:r>
        <w:rPr>
          <w:rFonts w:hint="eastAsia" w:cs="黑体"/>
          <w:szCs w:val="22"/>
          <w:lang w:val="en-US" w:eastAsia="zh-CN"/>
        </w:rPr>
        <w:t>二</w:t>
      </w:r>
      <w:r>
        <w:rPr>
          <w:rFonts w:hint="eastAsia" w:cs="黑体"/>
          <w:szCs w:val="22"/>
          <w:lang w:eastAsia="zh-CN"/>
        </w:rPr>
        <w:t>）</w:t>
      </w:r>
      <w:r>
        <w:rPr>
          <w:rFonts w:hint="eastAsia" w:cs="黑体"/>
          <w:szCs w:val="22"/>
        </w:rPr>
        <w:t>捐赠，是指向非盈利公益性组织以无偿转让方式变更资产占有、使用权的一种资产处置形式。</w:t>
      </w:r>
    </w:p>
    <w:p>
      <w:pPr>
        <w:bidi w:val="0"/>
        <w:spacing w:line="594" w:lineRule="exact"/>
        <w:ind w:firstLine="640" w:firstLineChars="200"/>
        <w:rPr>
          <w:rFonts w:cs="黑体"/>
          <w:szCs w:val="22"/>
        </w:rPr>
      </w:pPr>
      <w:r>
        <w:rPr>
          <w:rFonts w:hint="eastAsia" w:cs="黑体"/>
          <w:szCs w:val="22"/>
          <w:lang w:eastAsia="zh-CN"/>
        </w:rPr>
        <w:t>（</w:t>
      </w:r>
      <w:r>
        <w:rPr>
          <w:rFonts w:hint="eastAsia" w:cs="黑体"/>
          <w:szCs w:val="22"/>
          <w:lang w:val="en-US" w:eastAsia="zh-CN"/>
        </w:rPr>
        <w:t>三</w:t>
      </w:r>
      <w:r>
        <w:rPr>
          <w:rFonts w:hint="eastAsia" w:cs="黑体"/>
          <w:szCs w:val="22"/>
          <w:lang w:eastAsia="zh-CN"/>
        </w:rPr>
        <w:t>）</w:t>
      </w:r>
      <w:r>
        <w:rPr>
          <w:rFonts w:hint="eastAsia" w:cs="黑体"/>
          <w:szCs w:val="22"/>
        </w:rPr>
        <w:t>置换，是指以非货币性交易的方式变更资产的所有权或占有、使用权的一种资产处置形式。</w:t>
      </w:r>
    </w:p>
    <w:p>
      <w:pPr>
        <w:bidi w:val="0"/>
        <w:spacing w:line="594" w:lineRule="exact"/>
        <w:ind w:firstLine="640" w:firstLineChars="200"/>
        <w:rPr>
          <w:rFonts w:cs="黑体"/>
          <w:szCs w:val="22"/>
        </w:rPr>
      </w:pPr>
      <w:r>
        <w:rPr>
          <w:rFonts w:hint="eastAsia" w:cs="黑体"/>
          <w:szCs w:val="22"/>
          <w:lang w:eastAsia="zh-CN"/>
        </w:rPr>
        <w:t>（</w:t>
      </w:r>
      <w:r>
        <w:rPr>
          <w:rFonts w:hint="eastAsia" w:cs="黑体"/>
          <w:szCs w:val="22"/>
          <w:lang w:val="en-US" w:eastAsia="zh-CN"/>
        </w:rPr>
        <w:t>四</w:t>
      </w:r>
      <w:r>
        <w:rPr>
          <w:rFonts w:hint="eastAsia" w:cs="黑体"/>
          <w:szCs w:val="22"/>
          <w:lang w:eastAsia="zh-CN"/>
        </w:rPr>
        <w:t>）</w:t>
      </w:r>
      <w:r>
        <w:rPr>
          <w:rFonts w:hint="eastAsia" w:cs="黑体"/>
          <w:szCs w:val="22"/>
        </w:rPr>
        <w:t>出售，是指以有偿转让的方式变更资产所有权或占有、使用权的一种资产处置形式。</w:t>
      </w:r>
    </w:p>
    <w:p>
      <w:pPr>
        <w:bidi w:val="0"/>
        <w:spacing w:line="594" w:lineRule="exact"/>
        <w:ind w:firstLine="640" w:firstLineChars="200"/>
        <w:rPr>
          <w:rFonts w:cs="黑体"/>
          <w:szCs w:val="22"/>
        </w:rPr>
      </w:pPr>
      <w:r>
        <w:rPr>
          <w:rFonts w:hint="eastAsia" w:cs="黑体"/>
          <w:szCs w:val="22"/>
          <w:lang w:eastAsia="zh-CN"/>
        </w:rPr>
        <w:t>（</w:t>
      </w:r>
      <w:r>
        <w:rPr>
          <w:rFonts w:hint="eastAsia" w:cs="黑体"/>
          <w:szCs w:val="22"/>
          <w:lang w:val="en-US" w:eastAsia="zh-CN"/>
        </w:rPr>
        <w:t>五</w:t>
      </w:r>
      <w:r>
        <w:rPr>
          <w:rFonts w:hint="eastAsia" w:cs="黑体"/>
          <w:szCs w:val="22"/>
          <w:lang w:eastAsia="zh-CN"/>
        </w:rPr>
        <w:t>）</w:t>
      </w:r>
      <w:r>
        <w:rPr>
          <w:rFonts w:hint="eastAsia" w:cs="黑体"/>
          <w:szCs w:val="22"/>
        </w:rPr>
        <w:t>报废，是指由于资产已达到使用年限和未达到使用年限而出现老化、损坏等问题，经科学鉴定或按有关规定，已不能继续使用，必须进行产权注销的一种资产处置形式。</w:t>
      </w:r>
    </w:p>
    <w:p>
      <w:pPr>
        <w:bidi w:val="0"/>
        <w:spacing w:line="594" w:lineRule="exact"/>
        <w:ind w:firstLine="640" w:firstLineChars="200"/>
        <w:rPr>
          <w:rFonts w:cs="黑体"/>
          <w:szCs w:val="22"/>
        </w:rPr>
      </w:pPr>
      <w:r>
        <w:rPr>
          <w:rFonts w:hint="eastAsia" w:cs="黑体"/>
          <w:szCs w:val="22"/>
          <w:lang w:eastAsia="zh-CN"/>
        </w:rPr>
        <w:t>（</w:t>
      </w:r>
      <w:r>
        <w:rPr>
          <w:rFonts w:hint="eastAsia" w:cs="黑体"/>
          <w:szCs w:val="22"/>
          <w:lang w:val="en-US" w:eastAsia="zh-CN"/>
        </w:rPr>
        <w:t>六</w:t>
      </w:r>
      <w:r>
        <w:rPr>
          <w:rFonts w:hint="eastAsia" w:cs="黑体"/>
          <w:szCs w:val="22"/>
          <w:lang w:eastAsia="zh-CN"/>
        </w:rPr>
        <w:t>）</w:t>
      </w:r>
      <w:r>
        <w:rPr>
          <w:rFonts w:hint="eastAsia" w:cs="黑体"/>
          <w:szCs w:val="22"/>
        </w:rPr>
        <w:t>报损，是指对资产发生呆账损失、非正常损失等，必须按有关规定进行产权注销的一种资产处置形式。</w:t>
      </w:r>
    </w:p>
    <w:p>
      <w:pPr>
        <w:bidi w:val="0"/>
        <w:spacing w:line="594" w:lineRule="exact"/>
        <w:ind w:firstLine="640" w:firstLineChars="200"/>
        <w:rPr>
          <w:rFonts w:hint="eastAsia" w:cs="黑体"/>
          <w:szCs w:val="22"/>
        </w:rPr>
      </w:pPr>
      <w:r>
        <w:rPr>
          <w:rStyle w:val="17"/>
          <w:rFonts w:hint="eastAsia" w:ascii="Calibri" w:hAnsi="Calibri" w:eastAsia="方正楷体_GBK" w:cs="Times New Roman"/>
          <w:b w:val="0"/>
          <w:kern w:val="2"/>
          <w:sz w:val="32"/>
          <w:szCs w:val="22"/>
          <w:lang w:val="en-US" w:eastAsia="zh-CN"/>
        </w:rPr>
        <w:t>第二十五条</w:t>
      </w:r>
      <w:r>
        <w:rPr>
          <w:rFonts w:hint="eastAsia" w:cs="黑体"/>
          <w:szCs w:val="22"/>
          <w:lang w:val="en-US" w:eastAsia="zh-CN"/>
        </w:rPr>
        <w:t xml:space="preserve"> 处置</w:t>
      </w:r>
      <w:r>
        <w:rPr>
          <w:rFonts w:hint="eastAsia" w:cs="黑体"/>
          <w:szCs w:val="22"/>
        </w:rPr>
        <w:t>固定资产，由资产使用岗位（社区）提交书面处置申请，由综合协调岗组织人员进行鉴定，经</w:t>
      </w:r>
      <w:r>
        <w:rPr>
          <w:rFonts w:hint="eastAsia" w:cs="黑体"/>
          <w:szCs w:val="22"/>
          <w:lang w:val="en-US" w:eastAsia="zh-CN"/>
        </w:rPr>
        <w:t>资产管理B岗</w:t>
      </w:r>
      <w:r>
        <w:rPr>
          <w:rFonts w:hint="eastAsia" w:cs="黑体"/>
          <w:szCs w:val="22"/>
        </w:rPr>
        <w:t>领导审核，报主要领导同意后，呈党政联席会议或党工委会议审议</w:t>
      </w:r>
      <w:r>
        <w:rPr>
          <w:rFonts w:hint="eastAsia" w:cs="黑体"/>
          <w:szCs w:val="22"/>
          <w:lang w:eastAsia="zh-CN"/>
        </w:rPr>
        <w:t>，</w:t>
      </w:r>
      <w:r>
        <w:rPr>
          <w:rFonts w:hint="eastAsia" w:cs="黑体"/>
          <w:szCs w:val="22"/>
          <w:lang w:val="en-US" w:eastAsia="zh-CN"/>
        </w:rPr>
        <w:t>经会议审议通过后，</w:t>
      </w:r>
      <w:r>
        <w:rPr>
          <w:rFonts w:hint="eastAsia" w:cs="黑体"/>
          <w:szCs w:val="22"/>
        </w:rPr>
        <w:t>按照规定报送区</w:t>
      </w:r>
      <w:r>
        <w:rPr>
          <w:rFonts w:hint="eastAsia" w:cs="黑体"/>
          <w:szCs w:val="22"/>
          <w:lang w:val="en-US" w:eastAsia="zh-CN"/>
        </w:rPr>
        <w:t>财政局</w:t>
      </w:r>
      <w:r>
        <w:rPr>
          <w:rFonts w:hint="eastAsia" w:cs="黑体"/>
          <w:szCs w:val="22"/>
          <w:lang w:eastAsia="zh-CN"/>
        </w:rPr>
        <w:t>，</w:t>
      </w:r>
      <w:r>
        <w:rPr>
          <w:rFonts w:hint="eastAsia" w:cs="黑体"/>
          <w:szCs w:val="22"/>
        </w:rPr>
        <w:t>经区财政</w:t>
      </w:r>
      <w:r>
        <w:rPr>
          <w:rFonts w:hint="eastAsia" w:cs="黑体"/>
          <w:szCs w:val="22"/>
          <w:lang w:val="en-US" w:eastAsia="zh-CN"/>
        </w:rPr>
        <w:t>局</w:t>
      </w:r>
      <w:r>
        <w:rPr>
          <w:rFonts w:hint="eastAsia" w:cs="黑体"/>
          <w:szCs w:val="22"/>
        </w:rPr>
        <w:t>批复后，</w:t>
      </w:r>
      <w:r>
        <w:rPr>
          <w:rFonts w:hint="eastAsia" w:cs="黑体"/>
          <w:szCs w:val="22"/>
          <w:lang w:val="en-US" w:eastAsia="zh-CN"/>
        </w:rPr>
        <w:t>综合协调岗</w:t>
      </w:r>
      <w:r>
        <w:rPr>
          <w:rFonts w:hint="eastAsia" w:cs="黑体"/>
          <w:szCs w:val="22"/>
        </w:rPr>
        <w:t>按照批准的方式，对相应资产进行处置，</w:t>
      </w:r>
      <w:r>
        <w:rPr>
          <w:rFonts w:hint="eastAsia" w:cs="黑体"/>
          <w:szCs w:val="22"/>
          <w:lang w:val="en-US" w:eastAsia="zh-CN"/>
        </w:rPr>
        <w:t>财政管理岗</w:t>
      </w:r>
      <w:r>
        <w:rPr>
          <w:rFonts w:hint="eastAsia" w:cs="黑体"/>
          <w:szCs w:val="22"/>
        </w:rPr>
        <w:t>及时办理资产核销手续及账务处理。</w:t>
      </w:r>
    </w:p>
    <w:p>
      <w:pPr>
        <w:pStyle w:val="6"/>
        <w:keepNext w:val="0"/>
        <w:keepLines w:val="0"/>
        <w:pageBreakBefore w:val="0"/>
        <w:widowControl w:val="0"/>
        <w:kinsoku w:val="0"/>
        <w:wordWrap/>
        <w:overflowPunct/>
        <w:topLinePunct w:val="0"/>
        <w:autoSpaceDE w:val="0"/>
        <w:autoSpaceDN w:val="0"/>
        <w:bidi w:val="0"/>
        <w:adjustRightInd w:val="0"/>
        <w:snapToGrid w:val="0"/>
        <w:spacing w:line="594" w:lineRule="exact"/>
        <w:ind w:right="0" w:firstLine="0" w:firstLineChars="0"/>
        <w:jc w:val="center"/>
        <w:textAlignment w:val="baseline"/>
        <w:rPr>
          <w:rFonts w:hint="default" w:ascii="Times New Roman" w:hAnsi="Times New Roman" w:eastAsia="方正黑体_GBK" w:cs="Times New Roman"/>
          <w:spacing w:val="1"/>
          <w:sz w:val="32"/>
          <w:szCs w:val="32"/>
          <w:lang w:val="en-US" w:eastAsia="zh-CN"/>
        </w:rPr>
      </w:pPr>
      <w:r>
        <w:rPr>
          <w:rFonts w:hint="default" w:ascii="Times New Roman" w:hAnsi="Times New Roman" w:eastAsia="方正黑体_GBK" w:cs="Times New Roman"/>
          <w:spacing w:val="1"/>
          <w:sz w:val="32"/>
          <w:szCs w:val="32"/>
          <w:lang w:eastAsia="zh-CN"/>
        </w:rPr>
        <w:t>第</w:t>
      </w:r>
      <w:r>
        <w:rPr>
          <w:rFonts w:hint="eastAsia" w:ascii="Times New Roman" w:hAnsi="Times New Roman" w:eastAsia="方正黑体_GBK" w:cs="Times New Roman"/>
          <w:spacing w:val="1"/>
          <w:sz w:val="32"/>
          <w:szCs w:val="32"/>
          <w:lang w:val="en-US" w:eastAsia="zh-CN"/>
        </w:rPr>
        <w:t>七</w:t>
      </w:r>
      <w:r>
        <w:rPr>
          <w:rFonts w:hint="default" w:ascii="Times New Roman" w:hAnsi="Times New Roman" w:eastAsia="方正黑体_GBK" w:cs="Times New Roman"/>
          <w:spacing w:val="1"/>
          <w:sz w:val="32"/>
          <w:szCs w:val="32"/>
          <w:lang w:eastAsia="zh-CN"/>
        </w:rPr>
        <w:t>章</w:t>
      </w:r>
      <w:r>
        <w:rPr>
          <w:rFonts w:hint="default" w:ascii="Times New Roman" w:hAnsi="Times New Roman" w:eastAsia="方正黑体_GBK" w:cs="Times New Roman"/>
          <w:spacing w:val="1"/>
          <w:sz w:val="32"/>
          <w:szCs w:val="32"/>
          <w:lang w:val="en-US" w:eastAsia="zh-CN"/>
        </w:rPr>
        <w:t xml:space="preserve">  </w:t>
      </w:r>
      <w:r>
        <w:rPr>
          <w:rFonts w:hint="eastAsia" w:ascii="Times New Roman" w:hAnsi="Times New Roman" w:eastAsia="方正黑体_GBK" w:cs="Times New Roman"/>
          <w:spacing w:val="1"/>
          <w:sz w:val="32"/>
          <w:szCs w:val="32"/>
          <w:lang w:val="en-US" w:eastAsia="zh-CN"/>
        </w:rPr>
        <w:t>附  则</w:t>
      </w:r>
    </w:p>
    <w:p>
      <w:pPr>
        <w:pStyle w:val="6"/>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eastAsia" w:ascii="方正黑体_GBK" w:hAnsi="方正黑体_GBK" w:eastAsia="方正黑体_GBK" w:cs="方正黑体_GBK"/>
          <w:spacing w:val="1"/>
          <w:sz w:val="32"/>
          <w:szCs w:val="32"/>
          <w:lang w:val="en-US" w:eastAsia="zh-CN"/>
        </w:rPr>
      </w:pPr>
      <w:r>
        <w:rPr>
          <w:rStyle w:val="17"/>
          <w:rFonts w:hint="default" w:ascii="Times New Roman" w:hAnsi="Times New Roman" w:eastAsia="方正楷体_GBK" w:cs="Times New Roman"/>
          <w:b w:val="0"/>
          <w:snapToGrid/>
          <w:color w:val="auto"/>
          <w:kern w:val="2"/>
          <w:sz w:val="32"/>
          <w:szCs w:val="22"/>
          <w:lang w:val="en-US" w:eastAsia="zh-CN" w:bidi="ar-SA"/>
        </w:rPr>
        <w:t>第</w:t>
      </w:r>
      <w:r>
        <w:rPr>
          <w:rStyle w:val="17"/>
          <w:rFonts w:hint="eastAsia" w:ascii="Times New Roman" w:hAnsi="Times New Roman" w:eastAsia="方正楷体_GBK" w:cs="Times New Roman"/>
          <w:b w:val="0"/>
          <w:snapToGrid/>
          <w:color w:val="auto"/>
          <w:kern w:val="2"/>
          <w:sz w:val="32"/>
          <w:szCs w:val="22"/>
          <w:lang w:val="en-US" w:eastAsia="zh-CN" w:bidi="ar-SA"/>
        </w:rPr>
        <w:t>二十六</w:t>
      </w:r>
      <w:r>
        <w:rPr>
          <w:rStyle w:val="17"/>
          <w:rFonts w:hint="default" w:ascii="Times New Roman" w:hAnsi="Times New Roman" w:eastAsia="方正楷体_GBK" w:cs="Times New Roman"/>
          <w:b w:val="0"/>
          <w:snapToGrid/>
          <w:color w:val="auto"/>
          <w:kern w:val="2"/>
          <w:sz w:val="32"/>
          <w:szCs w:val="22"/>
          <w:lang w:val="en-US" w:eastAsia="zh-CN" w:bidi="ar-SA"/>
        </w:rPr>
        <w:t>条</w:t>
      </w:r>
      <w:r>
        <w:rPr>
          <w:rStyle w:val="17"/>
          <w:rFonts w:hint="default" w:ascii="Times New Roman" w:hAnsi="Times New Roman" w:eastAsia="方正楷体_GBK" w:cs="黑体"/>
          <w:b w:val="0"/>
          <w:kern w:val="2"/>
          <w:sz w:val="32"/>
          <w:szCs w:val="22"/>
          <w:lang w:val="en-US" w:eastAsia="zh-CN"/>
        </w:rPr>
        <w:t xml:space="preserve"> </w:t>
      </w:r>
      <w:r>
        <w:rPr>
          <w:rFonts w:hint="eastAsia" w:ascii="Times New Roman" w:hAnsi="Times New Roman" w:eastAsia="方正仿宋_GBK" w:cs="方正黑体_GBK"/>
          <w:spacing w:val="1"/>
          <w:sz w:val="32"/>
          <w:szCs w:val="32"/>
          <w:lang w:val="en-US" w:eastAsia="zh-CN"/>
        </w:rPr>
        <w:t>上级有新出台的规定，按上级规定执行。</w:t>
      </w:r>
    </w:p>
    <w:p>
      <w:pPr>
        <w:pStyle w:val="6"/>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eastAsia="方正仿宋_GBK" w:cs="Times New Roman"/>
          <w:sz w:val="32"/>
          <w:szCs w:val="32"/>
        </w:rPr>
      </w:pPr>
      <w:r>
        <w:rPr>
          <w:rStyle w:val="17"/>
          <w:rFonts w:hint="default" w:ascii="Times New Roman" w:hAnsi="Times New Roman" w:eastAsia="方正楷体_GBK" w:cs="Times New Roman"/>
          <w:b w:val="0"/>
          <w:snapToGrid/>
          <w:color w:val="auto"/>
          <w:kern w:val="2"/>
          <w:sz w:val="32"/>
          <w:szCs w:val="22"/>
          <w:lang w:val="en-US" w:eastAsia="zh-CN" w:bidi="ar-SA"/>
        </w:rPr>
        <w:t>第</w:t>
      </w:r>
      <w:r>
        <w:rPr>
          <w:rStyle w:val="17"/>
          <w:rFonts w:hint="eastAsia" w:ascii="Times New Roman" w:hAnsi="Times New Roman" w:eastAsia="方正楷体_GBK" w:cs="Times New Roman"/>
          <w:b w:val="0"/>
          <w:snapToGrid/>
          <w:color w:val="auto"/>
          <w:kern w:val="2"/>
          <w:sz w:val="32"/>
          <w:szCs w:val="22"/>
          <w:lang w:val="en-US" w:eastAsia="zh-CN" w:bidi="ar-SA"/>
        </w:rPr>
        <w:t>二十七</w:t>
      </w:r>
      <w:r>
        <w:rPr>
          <w:rStyle w:val="17"/>
          <w:rFonts w:hint="default" w:ascii="Times New Roman" w:hAnsi="Times New Roman" w:eastAsia="方正楷体_GBK" w:cs="Times New Roman"/>
          <w:b w:val="0"/>
          <w:snapToGrid/>
          <w:color w:val="auto"/>
          <w:kern w:val="2"/>
          <w:sz w:val="32"/>
          <w:szCs w:val="22"/>
          <w:lang w:val="en-US" w:eastAsia="zh-CN" w:bidi="ar-SA"/>
        </w:rPr>
        <w:t>条</w:t>
      </w:r>
      <w:r>
        <w:rPr>
          <w:rFonts w:hint="eastAsia" w:ascii="方正黑体_GBK" w:hAnsi="方正黑体_GBK" w:eastAsia="方正黑体_GBK" w:cs="方正黑体_GBK"/>
          <w:spacing w:val="1"/>
          <w:sz w:val="32"/>
          <w:szCs w:val="32"/>
          <w:lang w:val="en-US" w:eastAsia="zh-CN"/>
        </w:rPr>
        <w:t xml:space="preserve"> </w:t>
      </w:r>
      <w:r>
        <w:rPr>
          <w:rFonts w:hint="default" w:ascii="Times New Roman" w:hAnsi="Times New Roman" w:eastAsia="方正仿宋_GBK" w:cs="Times New Roman"/>
          <w:spacing w:val="4"/>
          <w:sz w:val="32"/>
          <w:szCs w:val="32"/>
        </w:rPr>
        <w:t>本制度由大坪街</w:t>
      </w:r>
      <w:r>
        <w:rPr>
          <w:rFonts w:hint="eastAsia" w:ascii="Times New Roman" w:hAnsi="Times New Roman" w:eastAsia="方正仿宋_GBK" w:cs="方正黑体_GBK"/>
          <w:spacing w:val="1"/>
          <w:sz w:val="32"/>
          <w:szCs w:val="32"/>
          <w:lang w:eastAsia="zh-CN"/>
        </w:rPr>
        <w:t>道党工委、办事处负责</w:t>
      </w:r>
      <w:r>
        <w:rPr>
          <w:rFonts w:hint="default" w:ascii="Times New Roman" w:hAnsi="Times New Roman" w:eastAsia="方正仿宋_GBK" w:cs="Times New Roman"/>
          <w:spacing w:val="4"/>
          <w:sz w:val="32"/>
          <w:szCs w:val="32"/>
        </w:rPr>
        <w:t>解释。</w:t>
      </w:r>
    </w:p>
    <w:p>
      <w:pPr>
        <w:spacing w:line="594" w:lineRule="exact"/>
        <w:ind w:firstLine="640" w:firstLineChars="200"/>
        <w:rPr>
          <w:rFonts w:hint="eastAsia" w:cs="黑体"/>
          <w:szCs w:val="22"/>
        </w:rPr>
      </w:pPr>
      <w:r>
        <w:rPr>
          <w:rStyle w:val="17"/>
          <w:rFonts w:hint="default" w:ascii="Times New Roman" w:hAnsi="Times New Roman" w:eastAsia="方正楷体_GBK" w:cs="Times New Roman"/>
          <w:b w:val="0"/>
          <w:snapToGrid/>
          <w:color w:val="auto"/>
          <w:kern w:val="2"/>
          <w:sz w:val="32"/>
          <w:szCs w:val="22"/>
          <w:lang w:val="en-US" w:eastAsia="zh-CN" w:bidi="ar-SA"/>
        </w:rPr>
        <w:t>第</w:t>
      </w:r>
      <w:r>
        <w:rPr>
          <w:rStyle w:val="17"/>
          <w:rFonts w:hint="eastAsia" w:ascii="Calibri" w:hAnsi="Calibri" w:eastAsia="方正楷体_GBK" w:cs="Times New Roman"/>
          <w:b w:val="0"/>
          <w:kern w:val="2"/>
          <w:sz w:val="32"/>
          <w:szCs w:val="22"/>
          <w:lang w:val="en-US" w:eastAsia="zh-CN"/>
        </w:rPr>
        <w:t>二十八</w:t>
      </w:r>
      <w:r>
        <w:rPr>
          <w:rStyle w:val="17"/>
          <w:rFonts w:hint="default" w:ascii="Times New Roman" w:hAnsi="Times New Roman" w:eastAsia="方正楷体_GBK" w:cs="Times New Roman"/>
          <w:b w:val="0"/>
          <w:snapToGrid/>
          <w:color w:val="auto"/>
          <w:kern w:val="2"/>
          <w:sz w:val="32"/>
          <w:szCs w:val="22"/>
          <w:lang w:val="en-US" w:eastAsia="zh-CN" w:bidi="ar-SA"/>
        </w:rPr>
        <w:t>条</w:t>
      </w:r>
      <w:r>
        <w:rPr>
          <w:rFonts w:hint="default" w:ascii="Times New Roman" w:hAnsi="Times New Roman" w:eastAsia="方正楷体_GBK" w:cs="Times New Roman"/>
          <w:spacing w:val="1"/>
          <w:sz w:val="32"/>
          <w:szCs w:val="32"/>
          <w:lang w:val="en-US" w:eastAsia="zh-CN"/>
        </w:rPr>
        <w:t xml:space="preserve"> </w:t>
      </w:r>
      <w:r>
        <w:rPr>
          <w:rFonts w:hint="default" w:ascii="Times New Roman" w:hAnsi="Times New Roman" w:eastAsia="方正仿宋_GBK" w:cs="Times New Roman"/>
          <w:spacing w:val="6"/>
          <w:sz w:val="32"/>
          <w:szCs w:val="32"/>
        </w:rPr>
        <w:t>本制度自发布之日起执行</w:t>
      </w:r>
      <w:r>
        <w:rPr>
          <w:rFonts w:hint="eastAsia" w:ascii="Times New Roman" w:hAnsi="Times New Roman" w:eastAsia="方正仿宋_GBK" w:cs="Times New Roman"/>
          <w:spacing w:val="6"/>
          <w:sz w:val="32"/>
          <w:szCs w:val="32"/>
          <w:lang w:eastAsia="zh-CN"/>
        </w:rPr>
        <w:t>，以前规定与本办法不一致的，以本办法为准。</w:t>
      </w:r>
    </w:p>
    <w:p>
      <w:pPr>
        <w:spacing w:line="594" w:lineRule="exact"/>
        <w:rPr>
          <w:rFonts w:ascii="方正仿宋_GBK" w:hAnsi="方正仿宋_GBK" w:cs="方正仿宋_GBK"/>
        </w:rPr>
      </w:pPr>
    </w:p>
    <w:sectPr>
      <w:footerReference r:id="rId3" w:type="default"/>
      <w:pgSz w:w="11906" w:h="16838"/>
      <w:pgMar w:top="1984" w:right="1446" w:bottom="1644" w:left="1446" w:header="851" w:footer="992" w:gutter="0"/>
      <w:pgNumType w:fmt="numberInDash"/>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oQgobAgAAIQQAAA4AAABkcnMvZTJvRG9jLnhtbK1TzW4TMRC+I/EO&#10;lu9kN0Gt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3pFiWUGR3T68f308/fp1zcyTvC0LszQauPQLnbvoMMxD/8BP1PXnfQm&#10;3dgPQT0CfbyAK7pIeHKaTqbTElUcdcMD4xdP7s6H+F6AIUmoqMfpZVDZYR1ibzqYpGwWVkrrPEFt&#10;SVvR67dX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EhoQgobAgAAIQ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220"/>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ODE3Njg1NDE1MTJmMWRkNzAzY2VmZTdhNWE0NmIifQ=="/>
  </w:docVars>
  <w:rsids>
    <w:rsidRoot w:val="00172A27"/>
    <w:rsid w:val="000737C6"/>
    <w:rsid w:val="0007639D"/>
    <w:rsid w:val="000865B1"/>
    <w:rsid w:val="000A20CB"/>
    <w:rsid w:val="000D265E"/>
    <w:rsid w:val="00145C18"/>
    <w:rsid w:val="00164288"/>
    <w:rsid w:val="00172A27"/>
    <w:rsid w:val="001873E9"/>
    <w:rsid w:val="002706D1"/>
    <w:rsid w:val="002E4F3E"/>
    <w:rsid w:val="00315862"/>
    <w:rsid w:val="00365821"/>
    <w:rsid w:val="00385A92"/>
    <w:rsid w:val="003A79F5"/>
    <w:rsid w:val="003C7EAD"/>
    <w:rsid w:val="0043633A"/>
    <w:rsid w:val="004A42D9"/>
    <w:rsid w:val="0051760C"/>
    <w:rsid w:val="00594415"/>
    <w:rsid w:val="005962AE"/>
    <w:rsid w:val="005D43DF"/>
    <w:rsid w:val="005D544D"/>
    <w:rsid w:val="0065033E"/>
    <w:rsid w:val="0065133D"/>
    <w:rsid w:val="00691F04"/>
    <w:rsid w:val="0069372F"/>
    <w:rsid w:val="006B2684"/>
    <w:rsid w:val="00700A1A"/>
    <w:rsid w:val="00747D8C"/>
    <w:rsid w:val="00757904"/>
    <w:rsid w:val="00767113"/>
    <w:rsid w:val="008328D8"/>
    <w:rsid w:val="00847CB9"/>
    <w:rsid w:val="0085474C"/>
    <w:rsid w:val="00882DE9"/>
    <w:rsid w:val="00883E63"/>
    <w:rsid w:val="008B211A"/>
    <w:rsid w:val="00911E58"/>
    <w:rsid w:val="0092407E"/>
    <w:rsid w:val="00982921"/>
    <w:rsid w:val="00990A02"/>
    <w:rsid w:val="00A35043"/>
    <w:rsid w:val="00A96373"/>
    <w:rsid w:val="00AB10B3"/>
    <w:rsid w:val="00B13973"/>
    <w:rsid w:val="00B424F4"/>
    <w:rsid w:val="00BC064D"/>
    <w:rsid w:val="00C0772A"/>
    <w:rsid w:val="00C43F32"/>
    <w:rsid w:val="00C94CE7"/>
    <w:rsid w:val="00CC7B3E"/>
    <w:rsid w:val="00CD28B5"/>
    <w:rsid w:val="00CF0A58"/>
    <w:rsid w:val="00D41274"/>
    <w:rsid w:val="00D44982"/>
    <w:rsid w:val="00D930DF"/>
    <w:rsid w:val="00DA7A7A"/>
    <w:rsid w:val="00DC0CAE"/>
    <w:rsid w:val="00DC54BC"/>
    <w:rsid w:val="00E27D62"/>
    <w:rsid w:val="00E651BD"/>
    <w:rsid w:val="00E8501F"/>
    <w:rsid w:val="00ED3C05"/>
    <w:rsid w:val="00F67790"/>
    <w:rsid w:val="00F93F73"/>
    <w:rsid w:val="00FF32F3"/>
    <w:rsid w:val="011505C2"/>
    <w:rsid w:val="01327024"/>
    <w:rsid w:val="023D1BA0"/>
    <w:rsid w:val="0270799C"/>
    <w:rsid w:val="02843263"/>
    <w:rsid w:val="02BD3CC9"/>
    <w:rsid w:val="02CB41D0"/>
    <w:rsid w:val="03873061"/>
    <w:rsid w:val="038E5791"/>
    <w:rsid w:val="03D35032"/>
    <w:rsid w:val="03F26DD5"/>
    <w:rsid w:val="04691763"/>
    <w:rsid w:val="04794DBB"/>
    <w:rsid w:val="04DF3ED2"/>
    <w:rsid w:val="050E24CA"/>
    <w:rsid w:val="057D7C5E"/>
    <w:rsid w:val="05FA1622"/>
    <w:rsid w:val="06B7768C"/>
    <w:rsid w:val="06F13F9F"/>
    <w:rsid w:val="070831B4"/>
    <w:rsid w:val="07360DB0"/>
    <w:rsid w:val="073E5DDD"/>
    <w:rsid w:val="07542D02"/>
    <w:rsid w:val="076B61F8"/>
    <w:rsid w:val="07CF35E6"/>
    <w:rsid w:val="08D17232"/>
    <w:rsid w:val="08DC6C52"/>
    <w:rsid w:val="09560AF4"/>
    <w:rsid w:val="097E6C5A"/>
    <w:rsid w:val="09804174"/>
    <w:rsid w:val="09E16389"/>
    <w:rsid w:val="09FD5560"/>
    <w:rsid w:val="0A2D6B89"/>
    <w:rsid w:val="0B271C15"/>
    <w:rsid w:val="0B764B01"/>
    <w:rsid w:val="0BA934D3"/>
    <w:rsid w:val="0BB67257"/>
    <w:rsid w:val="0BBE7DA2"/>
    <w:rsid w:val="0C231ADB"/>
    <w:rsid w:val="0C966011"/>
    <w:rsid w:val="0CDB59B8"/>
    <w:rsid w:val="0D4419EA"/>
    <w:rsid w:val="0D5F1C4A"/>
    <w:rsid w:val="0D8813BC"/>
    <w:rsid w:val="0DDA1B40"/>
    <w:rsid w:val="0DE65887"/>
    <w:rsid w:val="0E205AE3"/>
    <w:rsid w:val="0E347F8E"/>
    <w:rsid w:val="0E4229E0"/>
    <w:rsid w:val="0EC50130"/>
    <w:rsid w:val="0EEE3DA4"/>
    <w:rsid w:val="0EFA0D31"/>
    <w:rsid w:val="0F026857"/>
    <w:rsid w:val="0F027007"/>
    <w:rsid w:val="0FA62F15"/>
    <w:rsid w:val="10565CE6"/>
    <w:rsid w:val="105E2FB5"/>
    <w:rsid w:val="10685029"/>
    <w:rsid w:val="1084563E"/>
    <w:rsid w:val="10F26A8C"/>
    <w:rsid w:val="10FC6CA4"/>
    <w:rsid w:val="113E47B4"/>
    <w:rsid w:val="11733908"/>
    <w:rsid w:val="11AD465F"/>
    <w:rsid w:val="11EB3486"/>
    <w:rsid w:val="12A9238B"/>
    <w:rsid w:val="132A6B3F"/>
    <w:rsid w:val="135A6259"/>
    <w:rsid w:val="14864028"/>
    <w:rsid w:val="148A122E"/>
    <w:rsid w:val="14EB39E0"/>
    <w:rsid w:val="15BC25B1"/>
    <w:rsid w:val="15CD7C7C"/>
    <w:rsid w:val="15EF48CD"/>
    <w:rsid w:val="16426C23"/>
    <w:rsid w:val="16A12D92"/>
    <w:rsid w:val="16E124C5"/>
    <w:rsid w:val="16FE60C7"/>
    <w:rsid w:val="171A69AB"/>
    <w:rsid w:val="176747F9"/>
    <w:rsid w:val="17ED56CA"/>
    <w:rsid w:val="1866364A"/>
    <w:rsid w:val="18A03658"/>
    <w:rsid w:val="18A80C53"/>
    <w:rsid w:val="18FA58D1"/>
    <w:rsid w:val="190D3C7A"/>
    <w:rsid w:val="19270335"/>
    <w:rsid w:val="192A302E"/>
    <w:rsid w:val="19814FAB"/>
    <w:rsid w:val="1A154A34"/>
    <w:rsid w:val="1A1649CF"/>
    <w:rsid w:val="1A52359E"/>
    <w:rsid w:val="1AD91F31"/>
    <w:rsid w:val="1AFE7609"/>
    <w:rsid w:val="1B0077B2"/>
    <w:rsid w:val="1B1B5752"/>
    <w:rsid w:val="1B5053B6"/>
    <w:rsid w:val="1B6912BF"/>
    <w:rsid w:val="1BB04968"/>
    <w:rsid w:val="1BBE6201"/>
    <w:rsid w:val="1C284166"/>
    <w:rsid w:val="1D184639"/>
    <w:rsid w:val="1D424DE9"/>
    <w:rsid w:val="1DDE6D4B"/>
    <w:rsid w:val="1DF26D9C"/>
    <w:rsid w:val="1E9C0199"/>
    <w:rsid w:val="1EA05801"/>
    <w:rsid w:val="1EDB416C"/>
    <w:rsid w:val="1F027745"/>
    <w:rsid w:val="1F2D3F8F"/>
    <w:rsid w:val="1F672200"/>
    <w:rsid w:val="1FD17590"/>
    <w:rsid w:val="203C3D95"/>
    <w:rsid w:val="20556F6B"/>
    <w:rsid w:val="20E542F4"/>
    <w:rsid w:val="20E92B2A"/>
    <w:rsid w:val="21724E42"/>
    <w:rsid w:val="21CD5414"/>
    <w:rsid w:val="21E30972"/>
    <w:rsid w:val="21F14418"/>
    <w:rsid w:val="2230341A"/>
    <w:rsid w:val="2230457F"/>
    <w:rsid w:val="224F568C"/>
    <w:rsid w:val="22856433"/>
    <w:rsid w:val="22C230F6"/>
    <w:rsid w:val="22E85927"/>
    <w:rsid w:val="22FE2D27"/>
    <w:rsid w:val="23904B9A"/>
    <w:rsid w:val="23A75994"/>
    <w:rsid w:val="23BF3754"/>
    <w:rsid w:val="247369EF"/>
    <w:rsid w:val="250A0FD9"/>
    <w:rsid w:val="250E56F2"/>
    <w:rsid w:val="25643B4C"/>
    <w:rsid w:val="25AB78DF"/>
    <w:rsid w:val="25B17ABE"/>
    <w:rsid w:val="25FA745B"/>
    <w:rsid w:val="26CB5028"/>
    <w:rsid w:val="26DE3B7D"/>
    <w:rsid w:val="27395712"/>
    <w:rsid w:val="27555417"/>
    <w:rsid w:val="27865325"/>
    <w:rsid w:val="279937B4"/>
    <w:rsid w:val="27BE4E8C"/>
    <w:rsid w:val="28167BA1"/>
    <w:rsid w:val="28902F7E"/>
    <w:rsid w:val="28C10158"/>
    <w:rsid w:val="28D0272B"/>
    <w:rsid w:val="28FB2906"/>
    <w:rsid w:val="29B82F11"/>
    <w:rsid w:val="29C14FA5"/>
    <w:rsid w:val="29C80113"/>
    <w:rsid w:val="29F75585"/>
    <w:rsid w:val="2A07207B"/>
    <w:rsid w:val="2A162798"/>
    <w:rsid w:val="2A3732A2"/>
    <w:rsid w:val="2A3A0749"/>
    <w:rsid w:val="2A585CB7"/>
    <w:rsid w:val="2A5A353E"/>
    <w:rsid w:val="2A970588"/>
    <w:rsid w:val="2AAD0120"/>
    <w:rsid w:val="2AC028D4"/>
    <w:rsid w:val="2B2D293F"/>
    <w:rsid w:val="2B531EFB"/>
    <w:rsid w:val="2B915334"/>
    <w:rsid w:val="2C024716"/>
    <w:rsid w:val="2C434E80"/>
    <w:rsid w:val="2C766A63"/>
    <w:rsid w:val="2C9662B4"/>
    <w:rsid w:val="2CB5644E"/>
    <w:rsid w:val="2D4C0F69"/>
    <w:rsid w:val="2D582911"/>
    <w:rsid w:val="2D851E98"/>
    <w:rsid w:val="2D9B7435"/>
    <w:rsid w:val="2DC6708F"/>
    <w:rsid w:val="2DD16782"/>
    <w:rsid w:val="2E0D0624"/>
    <w:rsid w:val="2E2E5ED9"/>
    <w:rsid w:val="2EAC43E5"/>
    <w:rsid w:val="2EAD1162"/>
    <w:rsid w:val="2F4204D4"/>
    <w:rsid w:val="2F4E1C7A"/>
    <w:rsid w:val="2FED14B0"/>
    <w:rsid w:val="30306352"/>
    <w:rsid w:val="3035124B"/>
    <w:rsid w:val="3085193B"/>
    <w:rsid w:val="313D032A"/>
    <w:rsid w:val="31AA7B7C"/>
    <w:rsid w:val="3275159D"/>
    <w:rsid w:val="327B1CE7"/>
    <w:rsid w:val="33007FAB"/>
    <w:rsid w:val="333510A7"/>
    <w:rsid w:val="33552A6C"/>
    <w:rsid w:val="33567C57"/>
    <w:rsid w:val="3394639B"/>
    <w:rsid w:val="3399127F"/>
    <w:rsid w:val="33B35FBC"/>
    <w:rsid w:val="33C0596C"/>
    <w:rsid w:val="33D25037"/>
    <w:rsid w:val="341266E4"/>
    <w:rsid w:val="3429177E"/>
    <w:rsid w:val="354F548F"/>
    <w:rsid w:val="35EE647F"/>
    <w:rsid w:val="365A7236"/>
    <w:rsid w:val="369C3D2B"/>
    <w:rsid w:val="36D91FA0"/>
    <w:rsid w:val="37676417"/>
    <w:rsid w:val="37A3163A"/>
    <w:rsid w:val="382A0178"/>
    <w:rsid w:val="384119E9"/>
    <w:rsid w:val="3845563A"/>
    <w:rsid w:val="384C39BC"/>
    <w:rsid w:val="38EF53A0"/>
    <w:rsid w:val="393E474A"/>
    <w:rsid w:val="39484F0A"/>
    <w:rsid w:val="395859E9"/>
    <w:rsid w:val="39865C23"/>
    <w:rsid w:val="3A0C5785"/>
    <w:rsid w:val="3AA83984"/>
    <w:rsid w:val="3ADA3A76"/>
    <w:rsid w:val="3B225B1B"/>
    <w:rsid w:val="3B9F28D1"/>
    <w:rsid w:val="3BD40F32"/>
    <w:rsid w:val="3BF44B89"/>
    <w:rsid w:val="3C1126EE"/>
    <w:rsid w:val="3C1E5CEC"/>
    <w:rsid w:val="3C4C12B8"/>
    <w:rsid w:val="3C590549"/>
    <w:rsid w:val="3C60364C"/>
    <w:rsid w:val="3C885157"/>
    <w:rsid w:val="3D3620A6"/>
    <w:rsid w:val="3D444E50"/>
    <w:rsid w:val="3D4507EE"/>
    <w:rsid w:val="3D55508B"/>
    <w:rsid w:val="3D8C4A93"/>
    <w:rsid w:val="3DC407E8"/>
    <w:rsid w:val="3DD03397"/>
    <w:rsid w:val="3E367CA7"/>
    <w:rsid w:val="3E586E14"/>
    <w:rsid w:val="3E776E7F"/>
    <w:rsid w:val="3E997C92"/>
    <w:rsid w:val="3EBA693C"/>
    <w:rsid w:val="3ECB0579"/>
    <w:rsid w:val="3EEA1BDE"/>
    <w:rsid w:val="3F354A5E"/>
    <w:rsid w:val="3FF66700"/>
    <w:rsid w:val="40026F5A"/>
    <w:rsid w:val="402354CA"/>
    <w:rsid w:val="403A16C4"/>
    <w:rsid w:val="40894796"/>
    <w:rsid w:val="40C50C6D"/>
    <w:rsid w:val="40CC77EA"/>
    <w:rsid w:val="42844EA9"/>
    <w:rsid w:val="42BE3638"/>
    <w:rsid w:val="42CD2087"/>
    <w:rsid w:val="42ED6ABA"/>
    <w:rsid w:val="42F454B0"/>
    <w:rsid w:val="43FB7920"/>
    <w:rsid w:val="4476516F"/>
    <w:rsid w:val="44F372BE"/>
    <w:rsid w:val="455F6F56"/>
    <w:rsid w:val="45677DED"/>
    <w:rsid w:val="45D501DE"/>
    <w:rsid w:val="45F113E0"/>
    <w:rsid w:val="462B48C5"/>
    <w:rsid w:val="46302028"/>
    <w:rsid w:val="46410764"/>
    <w:rsid w:val="46D961C6"/>
    <w:rsid w:val="470B1DB6"/>
    <w:rsid w:val="471712B2"/>
    <w:rsid w:val="47AB4CC0"/>
    <w:rsid w:val="487E600A"/>
    <w:rsid w:val="48B31C13"/>
    <w:rsid w:val="48B4681B"/>
    <w:rsid w:val="48DD6565"/>
    <w:rsid w:val="49595DAD"/>
    <w:rsid w:val="499348BB"/>
    <w:rsid w:val="499B3DFE"/>
    <w:rsid w:val="49B426AD"/>
    <w:rsid w:val="49D93506"/>
    <w:rsid w:val="4A326AB6"/>
    <w:rsid w:val="4A65743C"/>
    <w:rsid w:val="4A6E6436"/>
    <w:rsid w:val="4A8E74CC"/>
    <w:rsid w:val="4A925C5E"/>
    <w:rsid w:val="4AC846B9"/>
    <w:rsid w:val="4B596FA2"/>
    <w:rsid w:val="4B8975F9"/>
    <w:rsid w:val="4B9E1886"/>
    <w:rsid w:val="4C2B2BFC"/>
    <w:rsid w:val="4C4D374B"/>
    <w:rsid w:val="4D27459C"/>
    <w:rsid w:val="4DA42667"/>
    <w:rsid w:val="4E4B35C9"/>
    <w:rsid w:val="4E8A721D"/>
    <w:rsid w:val="4EB90333"/>
    <w:rsid w:val="4F3638C9"/>
    <w:rsid w:val="4F4A73F5"/>
    <w:rsid w:val="4F9E1CB5"/>
    <w:rsid w:val="4FA30548"/>
    <w:rsid w:val="4FBB60CC"/>
    <w:rsid w:val="500B36A1"/>
    <w:rsid w:val="500E2015"/>
    <w:rsid w:val="503A236F"/>
    <w:rsid w:val="50532BC3"/>
    <w:rsid w:val="5070247B"/>
    <w:rsid w:val="50D312E3"/>
    <w:rsid w:val="516C2F89"/>
    <w:rsid w:val="519F6311"/>
    <w:rsid w:val="51D02613"/>
    <w:rsid w:val="51DA74A5"/>
    <w:rsid w:val="51EE4E37"/>
    <w:rsid w:val="5255155F"/>
    <w:rsid w:val="526B7591"/>
    <w:rsid w:val="52AB7F72"/>
    <w:rsid w:val="52C76BE4"/>
    <w:rsid w:val="52DE00FD"/>
    <w:rsid w:val="52E95582"/>
    <w:rsid w:val="53141827"/>
    <w:rsid w:val="5343055B"/>
    <w:rsid w:val="53627668"/>
    <w:rsid w:val="53D034F7"/>
    <w:rsid w:val="546C1527"/>
    <w:rsid w:val="551E4253"/>
    <w:rsid w:val="55AF4FDC"/>
    <w:rsid w:val="56563A7D"/>
    <w:rsid w:val="570B3C85"/>
    <w:rsid w:val="57854E31"/>
    <w:rsid w:val="57A61CDE"/>
    <w:rsid w:val="57D9564D"/>
    <w:rsid w:val="57DA2D82"/>
    <w:rsid w:val="57E06BE7"/>
    <w:rsid w:val="57EF15A4"/>
    <w:rsid w:val="5806388E"/>
    <w:rsid w:val="581A4B06"/>
    <w:rsid w:val="58730000"/>
    <w:rsid w:val="58D86E2D"/>
    <w:rsid w:val="58F27927"/>
    <w:rsid w:val="590F1013"/>
    <w:rsid w:val="59E85CA5"/>
    <w:rsid w:val="5A660E4D"/>
    <w:rsid w:val="5A672CC4"/>
    <w:rsid w:val="5AEA38CD"/>
    <w:rsid w:val="5B3D0D9D"/>
    <w:rsid w:val="5B8106AA"/>
    <w:rsid w:val="5B950913"/>
    <w:rsid w:val="5BD94CB7"/>
    <w:rsid w:val="5BE032A8"/>
    <w:rsid w:val="5C036020"/>
    <w:rsid w:val="5CBB0D38"/>
    <w:rsid w:val="5D1D1273"/>
    <w:rsid w:val="5D825E4C"/>
    <w:rsid w:val="5D8D04CD"/>
    <w:rsid w:val="5D9A142E"/>
    <w:rsid w:val="5E2504E2"/>
    <w:rsid w:val="5E7F20ED"/>
    <w:rsid w:val="5EF6304E"/>
    <w:rsid w:val="5F13398E"/>
    <w:rsid w:val="5F337D48"/>
    <w:rsid w:val="5F8207E3"/>
    <w:rsid w:val="5FA24DC0"/>
    <w:rsid w:val="5FC00351"/>
    <w:rsid w:val="601F1811"/>
    <w:rsid w:val="604B78F9"/>
    <w:rsid w:val="60BC3A1F"/>
    <w:rsid w:val="60FE5790"/>
    <w:rsid w:val="61266CB0"/>
    <w:rsid w:val="61506332"/>
    <w:rsid w:val="615B03E3"/>
    <w:rsid w:val="61936BCA"/>
    <w:rsid w:val="61A82D50"/>
    <w:rsid w:val="626E563D"/>
    <w:rsid w:val="62B40281"/>
    <w:rsid w:val="62EF4720"/>
    <w:rsid w:val="62F82681"/>
    <w:rsid w:val="63080B02"/>
    <w:rsid w:val="63490A0D"/>
    <w:rsid w:val="63BA0A28"/>
    <w:rsid w:val="64030D01"/>
    <w:rsid w:val="640F3222"/>
    <w:rsid w:val="64294BC9"/>
    <w:rsid w:val="64935674"/>
    <w:rsid w:val="65404FD6"/>
    <w:rsid w:val="65685B61"/>
    <w:rsid w:val="658359E4"/>
    <w:rsid w:val="65D60161"/>
    <w:rsid w:val="65F51AF8"/>
    <w:rsid w:val="661424CB"/>
    <w:rsid w:val="66263585"/>
    <w:rsid w:val="66E81EA6"/>
    <w:rsid w:val="67065715"/>
    <w:rsid w:val="675B0641"/>
    <w:rsid w:val="6768770D"/>
    <w:rsid w:val="6816779D"/>
    <w:rsid w:val="684E2852"/>
    <w:rsid w:val="69A820AE"/>
    <w:rsid w:val="6A1412C4"/>
    <w:rsid w:val="6A910515"/>
    <w:rsid w:val="6AAE0270"/>
    <w:rsid w:val="6AB07371"/>
    <w:rsid w:val="6ABE5C78"/>
    <w:rsid w:val="6B215E83"/>
    <w:rsid w:val="6B281B90"/>
    <w:rsid w:val="6B2E0011"/>
    <w:rsid w:val="6B4630CC"/>
    <w:rsid w:val="6B943CED"/>
    <w:rsid w:val="6C3B3D35"/>
    <w:rsid w:val="6C4E7711"/>
    <w:rsid w:val="6C732BB9"/>
    <w:rsid w:val="6C8239E4"/>
    <w:rsid w:val="6CE65997"/>
    <w:rsid w:val="6CF6659F"/>
    <w:rsid w:val="6DA21719"/>
    <w:rsid w:val="6DB623F3"/>
    <w:rsid w:val="6DEB27FC"/>
    <w:rsid w:val="6DEE3A7D"/>
    <w:rsid w:val="6E266F5E"/>
    <w:rsid w:val="6E3F6CAA"/>
    <w:rsid w:val="6E492663"/>
    <w:rsid w:val="6E5C60AD"/>
    <w:rsid w:val="6E751530"/>
    <w:rsid w:val="6EB153B7"/>
    <w:rsid w:val="6F1D481E"/>
    <w:rsid w:val="701B4FD6"/>
    <w:rsid w:val="7088686C"/>
    <w:rsid w:val="70B341F4"/>
    <w:rsid w:val="71A75698"/>
    <w:rsid w:val="71A858AB"/>
    <w:rsid w:val="721B6FB3"/>
    <w:rsid w:val="723B7798"/>
    <w:rsid w:val="7271609F"/>
    <w:rsid w:val="72A41836"/>
    <w:rsid w:val="735D5E85"/>
    <w:rsid w:val="737C160B"/>
    <w:rsid w:val="73A7552E"/>
    <w:rsid w:val="740E2C3B"/>
    <w:rsid w:val="743F4BAB"/>
    <w:rsid w:val="747C10BA"/>
    <w:rsid w:val="748865FF"/>
    <w:rsid w:val="749174AA"/>
    <w:rsid w:val="74B97757"/>
    <w:rsid w:val="74D955DC"/>
    <w:rsid w:val="751D05A0"/>
    <w:rsid w:val="7553741D"/>
    <w:rsid w:val="75B81D33"/>
    <w:rsid w:val="75D44E95"/>
    <w:rsid w:val="75D777A5"/>
    <w:rsid w:val="75E277BD"/>
    <w:rsid w:val="75E472C8"/>
    <w:rsid w:val="75F4091F"/>
    <w:rsid w:val="75FF71FC"/>
    <w:rsid w:val="76343C3C"/>
    <w:rsid w:val="76620447"/>
    <w:rsid w:val="769D6B46"/>
    <w:rsid w:val="76A31D3E"/>
    <w:rsid w:val="76B81CD7"/>
    <w:rsid w:val="772A01ED"/>
    <w:rsid w:val="7883296D"/>
    <w:rsid w:val="78DF72B8"/>
    <w:rsid w:val="78FD4D1E"/>
    <w:rsid w:val="790C2545"/>
    <w:rsid w:val="7970253E"/>
    <w:rsid w:val="79B76C9B"/>
    <w:rsid w:val="7AEC1B31"/>
    <w:rsid w:val="7BE61CAE"/>
    <w:rsid w:val="7C034646"/>
    <w:rsid w:val="7C177A55"/>
    <w:rsid w:val="7C4165F9"/>
    <w:rsid w:val="7C7819BC"/>
    <w:rsid w:val="7C891F06"/>
    <w:rsid w:val="7C9B2667"/>
    <w:rsid w:val="7CD61E9B"/>
    <w:rsid w:val="7CDC5F43"/>
    <w:rsid w:val="7CE13BDD"/>
    <w:rsid w:val="7CF70E61"/>
    <w:rsid w:val="7D1135E0"/>
    <w:rsid w:val="7D281549"/>
    <w:rsid w:val="7D6459D6"/>
    <w:rsid w:val="7D6F7AC6"/>
    <w:rsid w:val="7DA828C6"/>
    <w:rsid w:val="7DE42E9D"/>
    <w:rsid w:val="7E376F26"/>
    <w:rsid w:val="7E3E3846"/>
    <w:rsid w:val="7E584B52"/>
    <w:rsid w:val="7E8323B4"/>
    <w:rsid w:val="7E863353"/>
    <w:rsid w:val="7EC67E03"/>
    <w:rsid w:val="7F1C6E4E"/>
    <w:rsid w:val="7F540755"/>
    <w:rsid w:val="7F5A1D53"/>
    <w:rsid w:val="7F6004C6"/>
    <w:rsid w:val="7FC7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Times New Roman" w:hAnsi="Times New Roman" w:eastAsia="方正仿宋_GBK" w:cstheme="minorBidi"/>
      <w:kern w:val="2"/>
      <w:sz w:val="32"/>
      <w:szCs w:val="32"/>
      <w:lang w:val="en-US" w:eastAsia="zh-CN" w:bidi="ar-SA"/>
    </w:rPr>
  </w:style>
  <w:style w:type="paragraph" w:styleId="3">
    <w:name w:val="heading 1"/>
    <w:next w:val="1"/>
    <w:qFormat/>
    <w:uiPriority w:val="0"/>
    <w:pPr>
      <w:keepNext/>
      <w:keepLines/>
      <w:widowControl w:val="0"/>
      <w:spacing w:beforeLines="0" w:beforeAutospacing="0" w:afterLines="0" w:afterAutospacing="0" w:line="594" w:lineRule="exact"/>
      <w:ind w:firstLine="0" w:firstLineChars="0"/>
      <w:jc w:val="center"/>
      <w:outlineLvl w:val="0"/>
    </w:pPr>
    <w:rPr>
      <w:rFonts w:ascii="Times New Roman" w:hAnsi="Times New Roman" w:eastAsia="方正小标宋_GBK" w:cs="黑体"/>
      <w:kern w:val="44"/>
      <w:sz w:val="44"/>
      <w:szCs w:val="22"/>
      <w:lang w:val="en-US" w:eastAsia="zh-CN" w:bidi="ar-SA"/>
    </w:rPr>
  </w:style>
  <w:style w:type="paragraph" w:styleId="4">
    <w:name w:val="heading 2"/>
    <w:next w:val="1"/>
    <w:unhideWhenUsed/>
    <w:qFormat/>
    <w:uiPriority w:val="0"/>
    <w:pPr>
      <w:keepNext/>
      <w:keepLines/>
      <w:widowControl w:val="0"/>
      <w:spacing w:beforeLines="0" w:beforeAutospacing="0" w:afterLines="0" w:afterAutospacing="0" w:line="594" w:lineRule="exact"/>
      <w:ind w:firstLine="723" w:firstLineChars="200"/>
      <w:jc w:val="both"/>
      <w:outlineLvl w:val="1"/>
    </w:pPr>
    <w:rPr>
      <w:rFonts w:ascii="Times New Roman" w:hAnsi="Times New Roman" w:eastAsia="方正黑体_GBK" w:cs="黑体"/>
      <w:kern w:val="2"/>
      <w:sz w:val="32"/>
      <w:szCs w:val="22"/>
      <w:lang w:val="en-US" w:eastAsia="zh-CN" w:bidi="ar-SA"/>
    </w:rPr>
  </w:style>
  <w:style w:type="paragraph" w:styleId="5">
    <w:name w:val="heading 3"/>
    <w:basedOn w:val="1"/>
    <w:next w:val="1"/>
    <w:link w:val="17"/>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Normal Indent"/>
    <w:qFormat/>
    <w:uiPriority w:val="0"/>
    <w:pPr>
      <w:widowControl w:val="0"/>
      <w:spacing w:line="580" w:lineRule="exact"/>
      <w:ind w:firstLine="420" w:firstLineChars="200"/>
      <w:jc w:val="both"/>
    </w:pPr>
    <w:rPr>
      <w:rFonts w:ascii="Times New Roman" w:hAnsi="Times New Roman" w:eastAsia="宋体" w:cs="Times New Roman"/>
      <w:kern w:val="2"/>
      <w:sz w:val="32"/>
      <w:szCs w:val="20"/>
      <w:lang w:val="en-US" w:eastAsia="zh-CN" w:bidi="ar-SA"/>
    </w:rPr>
  </w:style>
  <w:style w:type="paragraph" w:styleId="6">
    <w:name w:val="Body Text"/>
    <w:semiHidden/>
    <w:qFormat/>
    <w:uiPriority w:val="0"/>
    <w:pPr>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7"/>
      <w:szCs w:val="27"/>
      <w:lang w:val="en-US" w:eastAsia="en-US" w:bidi="ar-SA"/>
    </w:rPr>
  </w:style>
  <w:style w:type="paragraph" w:styleId="7">
    <w:name w:val="Date"/>
    <w:basedOn w:val="1"/>
    <w:next w:val="1"/>
    <w:qFormat/>
    <w:uiPriority w:val="0"/>
    <w:pPr>
      <w:kinsoku/>
      <w:adjustRightInd/>
      <w:snapToGrid/>
      <w:spacing w:line="240" w:lineRule="auto"/>
      <w:ind w:left="100" w:leftChars="2500"/>
    </w:pPr>
    <w:rPr>
      <w:rFonts w:ascii="仿宋_GB2312" w:hAnsi="Times New Roman" w:eastAsia="仿宋_GB2312"/>
      <w:color w:val="auto"/>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1">
    <w:name w:val="Normal (Web)"/>
    <w:basedOn w:val="1"/>
    <w:qFormat/>
    <w:uiPriority w:val="0"/>
    <w:pPr>
      <w:jc w:val="left"/>
    </w:pPr>
    <w:rPr>
      <w:rFonts w:cs="Times New Roman"/>
      <w:kern w:val="0"/>
      <w:sz w:val="24"/>
    </w:rPr>
  </w:style>
  <w:style w:type="character" w:styleId="13">
    <w:name w:val="Hyperlink"/>
    <w:basedOn w:val="12"/>
    <w:qFormat/>
    <w:uiPriority w:val="99"/>
    <w:rPr>
      <w:color w:val="0000FF"/>
      <w:u w:val="single"/>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7">
    <w:name w:val="标题 3 Char"/>
    <w:link w:val="5"/>
    <w:qFormat/>
    <w:uiPriority w:val="0"/>
    <w:rPr>
      <w:rFonts w:hint="eastAsia" w:ascii="宋体" w:hAnsi="宋体" w:eastAsia="宋体" w:cs="Times New Roman"/>
      <w:b/>
      <w:kern w:val="0"/>
      <w:sz w:val="27"/>
      <w:szCs w:val="27"/>
    </w:rPr>
  </w:style>
  <w:style w:type="paragraph" w:customStyle="1" w:styleId="18">
    <w:name w:val="列出段落1"/>
    <w:qFormat/>
    <w:uiPriority w:val="0"/>
    <w:pPr>
      <w:widowControl w:val="0"/>
      <w:spacing w:line="594" w:lineRule="exact"/>
      <w:ind w:firstLine="420" w:firstLineChars="200"/>
      <w:jc w:val="both"/>
    </w:pPr>
    <w:rPr>
      <w:rFonts w:ascii="Times New Roman" w:hAnsi="Times New Roman" w:eastAsia="方正仿宋_GBK" w:cs="黑体"/>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12</Pages>
  <Words>4250</Words>
  <Characters>4273</Characters>
  <Lines>33</Lines>
  <Paragraphs>9</Paragraphs>
  <TotalTime>19</TotalTime>
  <ScaleCrop>false</ScaleCrop>
  <LinksUpToDate>false</LinksUpToDate>
  <CharactersWithSpaces>4627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2017-03-08T00:43:00Z</dcterms:created>
  <dc:creator>zhaoxinlei</dc:creator>
  <cp:lastModifiedBy>wang</cp:lastModifiedBy>
  <cp:lastPrinted>2025-12-01T06:45:00Z</cp:lastPrinted>
  <dcterms:modified xsi:type="dcterms:W3CDTF">2025-12-17T01:44:10Z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EFAA024FF5A14043A966EACAE190803D_13</vt:lpwstr>
  </property>
  <property fmtid="{D5CDD505-2E9C-101B-9397-08002B2CF9AE}" pid="4" name="KSOTemplateDocerSaveRecord">
    <vt:lpwstr>eyJoZGlkIjoiMmY5ZDkxMDljYTUxNmQzMGMyZTgxNmYyMzJkNjMxNWIiLCJ1c2VySWQiOiIzNjk4NDIxMDUifQ==</vt:lpwstr>
  </property>
</Properties>
</file>