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重庆市渝中区人民政府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eastAsia" w:ascii="Times New Roman" w:hAnsi="Times New Roman" w:eastAsia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Times New Roman" w:hAnsi="Times New Roman" w:eastAsia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&lt;重庆市区块链数字经济产业园发展促进办法（试行）</w:t>
      </w:r>
      <w:r>
        <w:rPr>
          <w:rFonts w:hint="default" w:ascii="Times New Roman" w:hAnsi="Times New Roman" w:eastAsia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&gt;的通知》的决定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渝中府发〔2024〕11号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各部门、各管委会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街道办事处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，有关单位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根据《重庆市行政规范性文件管理办法》（重庆市人民政府令第329号）规定，经区第十四届人民政府第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次常务会议审议，对《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重庆市渝中区人民政府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关于印发&lt;区块链数字经济产业园发展促进办法（试行）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的通知》（渝中府发〔2020〕6号）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予以废止，自本决定公布之日起不再施行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cs="方正仿宋_GBK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t xml:space="preserve"> 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366C42"/>
    <w:rsid w:val="644B03CA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2024-03-11T02:11:02Z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48C61CB29D3F4D9384F5922CF0F7FFB4</vt:lpwstr>
  </property>
</Properties>
</file>