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w:t>
      </w:r>
      <w:r>
        <w:rPr>
          <w:rFonts w:hint="eastAsia" w:ascii="黑体" w:hAnsi="黑体" w:eastAsia="黑体"/>
          <w:b/>
          <w:color w:val="000000"/>
          <w:sz w:val="44"/>
          <w:szCs w:val="48"/>
          <w:lang w:eastAsia="zh-CN"/>
        </w:rPr>
        <w:t>自然科学</w:t>
      </w:r>
      <w:r>
        <w:rPr>
          <w:rFonts w:hint="eastAsia" w:ascii="黑体" w:hAnsi="黑体" w:eastAsia="黑体"/>
          <w:b/>
          <w:color w:val="000000"/>
          <w:sz w:val="44"/>
          <w:szCs w:val="48"/>
        </w:rPr>
        <w:t>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z w:val="28"/>
          <w:szCs w:val="32"/>
        </w:rPr>
        <w:t>：</w:t>
      </w:r>
      <w:r>
        <w:rPr>
          <w:rFonts w:hint="eastAsia" w:ascii="宋体" w:hAnsi="宋体" w:eastAsia="宋体"/>
          <w:color w:val="000000"/>
          <w:sz w:val="28"/>
          <w:szCs w:val="32"/>
          <w:lang w:val="en-US" w:eastAsia="zh-CN"/>
        </w:rPr>
        <w:t>儿童消化系统炎症损伤及干预研究</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w:t>
      </w:r>
      <w:r>
        <w:rPr>
          <w:rFonts w:hint="eastAsia" w:ascii="宋体" w:hAnsi="宋体" w:eastAsia="宋体"/>
          <w:color w:val="000000"/>
          <w:sz w:val="28"/>
          <w:szCs w:val="32"/>
          <w:lang w:eastAsia="zh-CN"/>
        </w:rPr>
        <w:t>自然科学奖</w:t>
      </w:r>
      <w:r>
        <w:rPr>
          <w:rFonts w:hint="eastAsia" w:ascii="宋体" w:hAnsi="宋体" w:eastAsia="宋体"/>
          <w:color w:val="000000"/>
          <w:sz w:val="28"/>
          <w:szCs w:val="32"/>
        </w:rPr>
        <w:t xml:space="preserve"> </w:t>
      </w:r>
      <w:r>
        <w:rPr>
          <w:rFonts w:hint="eastAsia" w:ascii="宋体" w:hAnsi="宋体" w:eastAsia="宋体"/>
          <w:color w:val="000000"/>
          <w:sz w:val="28"/>
          <w:szCs w:val="32"/>
          <w:lang w:eastAsia="zh-CN"/>
        </w:rPr>
        <w:t>三</w:t>
      </w:r>
      <w:r>
        <w:rPr>
          <w:rFonts w:hint="eastAsia" w:ascii="宋体" w:hAnsi="宋体" w:eastAsia="宋体"/>
          <w:color w:val="000000"/>
          <w:sz w:val="28"/>
          <w:szCs w:val="32"/>
        </w:rPr>
        <w:t>等奖</w:t>
      </w:r>
    </w:p>
    <w:p w14:paraId="5B73031B">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四、完成单位：</w:t>
      </w:r>
      <w:r>
        <w:rPr>
          <w:rFonts w:hint="eastAsia" w:ascii="宋体" w:hAnsi="宋体" w:eastAsia="宋体"/>
          <w:b w:val="0"/>
          <w:bCs/>
          <w:color w:val="000000"/>
          <w:sz w:val="28"/>
          <w:szCs w:val="32"/>
        </w:rPr>
        <w:t>重庆医科大学</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郭春宝，丁雄辉，韩文莉，曾德峰，马越</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1D618E0A">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消化系统疾病是包括早产儿、新生儿及儿童中最常见和最严重的急症，探索消化道损伤发病机制，制定针对性治疗措施一直是儿童医学领域研究重点和热点。本项目完成人系统揭示了肠道及肝脏损伤病理生理模型：包括粘膜炎症反应理论和微循环缺血缺氧的作用，并利用该理论指导治疗靶点的探索与选择。</w:t>
      </w:r>
    </w:p>
    <w:p w14:paraId="4A452806">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本项目的主要科学发现点和科学价值在于：1)从理论上阐明不同病理生理基础上肠粘膜屏障的破坏使管腔细菌穿过上皮屏障、微生物或微生物衍生的分子触发促炎介质的过度和持续释放，加剧全身炎症引发严重的和组织损伤，并影响氧化应激。氧化应激状态通过调控多种蛋白质谷胱甘肽化，包括eNOS、I-kB，Fas，GSDMD等引起巨噬细胞活性和功能改变。巨噬细胞焦亡是一种关键的抗菌先天免疫防御机制。炎症小体不存在于静息细胞内，而是在细胞遇到宿主的感染性或非感染性威协时组装而成，这是整合环境刺激以启动先天和适应性免疫反应以维持体内平衡的关键平台，特别是在与微生物群落（包括胃肠道）交界的器官粘膜表面。我们研究发现在NEC患者的肠道病变中，NLRP3炎症小体、Caspase-1、IL-lB和IL-18的表达升高，它们与NEC的严重程度呈正相关。另一方面我们发现GSDMD轴介导的巨噬细胞焦亡与细菌感染有关，GSDMD敲除防止细菌从巨噬细胞中逃逸。2)肠道微循环的作用不论在NEC炎症损伤以及临床手术后肠功能恢复都非常重要，我们发现烟酰胺腺嘌呤二核苷酸(NAD+）参与调节氧化应激，进一步影响血管内皮细胞的功能，从而与肠道病理损伤有关。本研究还通过临床证据发现PGEl在术后肠梗阻、术后炎症恢复，严重并发症、ICU入院和接受大肠癌手术的患者住院时间方面的临床益处。</w:t>
      </w:r>
    </w:p>
    <w:p w14:paraId="42857C2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本项目在国家自然科学基金、重庆市自然科学基金、重庆市教委科学技术研究计划重点项目等纵向课题的资助下，在Nat Commun, Ann Surg, Free Radic BiolMed，Transl Res等高水平学术刊物上发表相关论文50余篇。本项目研究成果被众多国内外专家学者在多个国际顶级杂志如Curr Opin Chem Biol，J Adv Res，Redox Bio1, 等主流杂志上发文述评，对本项目在肠道粘膜屏障功能、炎症损伤机制、 肠道微循环作用等研究中做出的重要贡献做出肯定评价。</w:t>
      </w:r>
    </w:p>
    <w:p w14:paraId="117E17B4">
      <w:pPr>
        <w:numPr>
          <w:ilvl w:val="0"/>
          <w:numId w:val="2"/>
        </w:numPr>
        <w:spacing w:line="540" w:lineRule="exact"/>
        <w:rPr>
          <w:rFonts w:hint="eastAsia" w:ascii="宋体" w:hAnsi="宋体" w:eastAsia="宋体"/>
          <w:b/>
          <w:color w:val="000000"/>
          <w:sz w:val="28"/>
          <w:szCs w:val="32"/>
        </w:rPr>
      </w:pPr>
      <w:r>
        <w:rPr>
          <w:rFonts w:hint="eastAsia" w:ascii="宋体" w:hAnsi="宋体" w:eastAsia="宋体"/>
          <w:b/>
          <w:color w:val="000000"/>
          <w:sz w:val="28"/>
          <w:szCs w:val="32"/>
        </w:rPr>
        <w:t>代表性论文专著目录：</w:t>
      </w:r>
    </w:p>
    <w:tbl>
      <w:tblPr>
        <w:tblStyle w:val="10"/>
        <w:tblW w:w="91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2101"/>
        <w:gridCol w:w="871"/>
        <w:gridCol w:w="742"/>
        <w:gridCol w:w="804"/>
        <w:gridCol w:w="816"/>
        <w:gridCol w:w="925"/>
        <w:gridCol w:w="842"/>
        <w:gridCol w:w="777"/>
        <w:gridCol w:w="818"/>
      </w:tblGrid>
      <w:tr w14:paraId="0C442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476" w:type="dxa"/>
            <w:vAlign w:val="center"/>
          </w:tcPr>
          <w:p w14:paraId="391D8FAD">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序号</w:t>
            </w:r>
          </w:p>
        </w:tc>
        <w:tc>
          <w:tcPr>
            <w:tcW w:w="2101" w:type="dxa"/>
            <w:vAlign w:val="center"/>
          </w:tcPr>
          <w:p w14:paraId="5BE4E009">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论文（专著）</w:t>
            </w:r>
          </w:p>
          <w:p w14:paraId="3382CE69">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名称/刊名</w:t>
            </w:r>
          </w:p>
          <w:p w14:paraId="11ACF7D5">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/作者</w:t>
            </w:r>
          </w:p>
        </w:tc>
        <w:tc>
          <w:tcPr>
            <w:tcW w:w="871" w:type="dxa"/>
            <w:vAlign w:val="center"/>
          </w:tcPr>
          <w:p w14:paraId="7E07D2B8">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年卷页码</w:t>
            </w:r>
          </w:p>
          <w:p w14:paraId="01CA5B81">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（xx年xx卷</w:t>
            </w:r>
          </w:p>
          <w:p w14:paraId="6E7CF49B">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xx页）</w:t>
            </w:r>
          </w:p>
        </w:tc>
        <w:tc>
          <w:tcPr>
            <w:tcW w:w="742" w:type="dxa"/>
            <w:vAlign w:val="center"/>
          </w:tcPr>
          <w:p w14:paraId="3A3C17A5">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发表时间（年月日）</w:t>
            </w:r>
          </w:p>
        </w:tc>
        <w:tc>
          <w:tcPr>
            <w:tcW w:w="804" w:type="dxa"/>
            <w:vAlign w:val="center"/>
          </w:tcPr>
          <w:p w14:paraId="2F7179D2">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通讯作者（含共同）</w:t>
            </w:r>
          </w:p>
        </w:tc>
        <w:tc>
          <w:tcPr>
            <w:tcW w:w="816" w:type="dxa"/>
            <w:vAlign w:val="center"/>
          </w:tcPr>
          <w:p w14:paraId="0B98D916">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第一作者（含共同）</w:t>
            </w:r>
          </w:p>
        </w:tc>
        <w:tc>
          <w:tcPr>
            <w:tcW w:w="925" w:type="dxa"/>
            <w:vAlign w:val="center"/>
          </w:tcPr>
          <w:p w14:paraId="4D48B330">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国内作者</w:t>
            </w:r>
          </w:p>
        </w:tc>
        <w:tc>
          <w:tcPr>
            <w:tcW w:w="842" w:type="dxa"/>
            <w:vAlign w:val="center"/>
          </w:tcPr>
          <w:p w14:paraId="64333B48">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他引总次数</w:t>
            </w:r>
          </w:p>
        </w:tc>
        <w:tc>
          <w:tcPr>
            <w:tcW w:w="777" w:type="dxa"/>
            <w:vAlign w:val="center"/>
          </w:tcPr>
          <w:p w14:paraId="54CD1B8C">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检索数据库</w:t>
            </w:r>
          </w:p>
        </w:tc>
        <w:tc>
          <w:tcPr>
            <w:tcW w:w="818" w:type="dxa"/>
            <w:vAlign w:val="center"/>
          </w:tcPr>
          <w:p w14:paraId="59FF170C">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论文署名单位是否包含国外单位</w:t>
            </w:r>
          </w:p>
        </w:tc>
      </w:tr>
      <w:tr w14:paraId="725F9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476" w:type="dxa"/>
            <w:vAlign w:val="center"/>
          </w:tcPr>
          <w:p w14:paraId="387E9D9D">
            <w:pPr>
              <w:pStyle w:val="4"/>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1</w:t>
            </w:r>
          </w:p>
        </w:tc>
        <w:tc>
          <w:tcPr>
            <w:tcW w:w="2101" w:type="dxa"/>
            <w:shd w:val="clear" w:color="auto" w:fill="auto"/>
            <w:vAlign w:val="center"/>
          </w:tcPr>
          <w:p w14:paraId="7924DDC7">
            <w:pPr>
              <w:pStyle w:val="2"/>
              <w:keepNext w:val="0"/>
              <w:keepLines w:val="0"/>
              <w:widowControl/>
              <w:shd w:val="clear" w:color="auto" w:fill="FFFFFF"/>
              <w:spacing w:before="0" w:after="0" w:afterLines="0" w:line="200" w:lineRule="exact"/>
              <w:rPr>
                <w:rFonts w:ascii="方正仿宋_GBK" w:hAnsi="方正仿宋_GBK" w:eastAsia="方正仿宋_GBK" w:cs="方正仿宋_GBK"/>
                <w:kern w:val="2"/>
                <w:sz w:val="18"/>
                <w:szCs w:val="18"/>
              </w:rPr>
            </w:pPr>
            <w:r>
              <w:rPr>
                <w:rFonts w:hint="eastAsia" w:ascii="方正仿宋_GBK" w:hAnsi="方正仿宋_GBK" w:eastAsia="方正仿宋_GBK" w:cs="方正仿宋_GBK"/>
                <w:kern w:val="2"/>
                <w:sz w:val="18"/>
                <w:szCs w:val="18"/>
              </w:rPr>
              <w:t>Inflammasome-mediated GSDMD activation facilitates escape of Candida albicans from macrophages/ Nat Commun/Ding X, Kambara H, Guo R, Kanneganti A, Acosta-Zaldívar M, Li J, Liu F, Bei T, Qi W, Xie X, Han W, Liu N, Zhang C, Zhang X, Yu H, Zhao L, Ma F, Köhler JR, Luo HR.</w:t>
            </w:r>
          </w:p>
        </w:tc>
        <w:tc>
          <w:tcPr>
            <w:tcW w:w="871" w:type="dxa"/>
            <w:shd w:val="clear" w:color="auto" w:fill="auto"/>
            <w:vAlign w:val="center"/>
          </w:tcPr>
          <w:p w14:paraId="39E0A88C">
            <w:pPr>
              <w:spacing w:line="36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2021;12(1):6699</w:t>
            </w:r>
          </w:p>
        </w:tc>
        <w:tc>
          <w:tcPr>
            <w:tcW w:w="742" w:type="dxa"/>
            <w:shd w:val="clear" w:color="auto" w:fill="auto"/>
            <w:vAlign w:val="center"/>
          </w:tcPr>
          <w:p w14:paraId="54DEA6B3">
            <w:pPr>
              <w:spacing w:line="36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2021年11月 18日</w:t>
            </w:r>
          </w:p>
        </w:tc>
        <w:tc>
          <w:tcPr>
            <w:tcW w:w="804" w:type="dxa"/>
            <w:shd w:val="clear" w:color="auto" w:fill="auto"/>
            <w:vAlign w:val="center"/>
          </w:tcPr>
          <w:p w14:paraId="0E84D0AF">
            <w:pPr>
              <w:spacing w:line="36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罗鸿博</w:t>
            </w:r>
          </w:p>
        </w:tc>
        <w:tc>
          <w:tcPr>
            <w:tcW w:w="816" w:type="dxa"/>
            <w:shd w:val="clear" w:color="auto" w:fill="auto"/>
            <w:vAlign w:val="center"/>
          </w:tcPr>
          <w:p w14:paraId="28E4BA30">
            <w:pPr>
              <w:spacing w:line="36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丁雄辉</w:t>
            </w:r>
          </w:p>
        </w:tc>
        <w:tc>
          <w:tcPr>
            <w:tcW w:w="925" w:type="dxa"/>
            <w:vAlign w:val="center"/>
          </w:tcPr>
          <w:p w14:paraId="5A6DB2EA">
            <w:pPr>
              <w:pStyle w:val="4"/>
              <w:adjustRightInd w:val="0"/>
              <w:spacing w:line="200" w:lineRule="exact"/>
              <w:ind w:firstLine="0" w:firstLineChars="0"/>
              <w:jc w:val="center"/>
              <w:rPr>
                <w:rFonts w:ascii="方正仿宋_GBK" w:hAnsi="方正仿宋_GBK" w:eastAsia="方正仿宋_GBK" w:cs="方正仿宋_GBK"/>
                <w:kern w:val="2"/>
                <w:sz w:val="18"/>
                <w:szCs w:val="18"/>
              </w:rPr>
            </w:pPr>
            <w:r>
              <w:rPr>
                <w:rFonts w:hint="eastAsia" w:ascii="方正仿宋_GBK" w:hAnsi="方正仿宋_GBK" w:eastAsia="方正仿宋_GBK" w:cs="方正仿宋_GBK"/>
                <w:kern w:val="2"/>
                <w:sz w:val="18"/>
                <w:szCs w:val="18"/>
              </w:rPr>
              <w:t>丁雄辉, 郭荣霞, 李佳佳,刘飞, 马凤霞</w:t>
            </w:r>
          </w:p>
        </w:tc>
        <w:tc>
          <w:tcPr>
            <w:tcW w:w="842" w:type="dxa"/>
            <w:shd w:val="clear" w:color="auto" w:fill="auto"/>
            <w:vAlign w:val="center"/>
          </w:tcPr>
          <w:p w14:paraId="1EBB2DEF">
            <w:pPr>
              <w:spacing w:line="36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48</w:t>
            </w:r>
          </w:p>
        </w:tc>
        <w:tc>
          <w:tcPr>
            <w:tcW w:w="777" w:type="dxa"/>
            <w:vAlign w:val="center"/>
          </w:tcPr>
          <w:p w14:paraId="71F7DC8C">
            <w:pPr>
              <w:pStyle w:val="4"/>
              <w:adjustRightInd w:val="0"/>
              <w:spacing w:after="50" w:line="320" w:lineRule="exact"/>
              <w:ind w:firstLine="0" w:firstLineChars="0"/>
              <w:jc w:val="center"/>
              <w:rPr>
                <w:rFonts w:ascii="方正仿宋_GBK" w:hAnsi="方正仿宋_GBK" w:eastAsia="方正仿宋_GBK" w:cs="方正仿宋_GBK"/>
                <w:kern w:val="2"/>
                <w:sz w:val="18"/>
                <w:szCs w:val="18"/>
              </w:rPr>
            </w:pPr>
            <w:r>
              <w:rPr>
                <w:rFonts w:hint="eastAsia" w:ascii="方正仿宋_GBK" w:hAnsi="方正仿宋_GBK" w:eastAsia="方正仿宋_GBK" w:cs="方正仿宋_GBK"/>
                <w:kern w:val="2"/>
                <w:sz w:val="18"/>
                <w:szCs w:val="18"/>
              </w:rPr>
              <w:t>Web of science</w:t>
            </w:r>
          </w:p>
        </w:tc>
        <w:tc>
          <w:tcPr>
            <w:tcW w:w="818" w:type="dxa"/>
            <w:vAlign w:val="center"/>
          </w:tcPr>
          <w:p w14:paraId="4FF349FB">
            <w:pPr>
              <w:pStyle w:val="4"/>
              <w:adjustRightInd w:val="0"/>
              <w:spacing w:after="50" w:line="320" w:lineRule="exact"/>
              <w:ind w:firstLine="0" w:firstLineChars="0"/>
              <w:jc w:val="center"/>
              <w:rPr>
                <w:rFonts w:ascii="方正仿宋_GBK" w:hAnsi="方正仿宋_GBK" w:eastAsia="方正仿宋_GBK" w:cs="方正仿宋_GBK"/>
                <w:kern w:val="2"/>
                <w:sz w:val="18"/>
                <w:szCs w:val="18"/>
              </w:rPr>
            </w:pPr>
            <w:r>
              <w:rPr>
                <w:rFonts w:hint="eastAsia" w:ascii="方正仿宋_GBK" w:hAnsi="方正仿宋_GBK" w:eastAsia="方正仿宋_GBK" w:cs="方正仿宋_GBK"/>
                <w:kern w:val="2"/>
                <w:sz w:val="18"/>
                <w:szCs w:val="18"/>
              </w:rPr>
              <w:t>是</w:t>
            </w:r>
          </w:p>
        </w:tc>
      </w:tr>
      <w:tr w14:paraId="57FAA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476" w:type="dxa"/>
            <w:vAlign w:val="center"/>
          </w:tcPr>
          <w:p w14:paraId="457C5A53">
            <w:pPr>
              <w:pStyle w:val="4"/>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2</w:t>
            </w:r>
          </w:p>
        </w:tc>
        <w:tc>
          <w:tcPr>
            <w:tcW w:w="2101" w:type="dxa"/>
            <w:shd w:val="clear" w:color="auto" w:fill="auto"/>
            <w:vAlign w:val="center"/>
          </w:tcPr>
          <w:p w14:paraId="043052FE">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Fecal microbiota transplantation (FMT) could reverse the severity of experimental necrotizing enterocolitis (NEC) via oxidative stress modulation/ Free Radic Biol Med/Li X, Li X, Shang Q, Gao Z, Hao F, Guo H, Guo C</w:t>
            </w:r>
          </w:p>
        </w:tc>
        <w:tc>
          <w:tcPr>
            <w:tcW w:w="871" w:type="dxa"/>
            <w:shd w:val="clear" w:color="auto" w:fill="auto"/>
            <w:vAlign w:val="center"/>
          </w:tcPr>
          <w:p w14:paraId="0BD3532A">
            <w:pPr>
              <w:adjustRightInd w:val="0"/>
              <w:snapToGrid w:val="0"/>
              <w:spacing w:line="240" w:lineRule="auto"/>
              <w:ind w:firstLine="36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2017;108:32-43</w:t>
            </w:r>
          </w:p>
        </w:tc>
        <w:tc>
          <w:tcPr>
            <w:tcW w:w="742" w:type="dxa"/>
            <w:shd w:val="clear" w:color="auto" w:fill="auto"/>
            <w:vAlign w:val="center"/>
          </w:tcPr>
          <w:p w14:paraId="55F315E5">
            <w:pPr>
              <w:adjustRightInd w:val="0"/>
              <w:snapToGrid w:val="0"/>
              <w:spacing w:line="240" w:lineRule="auto"/>
              <w:ind w:firstLine="36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2017 年7月 16日</w:t>
            </w:r>
          </w:p>
        </w:tc>
        <w:tc>
          <w:tcPr>
            <w:tcW w:w="804" w:type="dxa"/>
            <w:shd w:val="clear" w:color="auto" w:fill="auto"/>
            <w:vAlign w:val="center"/>
          </w:tcPr>
          <w:p w14:paraId="3268CDB7">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郭春宝</w:t>
            </w:r>
          </w:p>
        </w:tc>
        <w:tc>
          <w:tcPr>
            <w:tcW w:w="816" w:type="dxa"/>
            <w:shd w:val="clear" w:color="auto" w:fill="auto"/>
            <w:vAlign w:val="center"/>
          </w:tcPr>
          <w:p w14:paraId="1E71387F">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李晓梅</w:t>
            </w:r>
          </w:p>
        </w:tc>
        <w:tc>
          <w:tcPr>
            <w:tcW w:w="925" w:type="dxa"/>
            <w:vAlign w:val="center"/>
          </w:tcPr>
          <w:p w14:paraId="1E11C3B1">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李晓梅 李晓文, 尚庆娟, 高宗为伟, 郝发宝, 郭红杰,郭春宝</w:t>
            </w:r>
          </w:p>
        </w:tc>
        <w:tc>
          <w:tcPr>
            <w:tcW w:w="842" w:type="dxa"/>
            <w:shd w:val="clear" w:color="auto" w:fill="auto"/>
            <w:vAlign w:val="center"/>
          </w:tcPr>
          <w:p w14:paraId="529004A8">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45</w:t>
            </w:r>
          </w:p>
        </w:tc>
        <w:tc>
          <w:tcPr>
            <w:tcW w:w="777" w:type="dxa"/>
            <w:vAlign w:val="center"/>
          </w:tcPr>
          <w:p w14:paraId="6B50B3BD">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Web of science</w:t>
            </w:r>
          </w:p>
        </w:tc>
        <w:tc>
          <w:tcPr>
            <w:tcW w:w="818" w:type="dxa"/>
            <w:vAlign w:val="center"/>
          </w:tcPr>
          <w:p w14:paraId="74C821D9">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否</w:t>
            </w:r>
          </w:p>
        </w:tc>
      </w:tr>
      <w:tr w14:paraId="786EF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5C6A1AA3">
            <w:pPr>
              <w:pStyle w:val="4"/>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3</w:t>
            </w:r>
          </w:p>
        </w:tc>
        <w:tc>
          <w:tcPr>
            <w:tcW w:w="2101" w:type="dxa"/>
            <w:shd w:val="clear" w:color="auto" w:fill="auto"/>
            <w:vAlign w:val="center"/>
          </w:tcPr>
          <w:p w14:paraId="1BAC49DA">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Effects of Prostaglandin E1 on Patients Undergoing Major Gastrointestinal Surgery/ Ann Surg/Hao F, Guo H, Zhong J, Geng Q, Yang Y, Chen B, Guo C.</w:t>
            </w:r>
          </w:p>
        </w:tc>
        <w:tc>
          <w:tcPr>
            <w:tcW w:w="871" w:type="dxa"/>
            <w:shd w:val="clear" w:color="auto" w:fill="auto"/>
            <w:vAlign w:val="center"/>
          </w:tcPr>
          <w:p w14:paraId="3BCC51DA">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2018;267(4):759-765.</w:t>
            </w:r>
          </w:p>
        </w:tc>
        <w:tc>
          <w:tcPr>
            <w:tcW w:w="742" w:type="dxa"/>
            <w:shd w:val="clear" w:color="auto" w:fill="auto"/>
            <w:vAlign w:val="center"/>
          </w:tcPr>
          <w:p w14:paraId="10CBABBF">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2018年4月18日</w:t>
            </w:r>
          </w:p>
        </w:tc>
        <w:tc>
          <w:tcPr>
            <w:tcW w:w="804" w:type="dxa"/>
            <w:shd w:val="clear" w:color="auto" w:fill="auto"/>
            <w:vAlign w:val="center"/>
          </w:tcPr>
          <w:p w14:paraId="4D8B9D1D">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郭春宝</w:t>
            </w:r>
          </w:p>
        </w:tc>
        <w:tc>
          <w:tcPr>
            <w:tcW w:w="816" w:type="dxa"/>
            <w:shd w:val="clear" w:color="auto" w:fill="auto"/>
            <w:vAlign w:val="center"/>
          </w:tcPr>
          <w:p w14:paraId="47B07F66">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郝发宝</w:t>
            </w:r>
          </w:p>
        </w:tc>
        <w:tc>
          <w:tcPr>
            <w:tcW w:w="925" w:type="dxa"/>
            <w:vAlign w:val="center"/>
          </w:tcPr>
          <w:p w14:paraId="43ECB856">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郝发宝, 郭红杰, 耿乾坤, 杨洋, 陈柏林, 郭春宝</w:t>
            </w:r>
          </w:p>
        </w:tc>
        <w:tc>
          <w:tcPr>
            <w:tcW w:w="842" w:type="dxa"/>
            <w:shd w:val="clear" w:color="auto" w:fill="auto"/>
            <w:vAlign w:val="center"/>
          </w:tcPr>
          <w:p w14:paraId="2B2909D9">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w:t>
            </w:r>
          </w:p>
        </w:tc>
        <w:tc>
          <w:tcPr>
            <w:tcW w:w="777" w:type="dxa"/>
            <w:vAlign w:val="center"/>
          </w:tcPr>
          <w:p w14:paraId="20A298F9">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Web of science</w:t>
            </w:r>
          </w:p>
        </w:tc>
        <w:tc>
          <w:tcPr>
            <w:tcW w:w="818" w:type="dxa"/>
            <w:vAlign w:val="center"/>
          </w:tcPr>
          <w:p w14:paraId="4986A753">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是</w:t>
            </w:r>
          </w:p>
        </w:tc>
      </w:tr>
      <w:tr w14:paraId="7375A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4AF02107">
            <w:pPr>
              <w:pStyle w:val="4"/>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4</w:t>
            </w:r>
          </w:p>
        </w:tc>
        <w:tc>
          <w:tcPr>
            <w:tcW w:w="2101" w:type="dxa"/>
            <w:shd w:val="clear" w:color="auto" w:fill="auto"/>
            <w:vAlign w:val="center"/>
          </w:tcPr>
          <w:p w14:paraId="337194A5">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Contribution of glutaredoxin-1\to S-glutathionylation of endothelial nitric oxide synthase for mesenteric nitric oxide generation in experimental necrotizing enterocolitis/ Transl Res/Shang Q, Bao L, Guo H, Hao F, Luo Q, Chen J, Guo C</w:t>
            </w:r>
          </w:p>
        </w:tc>
        <w:tc>
          <w:tcPr>
            <w:tcW w:w="871" w:type="dxa"/>
            <w:shd w:val="clear" w:color="auto" w:fill="auto"/>
            <w:vAlign w:val="center"/>
          </w:tcPr>
          <w:p w14:paraId="72173617">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2017;188:92-105</w:t>
            </w:r>
          </w:p>
        </w:tc>
        <w:tc>
          <w:tcPr>
            <w:tcW w:w="742" w:type="dxa"/>
            <w:shd w:val="clear" w:color="auto" w:fill="auto"/>
            <w:vAlign w:val="center"/>
          </w:tcPr>
          <w:p w14:paraId="58767817">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2017 年10月 26日</w:t>
            </w:r>
          </w:p>
        </w:tc>
        <w:tc>
          <w:tcPr>
            <w:tcW w:w="804" w:type="dxa"/>
            <w:shd w:val="clear" w:color="auto" w:fill="auto"/>
            <w:vAlign w:val="center"/>
          </w:tcPr>
          <w:p w14:paraId="2728D3E5">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郭春宝</w:t>
            </w:r>
          </w:p>
        </w:tc>
        <w:tc>
          <w:tcPr>
            <w:tcW w:w="816" w:type="dxa"/>
            <w:shd w:val="clear" w:color="auto" w:fill="auto"/>
            <w:vAlign w:val="center"/>
          </w:tcPr>
          <w:p w14:paraId="0492862B">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尚庆娟</w:t>
            </w:r>
          </w:p>
        </w:tc>
        <w:tc>
          <w:tcPr>
            <w:tcW w:w="925" w:type="dxa"/>
            <w:vAlign w:val="center"/>
          </w:tcPr>
          <w:p w14:paraId="7F1CE8D2">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尚庆娟, 包蕾, 郭红杰, 郝发宝, 罗钱富, 陈加平, 郭春宝</w:t>
            </w:r>
          </w:p>
        </w:tc>
        <w:tc>
          <w:tcPr>
            <w:tcW w:w="842" w:type="dxa"/>
            <w:shd w:val="clear" w:color="auto" w:fill="auto"/>
            <w:vAlign w:val="center"/>
          </w:tcPr>
          <w:p w14:paraId="6F6DCF68">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12</w:t>
            </w:r>
          </w:p>
        </w:tc>
        <w:tc>
          <w:tcPr>
            <w:tcW w:w="777" w:type="dxa"/>
            <w:vAlign w:val="center"/>
          </w:tcPr>
          <w:p w14:paraId="1E0232B3">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Web of science</w:t>
            </w:r>
          </w:p>
        </w:tc>
        <w:tc>
          <w:tcPr>
            <w:tcW w:w="818" w:type="dxa"/>
            <w:vAlign w:val="center"/>
          </w:tcPr>
          <w:p w14:paraId="2FAF83C4">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否</w:t>
            </w:r>
          </w:p>
        </w:tc>
      </w:tr>
      <w:tr w14:paraId="1E0C1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4DF4171B">
            <w:pPr>
              <w:pStyle w:val="4"/>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5</w:t>
            </w:r>
          </w:p>
        </w:tc>
        <w:tc>
          <w:tcPr>
            <w:tcW w:w="2101" w:type="dxa"/>
            <w:shd w:val="clear" w:color="auto" w:fill="auto"/>
            <w:vAlign w:val="center"/>
          </w:tcPr>
          <w:p w14:paraId="3B7E1131">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High-mobility group box-1 inhibition stabilizes intestinal permeability through tight junctions in experimental acute necrotizing pancreatitis/ Inflamm Res/Huang L, Zhang D, Han W, Guo C</w:t>
            </w:r>
          </w:p>
        </w:tc>
        <w:tc>
          <w:tcPr>
            <w:tcW w:w="871" w:type="dxa"/>
            <w:shd w:val="clear" w:color="auto" w:fill="auto"/>
            <w:vAlign w:val="center"/>
          </w:tcPr>
          <w:p w14:paraId="15F4256B">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2019;68(8):677-689</w:t>
            </w:r>
          </w:p>
        </w:tc>
        <w:tc>
          <w:tcPr>
            <w:tcW w:w="742" w:type="dxa"/>
            <w:shd w:val="clear" w:color="auto" w:fill="auto"/>
            <w:vAlign w:val="center"/>
          </w:tcPr>
          <w:p w14:paraId="3F8BD224">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2019 年8月 18日</w:t>
            </w:r>
          </w:p>
        </w:tc>
        <w:tc>
          <w:tcPr>
            <w:tcW w:w="804" w:type="dxa"/>
            <w:shd w:val="clear" w:color="auto" w:fill="auto"/>
            <w:vAlign w:val="center"/>
          </w:tcPr>
          <w:p w14:paraId="0B8D2E37">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郭春宝</w:t>
            </w:r>
          </w:p>
        </w:tc>
        <w:tc>
          <w:tcPr>
            <w:tcW w:w="816" w:type="dxa"/>
            <w:shd w:val="clear" w:color="auto" w:fill="auto"/>
            <w:vAlign w:val="center"/>
          </w:tcPr>
          <w:p w14:paraId="748DBB77">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黄路桥</w:t>
            </w:r>
          </w:p>
        </w:tc>
        <w:tc>
          <w:tcPr>
            <w:tcW w:w="925" w:type="dxa"/>
            <w:vAlign w:val="center"/>
          </w:tcPr>
          <w:p w14:paraId="2166A033">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黄路桥, 张佃良, 韩文莉，郭春宝</w:t>
            </w:r>
          </w:p>
        </w:tc>
        <w:tc>
          <w:tcPr>
            <w:tcW w:w="842" w:type="dxa"/>
            <w:vAlign w:val="center"/>
          </w:tcPr>
          <w:p w14:paraId="5F79ABF7">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19</w:t>
            </w:r>
          </w:p>
        </w:tc>
        <w:tc>
          <w:tcPr>
            <w:tcW w:w="777" w:type="dxa"/>
            <w:vAlign w:val="center"/>
          </w:tcPr>
          <w:p w14:paraId="30925E3C">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Web of science</w:t>
            </w:r>
          </w:p>
        </w:tc>
        <w:tc>
          <w:tcPr>
            <w:tcW w:w="818" w:type="dxa"/>
            <w:vAlign w:val="center"/>
          </w:tcPr>
          <w:p w14:paraId="30A10937">
            <w:pPr>
              <w:adjustRightInd w:val="0"/>
              <w:snapToGrid w:val="0"/>
              <w:spacing w:line="240" w:lineRule="auto"/>
              <w:ind w:firstLine="0" w:firstLineChars="0"/>
              <w:jc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否</w:t>
            </w:r>
          </w:p>
        </w:tc>
      </w:tr>
      <w:tr w14:paraId="6E920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735" w:type="dxa"/>
            <w:gridSpan w:val="7"/>
            <w:vAlign w:val="center"/>
          </w:tcPr>
          <w:p w14:paraId="1F3080E6">
            <w:pPr>
              <w:pStyle w:val="4"/>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合  计</w:t>
            </w:r>
          </w:p>
        </w:tc>
        <w:tc>
          <w:tcPr>
            <w:tcW w:w="842" w:type="dxa"/>
            <w:vAlign w:val="center"/>
          </w:tcPr>
          <w:p w14:paraId="1DBF7EE6">
            <w:pPr>
              <w:pStyle w:val="4"/>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125</w:t>
            </w:r>
          </w:p>
        </w:tc>
        <w:tc>
          <w:tcPr>
            <w:tcW w:w="777" w:type="dxa"/>
            <w:vAlign w:val="center"/>
          </w:tcPr>
          <w:p w14:paraId="1F009335">
            <w:pPr>
              <w:pStyle w:val="4"/>
              <w:adjustRightInd w:val="0"/>
              <w:spacing w:after="50" w:line="320" w:lineRule="exact"/>
              <w:ind w:firstLine="0" w:firstLineChars="0"/>
              <w:jc w:val="center"/>
              <w:rPr>
                <w:rFonts w:ascii="Times New Roman" w:hAnsi="Times New Roman" w:eastAsia="宋体"/>
                <w:kern w:val="2"/>
                <w:sz w:val="18"/>
                <w:szCs w:val="18"/>
              </w:rPr>
            </w:pPr>
          </w:p>
        </w:tc>
        <w:tc>
          <w:tcPr>
            <w:tcW w:w="818" w:type="dxa"/>
            <w:vAlign w:val="center"/>
          </w:tcPr>
          <w:p w14:paraId="01912DAE">
            <w:pPr>
              <w:pStyle w:val="4"/>
              <w:adjustRightInd w:val="0"/>
              <w:spacing w:after="50" w:line="320" w:lineRule="exact"/>
              <w:ind w:firstLine="0" w:firstLineChars="0"/>
              <w:jc w:val="center"/>
              <w:rPr>
                <w:rFonts w:ascii="Times New Roman" w:hAnsi="Times New Roman" w:eastAsia="宋体"/>
                <w:kern w:val="2"/>
                <w:sz w:val="18"/>
                <w:szCs w:val="18"/>
              </w:rPr>
            </w:pPr>
          </w:p>
        </w:tc>
      </w:tr>
    </w:tbl>
    <w:p w14:paraId="3EAD0A02">
      <w:pPr>
        <w:numPr>
          <w:numId w:val="0"/>
        </w:numPr>
        <w:spacing w:line="540" w:lineRule="exact"/>
        <w:rPr>
          <w:rFonts w:hint="eastAsia" w:ascii="宋体" w:hAnsi="宋体" w:eastAsia="宋体"/>
          <w:b/>
          <w:color w:val="000000"/>
          <w:sz w:val="28"/>
          <w:szCs w:val="32"/>
        </w:rPr>
      </w:pPr>
      <w:bookmarkStart w:id="0" w:name="_GoBack"/>
      <w:bookmarkEnd w:id="0"/>
    </w:p>
    <w:p w14:paraId="7BFBA3E3">
      <w:pPr>
        <w:spacing w:line="540" w:lineRule="exact"/>
        <w:rPr>
          <w:rFonts w:ascii="宋体" w:hAnsi="宋体" w:eastAsia="宋体"/>
          <w:color w:val="00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00"/>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abstractNum w:abstractNumId="1">
    <w:nsid w:val="AE16924E"/>
    <w:multiLevelType w:val="singleLevel"/>
    <w:tmpl w:val="AE16924E"/>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11DB01A5"/>
    <w:rsid w:val="19A67BFA"/>
    <w:rsid w:val="311F13A6"/>
    <w:rsid w:val="3DA84074"/>
    <w:rsid w:val="53674DAA"/>
    <w:rsid w:val="597B6C86"/>
    <w:rsid w:val="6B5D7B5C"/>
    <w:rsid w:val="6B973B60"/>
    <w:rsid w:val="7723700B"/>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200" w:after="50" w:afterLines="50" w:line="240" w:lineRule="auto"/>
      <w:ind w:firstLine="0" w:firstLineChars="0"/>
      <w:jc w:val="center"/>
      <w:outlineLvl w:val="0"/>
    </w:pPr>
    <w:rPr>
      <w:rFonts w:eastAsia="方正小标宋简体"/>
      <w:kern w:val="44"/>
      <w:sz w:val="36"/>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firstLine="0" w:firstLineChars="0"/>
      <w:textAlignment w:val="baseline"/>
    </w:pPr>
    <w:rPr>
      <w:rFonts w:cs="Times New Roman"/>
      <w:szCs w:val="24"/>
    </w:rPr>
  </w:style>
  <w:style w:type="paragraph" w:styleId="4">
    <w:name w:val="Plain Text"/>
    <w:basedOn w:val="1"/>
    <w:qFormat/>
    <w:uiPriority w:val="99"/>
    <w:pPr>
      <w:spacing w:line="360" w:lineRule="auto"/>
      <w:ind w:firstLine="480"/>
    </w:pPr>
    <w:rPr>
      <w:rFonts w:ascii="仿宋_GB2312" w:hAnsi="等线" w:eastAsia="等线"/>
      <w:kern w:val="0"/>
    </w:r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9">
    <w:name w:val="Body Text First Indent"/>
    <w:basedOn w:val="3"/>
    <w:autoRedefine/>
    <w:qFormat/>
    <w:uiPriority w:val="99"/>
    <w:pPr>
      <w:spacing w:after="120" w:line="240" w:lineRule="auto"/>
      <w:ind w:firstLine="420" w:firstLineChars="100"/>
      <w:textAlignment w:val="auto"/>
    </w:pPr>
    <w:rPr>
      <w:rFonts w:ascii="Calibri" w:hAnsi="Calibri"/>
      <w:sz w:val="21"/>
    </w:rPr>
  </w:style>
  <w:style w:type="character" w:styleId="12">
    <w:name w:val="Hyperlink"/>
    <w:basedOn w:val="11"/>
    <w:unhideWhenUsed/>
    <w:qFormat/>
    <w:uiPriority w:val="99"/>
    <w:rPr>
      <w:color w:val="0000FF"/>
      <w:u w:val="single"/>
    </w:rPr>
  </w:style>
  <w:style w:type="character" w:customStyle="1" w:styleId="13">
    <w:name w:val="批注框文本 Char"/>
    <w:basedOn w:val="11"/>
    <w:link w:val="5"/>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1300</Words>
  <Characters>2354</Characters>
  <Lines>9</Lines>
  <Paragraphs>2</Paragraphs>
  <TotalTime>0</TotalTime>
  <ScaleCrop>false</ScaleCrop>
  <LinksUpToDate>false</LinksUpToDate>
  <CharactersWithSpaces>2637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2025-02-25T01:56:37Z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641073D72FE84EC08F082E6BF6257A8D_12</vt:lpwstr>
  </property>
  <property fmtid="{D5CDD505-2E9C-101B-9397-08002B2CF9AE}" pid="4" name="KSOTemplateDocerSaveRecord">
    <vt:lpwstr>eyJoZGlkIjoiNDU4YjAxNDRlZDY0ZDJmNDE2ZGJhMDFhMTM3NmQwNDMifQ==</vt:lpwstr>
  </property>
</Properties>
</file>