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z w:val="28"/>
          <w:szCs w:val="32"/>
        </w:rPr>
        <w:t>：</w:t>
      </w:r>
      <w:r>
        <w:rPr>
          <w:rFonts w:hint="eastAsia" w:ascii="宋体" w:hAnsi="宋体" w:eastAsia="宋体"/>
          <w:color w:val="000000"/>
          <w:sz w:val="28"/>
          <w:szCs w:val="32"/>
          <w:lang w:val="en-US" w:eastAsia="zh-CN"/>
        </w:rPr>
        <w:t>肠神经系统异常在先天性巨结肠发病中的分子机制</w:t>
      </w:r>
    </w:p>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三</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w:t>
      </w:r>
      <w:r>
        <w:rPr>
          <w:rFonts w:hint="eastAsia" w:ascii="宋体" w:hAnsi="宋体" w:eastAsia="宋体"/>
          <w:b/>
          <w:color w:val="000000"/>
          <w:sz w:val="28"/>
          <w:szCs w:val="32"/>
          <w:lang w:eastAsia="zh-CN"/>
        </w:rPr>
        <w:t>主要</w:t>
      </w:r>
      <w:r>
        <w:rPr>
          <w:rFonts w:hint="eastAsia" w:ascii="宋体" w:hAnsi="宋体" w:eastAsia="宋体"/>
          <w:b/>
          <w:color w:val="000000"/>
          <w:sz w:val="28"/>
          <w:szCs w:val="32"/>
        </w:rPr>
        <w:t>完成单位：</w:t>
      </w:r>
      <w:r>
        <w:rPr>
          <w:rFonts w:hint="eastAsia" w:ascii="宋体" w:hAnsi="宋体" w:eastAsia="宋体"/>
          <w:b w:val="0"/>
          <w:bCs/>
          <w:color w:val="000000"/>
          <w:sz w:val="28"/>
          <w:szCs w:val="32"/>
        </w:rPr>
        <w:t>重庆医科大学、成都医学院、华南理工大学</w:t>
      </w:r>
    </w:p>
    <w:p w14:paraId="789C6423">
      <w:p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郭振华、黄四洲、王佚、王强、刘伟、冯伟</w:t>
      </w:r>
    </w:p>
    <w:p w14:paraId="73C426A9">
      <w:pPr>
        <w:spacing w:line="46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6C3EAF7E">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先天性巨结肠（HSCR）是常见的先天性消化道结构畸形，主要表现为远端结肠神经节细胞的缺失，导致肠道蠕动功能障碍。肠神经系统（ENS）发育异常是HSCR的核心病理机制。本项目围绕HSCR的发病机制，以ENS发育异常为切入点，从结构缺陷、差异基因筛选及基因功能调控揭示miRNA-RET、BMP信号通路在ENS发育中的调控作用。</w:t>
      </w:r>
    </w:p>
    <w:p w14:paraId="6F178A1F">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团队通过微阵列技术筛选HSCR病变肠管差异基因，STRING分析差异基因PPI网络，使用MCC拓扑分析算法预测和探索 PPI 网络中关键基因，最终确认BMP、RET、SHH等12种核心基因，表明其可能参与HSCR的发生（Luo Y,2015; Wang X, et al.2016; Li HB,et al. 2018)。随后Li et al. (2016)通过患者病变结肠miRNA芯片分析，筛选出168个差异表达miRNA，靶基因富集分析显示差异miRNA显著影响RET和相关信号通路（MAPK和PI3K/AKT），提示miRNA通过调控RET通路参与HSCR发病。在重庆市自然科学基金（cstc2020jcyj-msxmX0249、cstc2015jcyjA10080）支持下，团队进行细胞及动物实验证实miR-146b-5p、miR-142等靶向RET信号通路影响肠神经嵴干细胞（NCCs）分化、增殖及迁移，进而导致结肠神经系统发育不良。该研究首次建立HSCR的miRNA-RET信号通路互作网络，揭示表观调控在HSCR发病中的重要性。</w:t>
      </w:r>
    </w:p>
    <w:p w14:paraId="31353D2B">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在国家自然科学基金委重大研究计划集成项目（91519329）、面上项目（31470080）、青年项目（31201092和81200258）和科技部国家重点研发专项（2020YFA0804000）等项目的支持下，团队发现PRKX和BMP信号等在肠道形态建成过程中对肠道的旋转弯曲起着重要的调控作用（Huang et al. 2014，Huang el al. 2016），并在后期发现BMP下游靶标G蛋白偶联受体aplnra/b通过Nodal/spaw信号通路调控肠道等形态建成（Zhu et al. 2019），揭示BMP信号通路对调控肠道神经网络建成赖以形成的结构基础正常发生中的作用。在研究BMP信号通路特异性调控肠道神经发育的过程中，胚胎发育早期BMP信号通路相关因子Bptf通过TGF-β/Smad2介导核小体重塑调节wnt8a表达，从而调控神经发育过程中的后部化（Neural posteriorization）（Ma et al.，2015）。在斑马鱼胚胎发育第2天后，BMP2b调节斑马鱼迷走神经细胞的增殖、迁移和分化，且BMP2b是肠平滑肌发育所必需的 （Huang et al. 2019)。深入发现BMP2b调节肠内胶质细胞系源性GDNF的表达，GDNF介导BMP2b调控的调节动物模型ENS的发育 （Huang et al. 2019）。此外，还发现Mynn与细胞核中的Smad蛋白相互作用，从而破坏Smad蛋白与磷酸酶Ppm1a的联系，最终这种相互作用阻止Smad去磷酸化，从而影响BMP信号的平衡来调控神经脊来源组织鳃弓和肠道神经的发育（Yang et al. 2022）。总之，团队系统研究BMP信号在肠道结构发生和NCCs分化、增殖及迁移中的作用，揭示BMP信号通路紊乱导致的ENS发育异常是HSCR的重要发病基础。</w:t>
      </w:r>
    </w:p>
    <w:p w14:paraId="7AEEC986">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本项目揭示miRNA-RET、BMP信号通路在ENS发育和HSCR发病中的关键作用，丰富ENS发育调控的理论体系，为HSCR的病因学研究提供新的理论依据。此外，研究成果为HSCR的早期诊断和治疗提供潜在的治疗靶点，具有重要的临床应用前景。</w:t>
      </w:r>
    </w:p>
    <w:p w14:paraId="42857C24">
      <w:pPr>
        <w:spacing w:line="540" w:lineRule="exact"/>
        <w:ind w:firstLine="560" w:firstLineChars="200"/>
        <w:rPr>
          <w:rFonts w:hint="eastAsia" w:ascii="宋体" w:hAnsi="宋体" w:eastAsia="宋体"/>
          <w:sz w:val="28"/>
          <w:szCs w:val="32"/>
          <w:lang w:val="en-US" w:eastAsia="zh-CN"/>
        </w:rPr>
      </w:pPr>
      <w:r>
        <w:rPr>
          <w:rFonts w:hint="eastAsia" w:ascii="宋体" w:hAnsi="宋体" w:eastAsia="宋体"/>
          <w:sz w:val="28"/>
          <w:szCs w:val="32"/>
          <w:lang w:val="en-US" w:eastAsia="zh-CN"/>
        </w:rPr>
        <w:t>团队相关成果已在权威期刊上发表，包括《Front Cell Neurosci》、《Int J Biol Sci》、《J Neurosci》等，累计被引用次数超100次，显示出较高的学术影响力。此外，国际同行对项目研究成果给予高度评价，认为本研究“为肠神经系统发育的分子机制提供了新的见解”（引自《Frontiers in Cell and Developmental Biology》评述），“揭示了miRNA在HSCR中的重要作用”（引自《PLoS One》评述）。</w:t>
      </w:r>
    </w:p>
    <w:p w14:paraId="48A1E168">
      <w:pPr>
        <w:spacing w:line="540" w:lineRule="exact"/>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、代表性论文专著目录：</w:t>
      </w:r>
    </w:p>
    <w:tbl>
      <w:tblPr>
        <w:tblStyle w:val="9"/>
        <w:tblW w:w="91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101"/>
        <w:gridCol w:w="871"/>
        <w:gridCol w:w="578"/>
        <w:gridCol w:w="906"/>
        <w:gridCol w:w="968"/>
        <w:gridCol w:w="868"/>
        <w:gridCol w:w="743"/>
        <w:gridCol w:w="843"/>
        <w:gridCol w:w="818"/>
      </w:tblGrid>
      <w:tr w14:paraId="0825EE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93" w:type="dxa"/>
            <w:vAlign w:val="center"/>
          </w:tcPr>
          <w:p w14:paraId="7DCC727C">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序号</w:t>
            </w:r>
          </w:p>
        </w:tc>
        <w:tc>
          <w:tcPr>
            <w:tcW w:w="2101" w:type="dxa"/>
            <w:vAlign w:val="center"/>
          </w:tcPr>
          <w:p w14:paraId="7EBCB8CE">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论文（专著）</w:t>
            </w:r>
          </w:p>
          <w:p w14:paraId="4BC3ACF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名称/刊名</w:t>
            </w:r>
          </w:p>
          <w:p w14:paraId="3BC6CB81">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/作者</w:t>
            </w:r>
          </w:p>
        </w:tc>
        <w:tc>
          <w:tcPr>
            <w:tcW w:w="871" w:type="dxa"/>
            <w:vAlign w:val="center"/>
          </w:tcPr>
          <w:p w14:paraId="07701B2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年卷页码</w:t>
            </w:r>
          </w:p>
          <w:p w14:paraId="72003E39">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（xx年xx卷</w:t>
            </w:r>
          </w:p>
          <w:p w14:paraId="4DAE50B3">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xx页）</w:t>
            </w:r>
          </w:p>
        </w:tc>
        <w:tc>
          <w:tcPr>
            <w:tcW w:w="578" w:type="dxa"/>
            <w:vAlign w:val="center"/>
          </w:tcPr>
          <w:p w14:paraId="2E38BE9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发表时间（年月日）</w:t>
            </w:r>
          </w:p>
        </w:tc>
        <w:tc>
          <w:tcPr>
            <w:tcW w:w="906" w:type="dxa"/>
            <w:vAlign w:val="center"/>
          </w:tcPr>
          <w:p w14:paraId="019BF464">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通讯作者（含共同）</w:t>
            </w:r>
          </w:p>
        </w:tc>
        <w:tc>
          <w:tcPr>
            <w:tcW w:w="968" w:type="dxa"/>
            <w:vAlign w:val="center"/>
          </w:tcPr>
          <w:p w14:paraId="5A252132">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第一作者（含共同）</w:t>
            </w:r>
          </w:p>
        </w:tc>
        <w:tc>
          <w:tcPr>
            <w:tcW w:w="868" w:type="dxa"/>
            <w:vAlign w:val="center"/>
          </w:tcPr>
          <w:p w14:paraId="2DD52E2C">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国内作者</w:t>
            </w:r>
          </w:p>
        </w:tc>
        <w:tc>
          <w:tcPr>
            <w:tcW w:w="743" w:type="dxa"/>
            <w:vAlign w:val="center"/>
          </w:tcPr>
          <w:p w14:paraId="791E446D">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他引总次数</w:t>
            </w:r>
          </w:p>
        </w:tc>
        <w:tc>
          <w:tcPr>
            <w:tcW w:w="843" w:type="dxa"/>
            <w:vAlign w:val="center"/>
          </w:tcPr>
          <w:p w14:paraId="5AF4800E">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检索数据库</w:t>
            </w:r>
          </w:p>
        </w:tc>
        <w:tc>
          <w:tcPr>
            <w:tcW w:w="818" w:type="dxa"/>
            <w:vAlign w:val="center"/>
          </w:tcPr>
          <w:p w14:paraId="78042980">
            <w:pPr>
              <w:pStyle w:val="3"/>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论文署名单位是否包含国外单位</w:t>
            </w:r>
          </w:p>
        </w:tc>
      </w:tr>
      <w:tr w14:paraId="73C247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93" w:type="dxa"/>
            <w:vAlign w:val="center"/>
          </w:tcPr>
          <w:p w14:paraId="2C4886FC">
            <w:pPr>
              <w:spacing w:line="240" w:lineRule="auto"/>
              <w:ind w:firstLine="0" w:firstLineChars="0"/>
              <w:rPr>
                <w:rFonts w:ascii="宋体" w:hAnsi="宋体" w:cs="宋体"/>
                <w:b/>
                <w:bCs/>
                <w:color w:val="000000"/>
                <w:szCs w:val="24"/>
              </w:rPr>
            </w:pPr>
            <w:r>
              <w:rPr>
                <w:rFonts w:hint="eastAsia" w:ascii="宋体" w:hAnsi="宋体" w:cs="宋体"/>
                <w:color w:val="000000"/>
                <w:szCs w:val="24"/>
              </w:rPr>
              <w:t>1</w:t>
            </w:r>
          </w:p>
        </w:tc>
        <w:tc>
          <w:tcPr>
            <w:tcW w:w="2101" w:type="dxa"/>
            <w:vAlign w:val="center"/>
          </w:tcPr>
          <w:p w14:paraId="095F724E">
            <w:pPr>
              <w:spacing w:line="240" w:lineRule="auto"/>
              <w:ind w:firstLine="480"/>
              <w:jc w:val="center"/>
              <w:rPr>
                <w:b/>
                <w:bCs/>
                <w:color w:val="000000"/>
                <w:szCs w:val="24"/>
              </w:rPr>
            </w:pPr>
            <w:r>
              <w:rPr>
                <w:szCs w:val="24"/>
              </w:rPr>
              <w:t>BMP2 Is Related toHirschsprung's Disease and Required for Enteric NervousSystem Development.Front CellNeurosci Huang s, Wang Y, Luo L, Li X, Jin X, Li s, Yu X, Yang M, Guo Z.  .</w:t>
            </w:r>
          </w:p>
        </w:tc>
        <w:tc>
          <w:tcPr>
            <w:tcW w:w="871" w:type="dxa"/>
            <w:vAlign w:val="center"/>
          </w:tcPr>
          <w:p w14:paraId="6A5AD40C">
            <w:pPr>
              <w:spacing w:line="240" w:lineRule="auto"/>
              <w:ind w:firstLine="480"/>
              <w:jc w:val="center"/>
              <w:rPr>
                <w:b/>
                <w:bCs/>
                <w:color w:val="000000"/>
                <w:szCs w:val="24"/>
              </w:rPr>
            </w:pPr>
            <w:r>
              <w:rPr>
                <w:szCs w:val="24"/>
              </w:rPr>
              <w:t>2019;13:523.</w:t>
            </w:r>
          </w:p>
        </w:tc>
        <w:tc>
          <w:tcPr>
            <w:tcW w:w="578" w:type="dxa"/>
          </w:tcPr>
          <w:p w14:paraId="35949133">
            <w:pPr>
              <w:spacing w:line="240" w:lineRule="auto"/>
              <w:ind w:firstLine="480"/>
              <w:jc w:val="center"/>
              <w:rPr>
                <w:b/>
                <w:bCs/>
                <w:color w:val="000000"/>
                <w:szCs w:val="24"/>
              </w:rPr>
            </w:pPr>
            <w:r>
              <w:rPr>
                <w:color w:val="000000"/>
                <w:szCs w:val="24"/>
              </w:rPr>
              <w:t>2019年12月3日</w:t>
            </w:r>
          </w:p>
        </w:tc>
        <w:tc>
          <w:tcPr>
            <w:tcW w:w="906" w:type="dxa"/>
          </w:tcPr>
          <w:p w14:paraId="5AD42D90">
            <w:pPr>
              <w:spacing w:line="240" w:lineRule="auto"/>
              <w:ind w:firstLine="480"/>
              <w:jc w:val="center"/>
              <w:rPr>
                <w:b/>
                <w:bCs/>
                <w:color w:val="000000"/>
                <w:szCs w:val="24"/>
              </w:rPr>
            </w:pPr>
            <w:r>
              <w:rPr>
                <w:color w:val="000000"/>
                <w:szCs w:val="24"/>
              </w:rPr>
              <w:t>Guo, Zhenhua</w:t>
            </w:r>
          </w:p>
        </w:tc>
        <w:tc>
          <w:tcPr>
            <w:tcW w:w="968" w:type="dxa"/>
          </w:tcPr>
          <w:p w14:paraId="6F7D9260">
            <w:pPr>
              <w:spacing w:line="240" w:lineRule="auto"/>
              <w:ind w:firstLine="480"/>
              <w:jc w:val="center"/>
              <w:rPr>
                <w:b/>
                <w:bCs/>
                <w:color w:val="000000"/>
                <w:szCs w:val="24"/>
              </w:rPr>
            </w:pPr>
            <w:r>
              <w:rPr>
                <w:color w:val="000000"/>
                <w:szCs w:val="24"/>
              </w:rPr>
              <w:t>Huang,Sizhou</w:t>
            </w:r>
          </w:p>
        </w:tc>
        <w:tc>
          <w:tcPr>
            <w:tcW w:w="868" w:type="dxa"/>
            <w:vAlign w:val="center"/>
          </w:tcPr>
          <w:p w14:paraId="5CF5D11C">
            <w:pPr>
              <w:pStyle w:val="3"/>
              <w:adjustRightInd w:val="0"/>
              <w:spacing w:after="50" w:line="240" w:lineRule="auto"/>
              <w:ind w:firstLine="0" w:firstLineChars="0"/>
              <w:rPr>
                <w:rFonts w:ascii="Times New Roman" w:hAnsi="Times New Roman" w:eastAsia="宋体"/>
                <w:b/>
                <w:bCs/>
                <w:color w:val="000000"/>
                <w:kern w:val="2"/>
                <w:szCs w:val="24"/>
              </w:rPr>
            </w:pPr>
            <w:r>
              <w:rPr>
                <w:rFonts w:ascii="Times New Roman" w:hAnsi="Times New Roman" w:eastAsia="宋体"/>
                <w:color w:val="000000"/>
                <w:kern w:val="2"/>
                <w:szCs w:val="24"/>
              </w:rPr>
              <w:t xml:space="preserve"> Huang, Sizhou;Wang, Yi;Luo, Lingfei;Li, Xiaoqing;Jin, Xianqing;Li, Shuangshuang;Yu, Xiaoping;Yang, Min;Guo, Zhenhua</w:t>
            </w:r>
          </w:p>
        </w:tc>
        <w:tc>
          <w:tcPr>
            <w:tcW w:w="743" w:type="dxa"/>
            <w:shd w:val="clear" w:color="auto" w:fill="auto"/>
            <w:vAlign w:val="center"/>
          </w:tcPr>
          <w:p w14:paraId="082B4177">
            <w:pPr>
              <w:spacing w:line="240" w:lineRule="auto"/>
              <w:ind w:firstLine="0" w:firstLineChars="0"/>
              <w:rPr>
                <w:color w:val="000000"/>
                <w:szCs w:val="24"/>
              </w:rPr>
            </w:pPr>
            <w:r>
              <w:rPr>
                <w:color w:val="000000"/>
                <w:szCs w:val="24"/>
              </w:rPr>
              <w:t>14</w:t>
            </w:r>
          </w:p>
        </w:tc>
        <w:tc>
          <w:tcPr>
            <w:tcW w:w="843" w:type="dxa"/>
            <w:vAlign w:val="center"/>
          </w:tcPr>
          <w:p w14:paraId="62726947">
            <w:pPr>
              <w:pStyle w:val="3"/>
              <w:adjustRightInd w:val="0"/>
              <w:spacing w:after="50" w:line="320" w:lineRule="exact"/>
              <w:ind w:firstLine="0" w:firstLineChars="0"/>
              <w:rPr>
                <w:rFonts w:ascii="Times New Roman" w:hAnsi="Times New Roman" w:eastAsia="宋体"/>
                <w:b/>
                <w:bCs/>
                <w:color w:val="000000"/>
                <w:kern w:val="2"/>
                <w:szCs w:val="24"/>
              </w:rPr>
            </w:pPr>
            <w:r>
              <w:rPr>
                <w:rFonts w:ascii="Times New Roman" w:hAnsi="Times New Roman" w:eastAsia="宋体"/>
                <w:color w:val="000000"/>
                <w:kern w:val="2"/>
                <w:szCs w:val="24"/>
              </w:rPr>
              <w:t>Web of Science</w:t>
            </w:r>
          </w:p>
        </w:tc>
        <w:tc>
          <w:tcPr>
            <w:tcW w:w="818" w:type="dxa"/>
            <w:vAlign w:val="center"/>
          </w:tcPr>
          <w:p w14:paraId="761E6AFD">
            <w:pPr>
              <w:pStyle w:val="3"/>
              <w:adjustRightInd w:val="0"/>
              <w:spacing w:after="50" w:line="320" w:lineRule="exact"/>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否</w:t>
            </w:r>
          </w:p>
        </w:tc>
      </w:tr>
      <w:tr w14:paraId="1EE05B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93" w:type="dxa"/>
            <w:vAlign w:val="center"/>
          </w:tcPr>
          <w:p w14:paraId="4581BCEE">
            <w:pPr>
              <w:spacing w:line="240" w:lineRule="auto"/>
              <w:ind w:firstLine="0" w:firstLineChars="0"/>
              <w:rPr>
                <w:rFonts w:ascii="宋体" w:hAnsi="宋体" w:cs="宋体"/>
                <w:b/>
                <w:bCs/>
                <w:color w:val="000000"/>
                <w:szCs w:val="24"/>
              </w:rPr>
            </w:pPr>
            <w:r>
              <w:rPr>
                <w:rFonts w:hint="eastAsia" w:ascii="宋体" w:hAnsi="宋体" w:cs="宋体"/>
                <w:color w:val="000000"/>
                <w:szCs w:val="24"/>
              </w:rPr>
              <w:t>2</w:t>
            </w:r>
          </w:p>
        </w:tc>
        <w:tc>
          <w:tcPr>
            <w:tcW w:w="2101" w:type="dxa"/>
            <w:vAlign w:val="center"/>
          </w:tcPr>
          <w:p w14:paraId="63B3AE71">
            <w:pPr>
              <w:ind w:firstLine="480"/>
              <w:rPr>
                <w:szCs w:val="24"/>
              </w:rPr>
            </w:pPr>
            <w:r>
              <w:rPr>
                <w:szCs w:val="24"/>
              </w:rPr>
              <w:t xml:space="preserve"> miRNA Profiling Reveals</w:t>
            </w:r>
          </w:p>
          <w:p w14:paraId="3FE8FD8E">
            <w:pPr>
              <w:spacing w:line="240" w:lineRule="auto"/>
              <w:ind w:firstLine="480"/>
              <w:jc w:val="center"/>
              <w:rPr>
                <w:b/>
                <w:bCs/>
                <w:color w:val="000000"/>
                <w:szCs w:val="24"/>
              </w:rPr>
            </w:pPr>
            <w:r>
              <w:rPr>
                <w:szCs w:val="24"/>
              </w:rPr>
              <w:t xml:space="preserve">Dysregulation of RET and RET-Regulating Pathways in Hirschsprung's Disease. PLoS One. Li S, Wang S, Guo Z, Wu H, jin X, Wang Y, Li X, Liang S. </w:t>
            </w:r>
          </w:p>
        </w:tc>
        <w:tc>
          <w:tcPr>
            <w:tcW w:w="871" w:type="dxa"/>
            <w:vAlign w:val="center"/>
          </w:tcPr>
          <w:p w14:paraId="67DAF977">
            <w:pPr>
              <w:spacing w:line="240" w:lineRule="auto"/>
              <w:ind w:firstLine="480"/>
              <w:jc w:val="center"/>
              <w:rPr>
                <w:b/>
                <w:bCs/>
                <w:color w:val="000000"/>
                <w:szCs w:val="24"/>
              </w:rPr>
            </w:pPr>
            <w:r>
              <w:rPr>
                <w:color w:val="000000"/>
                <w:szCs w:val="24"/>
              </w:rPr>
              <w:t>2016;11(3):e0150222.</w:t>
            </w:r>
          </w:p>
        </w:tc>
        <w:tc>
          <w:tcPr>
            <w:tcW w:w="578" w:type="dxa"/>
          </w:tcPr>
          <w:p w14:paraId="25F12F13">
            <w:pPr>
              <w:spacing w:line="240" w:lineRule="auto"/>
              <w:ind w:firstLine="480"/>
              <w:jc w:val="center"/>
              <w:rPr>
                <w:b/>
                <w:bCs/>
                <w:color w:val="000000"/>
                <w:szCs w:val="24"/>
              </w:rPr>
            </w:pPr>
            <w:r>
              <w:rPr>
                <w:color w:val="000000"/>
                <w:szCs w:val="24"/>
              </w:rPr>
              <w:t>2016年3月2日</w:t>
            </w:r>
          </w:p>
        </w:tc>
        <w:tc>
          <w:tcPr>
            <w:tcW w:w="906" w:type="dxa"/>
          </w:tcPr>
          <w:p w14:paraId="27AD3F8A">
            <w:pPr>
              <w:spacing w:line="240" w:lineRule="auto"/>
              <w:ind w:firstLine="480"/>
              <w:jc w:val="center"/>
              <w:rPr>
                <w:b/>
                <w:bCs/>
                <w:color w:val="000000"/>
                <w:szCs w:val="24"/>
              </w:rPr>
            </w:pPr>
            <w:r>
              <w:rPr>
                <w:color w:val="000000"/>
                <w:szCs w:val="24"/>
              </w:rPr>
              <w:t>Guo, Zhenhua</w:t>
            </w:r>
          </w:p>
        </w:tc>
        <w:tc>
          <w:tcPr>
            <w:tcW w:w="968" w:type="dxa"/>
          </w:tcPr>
          <w:p w14:paraId="387F73D0">
            <w:pPr>
              <w:spacing w:line="240" w:lineRule="auto"/>
              <w:ind w:firstLine="480"/>
              <w:jc w:val="center"/>
              <w:rPr>
                <w:b/>
                <w:bCs/>
                <w:color w:val="000000"/>
                <w:szCs w:val="24"/>
              </w:rPr>
            </w:pPr>
            <w:r>
              <w:rPr>
                <w:color w:val="000000"/>
                <w:szCs w:val="24"/>
              </w:rPr>
              <w:t>Li, Shuangshuang</w:t>
            </w:r>
          </w:p>
        </w:tc>
        <w:tc>
          <w:tcPr>
            <w:tcW w:w="868" w:type="dxa"/>
            <w:vAlign w:val="center"/>
          </w:tcPr>
          <w:p w14:paraId="41C43F53">
            <w:pPr>
              <w:pStyle w:val="3"/>
              <w:adjustRightInd w:val="0"/>
              <w:spacing w:after="50" w:line="240" w:lineRule="auto"/>
              <w:ind w:firstLine="0" w:firstLineChars="0"/>
              <w:rPr>
                <w:rFonts w:ascii="Times New Roman" w:hAnsi="Times New Roman" w:eastAsia="宋体"/>
                <w:b/>
                <w:bCs/>
                <w:color w:val="000000"/>
                <w:kern w:val="2"/>
                <w:szCs w:val="24"/>
              </w:rPr>
            </w:pPr>
            <w:r>
              <w:rPr>
                <w:rFonts w:ascii="Times New Roman" w:hAnsi="Times New Roman" w:eastAsia="宋体"/>
                <w:szCs w:val="24"/>
              </w:rPr>
              <w:t xml:space="preserve"> Li, Shuangshuang;Wang, Shiqi;Guo, Zhenhua;Wu, Huan;Jin, Xianqing;Wang, Yi;Li, Xiaoqing;Liang, Shaoyan </w:t>
            </w:r>
          </w:p>
        </w:tc>
        <w:tc>
          <w:tcPr>
            <w:tcW w:w="743" w:type="dxa"/>
            <w:shd w:val="clear" w:color="auto" w:fill="auto"/>
            <w:vAlign w:val="center"/>
          </w:tcPr>
          <w:p w14:paraId="13D50892">
            <w:pPr>
              <w:spacing w:line="240" w:lineRule="auto"/>
              <w:ind w:firstLine="0" w:firstLineChars="0"/>
              <w:rPr>
                <w:color w:val="000000"/>
                <w:szCs w:val="24"/>
              </w:rPr>
            </w:pPr>
            <w:r>
              <w:rPr>
                <w:color w:val="000000"/>
                <w:szCs w:val="24"/>
              </w:rPr>
              <w:t>15</w:t>
            </w:r>
          </w:p>
        </w:tc>
        <w:tc>
          <w:tcPr>
            <w:tcW w:w="843" w:type="dxa"/>
            <w:vAlign w:val="center"/>
          </w:tcPr>
          <w:p w14:paraId="404C56DE">
            <w:pPr>
              <w:pStyle w:val="3"/>
              <w:adjustRightInd w:val="0"/>
              <w:spacing w:after="50" w:line="320" w:lineRule="exact"/>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Web of Science</w:t>
            </w:r>
          </w:p>
        </w:tc>
        <w:tc>
          <w:tcPr>
            <w:tcW w:w="818" w:type="dxa"/>
            <w:vAlign w:val="center"/>
          </w:tcPr>
          <w:p w14:paraId="04C6B90B">
            <w:pPr>
              <w:pStyle w:val="3"/>
              <w:adjustRightInd w:val="0"/>
              <w:spacing w:after="50" w:line="320" w:lineRule="exact"/>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否</w:t>
            </w:r>
          </w:p>
        </w:tc>
      </w:tr>
      <w:tr w14:paraId="2568F2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93" w:type="dxa"/>
            <w:vAlign w:val="center"/>
          </w:tcPr>
          <w:p w14:paraId="7639D444">
            <w:pPr>
              <w:spacing w:line="240" w:lineRule="auto"/>
              <w:ind w:firstLine="0" w:firstLineChars="0"/>
              <w:rPr>
                <w:rFonts w:ascii="宋体" w:hAnsi="宋体" w:cs="宋体"/>
                <w:b/>
                <w:bCs/>
                <w:color w:val="000000"/>
                <w:szCs w:val="24"/>
              </w:rPr>
            </w:pPr>
            <w:r>
              <w:rPr>
                <w:rFonts w:hint="eastAsia" w:ascii="宋体" w:hAnsi="宋体" w:cs="宋体"/>
                <w:color w:val="000000"/>
                <w:szCs w:val="24"/>
              </w:rPr>
              <w:t>3</w:t>
            </w:r>
          </w:p>
        </w:tc>
        <w:tc>
          <w:tcPr>
            <w:tcW w:w="2101" w:type="dxa"/>
            <w:vAlign w:val="center"/>
          </w:tcPr>
          <w:p w14:paraId="2CC3EE20">
            <w:pPr>
              <w:spacing w:line="240" w:lineRule="auto"/>
              <w:ind w:firstLine="480"/>
              <w:jc w:val="center"/>
              <w:rPr>
                <w:b/>
                <w:bCs/>
                <w:color w:val="000000"/>
                <w:szCs w:val="24"/>
              </w:rPr>
            </w:pPr>
            <w:r>
              <w:rPr>
                <w:color w:val="000000"/>
                <w:szCs w:val="24"/>
              </w:rPr>
              <w:t>Myoneurin regulates BMP signaling by competing with Ppm1a for Smad binding. iScience. Yang, S., Ning, G., Hou, Y., Cao, Y., Xu, J., Wu, J., Zhang, T., &amp; Wang, Q. (2022).  </w:t>
            </w:r>
          </w:p>
        </w:tc>
        <w:tc>
          <w:tcPr>
            <w:tcW w:w="871" w:type="dxa"/>
            <w:vAlign w:val="center"/>
          </w:tcPr>
          <w:p w14:paraId="4116E08C">
            <w:pPr>
              <w:spacing w:line="240" w:lineRule="auto"/>
              <w:ind w:firstLine="480"/>
              <w:jc w:val="center"/>
              <w:rPr>
                <w:b/>
                <w:bCs/>
                <w:color w:val="000000"/>
                <w:szCs w:val="24"/>
              </w:rPr>
            </w:pPr>
            <w:r>
              <w:rPr>
                <w:color w:val="212121"/>
                <w:szCs w:val="24"/>
                <w:shd w:val="clear" w:color="auto" w:fill="FFFFFF"/>
              </w:rPr>
              <w:t>2022;25(6):104495.</w:t>
            </w:r>
          </w:p>
        </w:tc>
        <w:tc>
          <w:tcPr>
            <w:tcW w:w="578" w:type="dxa"/>
          </w:tcPr>
          <w:p w14:paraId="41FFA76B">
            <w:pPr>
              <w:spacing w:line="240" w:lineRule="auto"/>
              <w:ind w:firstLine="480"/>
              <w:jc w:val="center"/>
              <w:rPr>
                <w:b/>
                <w:bCs/>
                <w:color w:val="000000"/>
                <w:szCs w:val="24"/>
              </w:rPr>
            </w:pPr>
            <w:r>
              <w:rPr>
                <w:color w:val="000000"/>
                <w:szCs w:val="24"/>
              </w:rPr>
              <w:t>2021年12月23日</w:t>
            </w:r>
          </w:p>
        </w:tc>
        <w:tc>
          <w:tcPr>
            <w:tcW w:w="906" w:type="dxa"/>
          </w:tcPr>
          <w:p w14:paraId="6E6A3859">
            <w:pPr>
              <w:spacing w:line="240" w:lineRule="auto"/>
              <w:ind w:firstLine="480"/>
              <w:jc w:val="center"/>
              <w:rPr>
                <w:b/>
                <w:bCs/>
                <w:color w:val="000000"/>
                <w:szCs w:val="24"/>
              </w:rPr>
            </w:pPr>
            <w:r>
              <w:rPr>
                <w:color w:val="000000"/>
                <w:szCs w:val="24"/>
              </w:rPr>
              <w:t>Wang, Qiang</w:t>
            </w:r>
          </w:p>
        </w:tc>
        <w:tc>
          <w:tcPr>
            <w:tcW w:w="968" w:type="dxa"/>
          </w:tcPr>
          <w:p w14:paraId="2CE37C7A">
            <w:pPr>
              <w:spacing w:line="240" w:lineRule="auto"/>
              <w:ind w:firstLine="480"/>
              <w:jc w:val="center"/>
              <w:rPr>
                <w:b/>
                <w:bCs/>
                <w:color w:val="000000"/>
                <w:szCs w:val="24"/>
              </w:rPr>
            </w:pPr>
            <w:r>
              <w:rPr>
                <w:color w:val="000000"/>
                <w:szCs w:val="24"/>
              </w:rPr>
              <w:t>Yan, Yifang</w:t>
            </w:r>
          </w:p>
        </w:tc>
        <w:tc>
          <w:tcPr>
            <w:tcW w:w="868" w:type="dxa"/>
            <w:vAlign w:val="center"/>
          </w:tcPr>
          <w:p w14:paraId="624BCFF0">
            <w:pPr>
              <w:pStyle w:val="3"/>
              <w:adjustRightInd w:val="0"/>
              <w:spacing w:after="50" w:line="240" w:lineRule="auto"/>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 xml:space="preserve"> Yang, Shuyan;Ning, Guozhu;Hou, Yiming;Cao, Yu;Xu, Jin;Wu, Jianxin;Zhang, Ting;Wang, Qiang</w:t>
            </w:r>
          </w:p>
        </w:tc>
        <w:tc>
          <w:tcPr>
            <w:tcW w:w="743" w:type="dxa"/>
            <w:shd w:val="clear" w:color="auto" w:fill="auto"/>
            <w:vAlign w:val="center"/>
          </w:tcPr>
          <w:p w14:paraId="1E24871A">
            <w:pPr>
              <w:spacing w:line="240" w:lineRule="auto"/>
              <w:ind w:firstLine="0" w:firstLineChars="0"/>
              <w:rPr>
                <w:color w:val="000000"/>
                <w:szCs w:val="24"/>
              </w:rPr>
            </w:pPr>
            <w:r>
              <w:rPr>
                <w:color w:val="000000"/>
                <w:szCs w:val="24"/>
              </w:rPr>
              <w:t>10</w:t>
            </w:r>
          </w:p>
        </w:tc>
        <w:tc>
          <w:tcPr>
            <w:tcW w:w="843" w:type="dxa"/>
            <w:vAlign w:val="center"/>
          </w:tcPr>
          <w:p w14:paraId="3B01767C">
            <w:pPr>
              <w:pStyle w:val="3"/>
              <w:adjustRightInd w:val="0"/>
              <w:spacing w:after="50" w:line="320" w:lineRule="exact"/>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Web of Science</w:t>
            </w:r>
          </w:p>
        </w:tc>
        <w:tc>
          <w:tcPr>
            <w:tcW w:w="818" w:type="dxa"/>
            <w:vAlign w:val="center"/>
          </w:tcPr>
          <w:p w14:paraId="02504A01">
            <w:pPr>
              <w:pStyle w:val="3"/>
              <w:adjustRightInd w:val="0"/>
              <w:spacing w:after="50" w:line="320" w:lineRule="exact"/>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否</w:t>
            </w:r>
          </w:p>
        </w:tc>
      </w:tr>
      <w:tr w14:paraId="3A724E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93" w:type="dxa"/>
            <w:vAlign w:val="center"/>
          </w:tcPr>
          <w:p w14:paraId="7D24DB1F">
            <w:pPr>
              <w:spacing w:line="240" w:lineRule="auto"/>
              <w:ind w:firstLine="0" w:firstLineChars="0"/>
              <w:rPr>
                <w:rFonts w:ascii="宋体" w:hAnsi="宋体" w:cs="宋体"/>
                <w:b/>
                <w:bCs/>
                <w:color w:val="000000"/>
                <w:szCs w:val="24"/>
              </w:rPr>
            </w:pPr>
            <w:r>
              <w:rPr>
                <w:rFonts w:hint="eastAsia" w:ascii="宋体" w:hAnsi="宋体" w:cs="宋体"/>
                <w:color w:val="000000"/>
                <w:szCs w:val="24"/>
              </w:rPr>
              <w:t>4</w:t>
            </w:r>
          </w:p>
        </w:tc>
        <w:tc>
          <w:tcPr>
            <w:tcW w:w="2101" w:type="dxa"/>
            <w:vAlign w:val="center"/>
          </w:tcPr>
          <w:p w14:paraId="4AD0453B">
            <w:pPr>
              <w:spacing w:line="240" w:lineRule="auto"/>
              <w:ind w:firstLine="480"/>
              <w:jc w:val="center"/>
              <w:rPr>
                <w:b/>
                <w:bCs/>
                <w:color w:val="000000"/>
                <w:szCs w:val="24"/>
              </w:rPr>
            </w:pPr>
            <w:r>
              <w:rPr>
                <w:szCs w:val="24"/>
              </w:rPr>
              <w:t>Aplnra/b Sequentially Regulate Organ Left-Right Patterning via Distinct Mechanisms, Int JBiol Sci.Zhu C，Guo ZZhang Y, Liu M, chen B, Cao K, wu Y, Yang M, Yin w, Zhao H, Tai H, Ou Y, Yu x, Liu C, Li s, Su B, Feng Y.Huang s*</w:t>
            </w:r>
          </w:p>
        </w:tc>
        <w:tc>
          <w:tcPr>
            <w:tcW w:w="871" w:type="dxa"/>
            <w:vAlign w:val="center"/>
          </w:tcPr>
          <w:p w14:paraId="47363CA6">
            <w:pPr>
              <w:spacing w:line="240" w:lineRule="auto"/>
              <w:ind w:firstLine="480"/>
              <w:jc w:val="center"/>
              <w:rPr>
                <w:b/>
                <w:bCs/>
                <w:color w:val="000000"/>
                <w:szCs w:val="24"/>
              </w:rPr>
            </w:pPr>
            <w:r>
              <w:rPr>
                <w:szCs w:val="24"/>
              </w:rPr>
              <w:t>2019 11:15(6):1225-1239.</w:t>
            </w:r>
          </w:p>
        </w:tc>
        <w:tc>
          <w:tcPr>
            <w:tcW w:w="578" w:type="dxa"/>
          </w:tcPr>
          <w:p w14:paraId="2EE996B7">
            <w:pPr>
              <w:spacing w:line="240" w:lineRule="auto"/>
              <w:ind w:firstLine="480"/>
              <w:jc w:val="center"/>
              <w:rPr>
                <w:b/>
                <w:bCs/>
                <w:color w:val="000000"/>
                <w:szCs w:val="24"/>
              </w:rPr>
            </w:pPr>
            <w:r>
              <w:rPr>
                <w:color w:val="000000"/>
                <w:szCs w:val="24"/>
              </w:rPr>
              <w:t>2019年5月11日</w:t>
            </w:r>
          </w:p>
        </w:tc>
        <w:tc>
          <w:tcPr>
            <w:tcW w:w="906" w:type="dxa"/>
          </w:tcPr>
          <w:p w14:paraId="3FBC185F">
            <w:pPr>
              <w:spacing w:line="240" w:lineRule="auto"/>
              <w:ind w:firstLine="480"/>
              <w:jc w:val="center"/>
              <w:rPr>
                <w:b/>
                <w:bCs/>
                <w:color w:val="000000"/>
                <w:szCs w:val="24"/>
              </w:rPr>
            </w:pPr>
            <w:r>
              <w:rPr>
                <w:color w:val="000000"/>
                <w:szCs w:val="24"/>
              </w:rPr>
              <w:t>Huang, Si zhou</w:t>
            </w:r>
          </w:p>
        </w:tc>
        <w:tc>
          <w:tcPr>
            <w:tcW w:w="968" w:type="dxa"/>
          </w:tcPr>
          <w:p w14:paraId="69943AF0">
            <w:pPr>
              <w:spacing w:line="240" w:lineRule="auto"/>
              <w:ind w:firstLine="480"/>
              <w:jc w:val="center"/>
              <w:rPr>
                <w:b/>
                <w:bCs/>
                <w:color w:val="000000"/>
                <w:szCs w:val="24"/>
              </w:rPr>
            </w:pPr>
            <w:r>
              <w:rPr>
                <w:color w:val="000000"/>
                <w:szCs w:val="24"/>
              </w:rPr>
              <w:t>Guo, Zhenhua</w:t>
            </w:r>
          </w:p>
        </w:tc>
        <w:tc>
          <w:tcPr>
            <w:tcW w:w="868" w:type="dxa"/>
            <w:vAlign w:val="center"/>
          </w:tcPr>
          <w:p w14:paraId="37DE57B0">
            <w:pPr>
              <w:widowControl/>
              <w:shd w:val="clear" w:color="auto" w:fill="FFFFFF"/>
              <w:spacing w:line="240" w:lineRule="auto"/>
              <w:ind w:firstLine="0" w:firstLineChars="0"/>
              <w:jc w:val="left"/>
              <w:rPr>
                <w:b/>
                <w:bCs/>
                <w:color w:val="000000"/>
                <w:szCs w:val="24"/>
              </w:rPr>
            </w:pPr>
            <w:r>
              <w:rPr>
                <w:szCs w:val="24"/>
              </w:rPr>
              <w:t xml:space="preserve"> Zhu, Chengke;Guo, Zhenghua;Zhang, Yu;Liu, Min;Chen, Bingyu;Cao, Kang;Wu, Yongmei;Yang, Min;Yin, Wenqing;Zhao, Haixia;Tai, Haoran;Ou, Yu;Yu, Xiaoping;Liu, Chi;Li, Shurong;Su, Bingyin;Feng, Yi;Huang, Sizhou</w:t>
            </w:r>
          </w:p>
        </w:tc>
        <w:tc>
          <w:tcPr>
            <w:tcW w:w="743" w:type="dxa"/>
            <w:shd w:val="clear" w:color="auto" w:fill="auto"/>
            <w:vAlign w:val="center"/>
          </w:tcPr>
          <w:p w14:paraId="77E11C72">
            <w:pPr>
              <w:spacing w:line="240" w:lineRule="auto"/>
              <w:ind w:firstLine="0" w:firstLineChars="0"/>
              <w:rPr>
                <w:color w:val="000000"/>
                <w:szCs w:val="24"/>
              </w:rPr>
            </w:pPr>
            <w:r>
              <w:rPr>
                <w:color w:val="000000"/>
                <w:szCs w:val="24"/>
              </w:rPr>
              <w:t>4</w:t>
            </w:r>
          </w:p>
        </w:tc>
        <w:tc>
          <w:tcPr>
            <w:tcW w:w="843" w:type="dxa"/>
            <w:vAlign w:val="center"/>
          </w:tcPr>
          <w:p w14:paraId="5C8AEE12">
            <w:pPr>
              <w:autoSpaceDE w:val="0"/>
              <w:autoSpaceDN w:val="0"/>
              <w:adjustRightInd w:val="0"/>
              <w:spacing w:line="240" w:lineRule="auto"/>
              <w:ind w:firstLine="0" w:firstLineChars="0"/>
              <w:jc w:val="left"/>
              <w:rPr>
                <w:b/>
                <w:bCs/>
                <w:color w:val="000000"/>
                <w:szCs w:val="24"/>
              </w:rPr>
            </w:pPr>
            <w:r>
              <w:rPr>
                <w:color w:val="000000"/>
                <w:szCs w:val="24"/>
              </w:rPr>
              <w:t>Web of Science</w:t>
            </w:r>
          </w:p>
        </w:tc>
        <w:tc>
          <w:tcPr>
            <w:tcW w:w="818" w:type="dxa"/>
            <w:vAlign w:val="center"/>
          </w:tcPr>
          <w:p w14:paraId="75744832">
            <w:pPr>
              <w:pStyle w:val="3"/>
              <w:adjustRightInd w:val="0"/>
              <w:spacing w:after="50" w:line="320" w:lineRule="exact"/>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是</w:t>
            </w:r>
          </w:p>
        </w:tc>
      </w:tr>
      <w:tr w14:paraId="6A06F0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93" w:type="dxa"/>
            <w:vAlign w:val="center"/>
          </w:tcPr>
          <w:p w14:paraId="51619A44">
            <w:pPr>
              <w:spacing w:line="240" w:lineRule="auto"/>
              <w:ind w:firstLine="0" w:firstLineChars="0"/>
              <w:rPr>
                <w:rFonts w:ascii="宋体" w:hAnsi="宋体" w:cs="宋体"/>
                <w:b/>
                <w:bCs/>
                <w:color w:val="000000"/>
                <w:szCs w:val="24"/>
              </w:rPr>
            </w:pPr>
            <w:r>
              <w:rPr>
                <w:rFonts w:hint="eastAsia" w:ascii="宋体" w:hAnsi="宋体" w:cs="宋体"/>
                <w:color w:val="000000"/>
                <w:szCs w:val="24"/>
              </w:rPr>
              <w:t>5</w:t>
            </w:r>
          </w:p>
        </w:tc>
        <w:tc>
          <w:tcPr>
            <w:tcW w:w="2101" w:type="dxa"/>
            <w:vAlign w:val="center"/>
          </w:tcPr>
          <w:p w14:paraId="147D5C4E">
            <w:pPr>
              <w:spacing w:line="240" w:lineRule="auto"/>
              <w:ind w:firstLine="480"/>
              <w:jc w:val="center"/>
              <w:rPr>
                <w:b/>
                <w:bCs/>
                <w:color w:val="000000"/>
                <w:szCs w:val="24"/>
              </w:rPr>
            </w:pPr>
            <w:r>
              <w:rPr>
                <w:color w:val="000000"/>
                <w:szCs w:val="24"/>
              </w:rPr>
              <w:t>PRKX, a Novel cAMP-Dependent Protein Kinase Member, Plays an Important Role in Development. J Cell Biochem.Huang S, Li Q, Alberts I, Li X.</w:t>
            </w:r>
          </w:p>
        </w:tc>
        <w:tc>
          <w:tcPr>
            <w:tcW w:w="871" w:type="dxa"/>
            <w:vAlign w:val="center"/>
          </w:tcPr>
          <w:p w14:paraId="7D3F6A6C">
            <w:pPr>
              <w:spacing w:line="240" w:lineRule="auto"/>
              <w:ind w:firstLine="480"/>
              <w:jc w:val="center"/>
              <w:rPr>
                <w:b/>
                <w:bCs/>
                <w:color w:val="000000"/>
                <w:szCs w:val="24"/>
              </w:rPr>
            </w:pPr>
            <w:r>
              <w:rPr>
                <w:color w:val="000000"/>
                <w:szCs w:val="24"/>
              </w:rPr>
              <w:t>2016;117(3):566-573.</w:t>
            </w:r>
          </w:p>
        </w:tc>
        <w:tc>
          <w:tcPr>
            <w:tcW w:w="578" w:type="dxa"/>
          </w:tcPr>
          <w:p w14:paraId="5DE22752">
            <w:pPr>
              <w:spacing w:line="240" w:lineRule="auto"/>
              <w:ind w:firstLine="480"/>
              <w:jc w:val="center"/>
              <w:rPr>
                <w:b/>
                <w:bCs/>
                <w:color w:val="000000"/>
                <w:szCs w:val="24"/>
              </w:rPr>
            </w:pPr>
            <w:r>
              <w:rPr>
                <w:color w:val="000000"/>
                <w:szCs w:val="24"/>
              </w:rPr>
              <w:t>2016年3月</w:t>
            </w:r>
          </w:p>
        </w:tc>
        <w:tc>
          <w:tcPr>
            <w:tcW w:w="906" w:type="dxa"/>
          </w:tcPr>
          <w:p w14:paraId="32F95A1F">
            <w:pPr>
              <w:spacing w:line="240" w:lineRule="auto"/>
              <w:ind w:firstLine="480"/>
              <w:jc w:val="center"/>
              <w:rPr>
                <w:b/>
                <w:bCs/>
                <w:color w:val="000000"/>
                <w:szCs w:val="24"/>
              </w:rPr>
            </w:pPr>
            <w:r>
              <w:rPr>
                <w:color w:val="000000"/>
                <w:szCs w:val="24"/>
              </w:rPr>
              <w:t>Li, Xiaohong</w:t>
            </w:r>
          </w:p>
        </w:tc>
        <w:tc>
          <w:tcPr>
            <w:tcW w:w="968" w:type="dxa"/>
          </w:tcPr>
          <w:p w14:paraId="6EFFEA6C">
            <w:pPr>
              <w:spacing w:line="240" w:lineRule="auto"/>
              <w:ind w:firstLine="480"/>
              <w:jc w:val="center"/>
              <w:rPr>
                <w:b/>
                <w:bCs/>
                <w:color w:val="000000"/>
                <w:szCs w:val="24"/>
              </w:rPr>
            </w:pPr>
            <w:r>
              <w:rPr>
                <w:color w:val="000000"/>
                <w:szCs w:val="24"/>
              </w:rPr>
              <w:t>Huang,Sizhou</w:t>
            </w:r>
          </w:p>
        </w:tc>
        <w:tc>
          <w:tcPr>
            <w:tcW w:w="868" w:type="dxa"/>
            <w:vAlign w:val="center"/>
          </w:tcPr>
          <w:p w14:paraId="09691BEE">
            <w:pPr>
              <w:pStyle w:val="3"/>
              <w:adjustRightInd w:val="0"/>
              <w:spacing w:after="50" w:line="240" w:lineRule="auto"/>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 xml:space="preserve"> Huang, Sizhou;Li, Qian;Alberts, Ian;Li, Xiaohong</w:t>
            </w:r>
          </w:p>
        </w:tc>
        <w:tc>
          <w:tcPr>
            <w:tcW w:w="743" w:type="dxa"/>
            <w:shd w:val="clear" w:color="auto" w:fill="auto"/>
            <w:vAlign w:val="center"/>
          </w:tcPr>
          <w:p w14:paraId="09EEE520">
            <w:pPr>
              <w:spacing w:line="240" w:lineRule="auto"/>
              <w:ind w:firstLine="0" w:firstLineChars="0"/>
              <w:jc w:val="left"/>
              <w:rPr>
                <w:color w:val="000000"/>
                <w:szCs w:val="24"/>
              </w:rPr>
            </w:pPr>
            <w:r>
              <w:rPr>
                <w:color w:val="000000"/>
                <w:szCs w:val="24"/>
              </w:rPr>
              <w:t>22</w:t>
            </w:r>
          </w:p>
        </w:tc>
        <w:tc>
          <w:tcPr>
            <w:tcW w:w="843" w:type="dxa"/>
            <w:vAlign w:val="center"/>
          </w:tcPr>
          <w:p w14:paraId="2EFDCFB9">
            <w:pPr>
              <w:pStyle w:val="3"/>
              <w:adjustRightInd w:val="0"/>
              <w:spacing w:after="50" w:line="320" w:lineRule="exact"/>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Web of Science</w:t>
            </w:r>
          </w:p>
        </w:tc>
        <w:tc>
          <w:tcPr>
            <w:tcW w:w="818" w:type="dxa"/>
            <w:vAlign w:val="center"/>
          </w:tcPr>
          <w:p w14:paraId="0AD79E94">
            <w:pPr>
              <w:pStyle w:val="3"/>
              <w:adjustRightInd w:val="0"/>
              <w:spacing w:after="50" w:line="320" w:lineRule="exact"/>
              <w:ind w:firstLine="0" w:firstLineChars="0"/>
              <w:jc w:val="center"/>
              <w:rPr>
                <w:rFonts w:ascii="Times New Roman" w:hAnsi="Times New Roman" w:eastAsia="宋体"/>
                <w:b/>
                <w:bCs/>
                <w:color w:val="000000"/>
                <w:kern w:val="2"/>
                <w:szCs w:val="24"/>
              </w:rPr>
            </w:pPr>
            <w:r>
              <w:rPr>
                <w:rFonts w:ascii="Times New Roman" w:hAnsi="Times New Roman" w:eastAsia="宋体"/>
                <w:color w:val="000000"/>
                <w:kern w:val="2"/>
                <w:szCs w:val="24"/>
              </w:rPr>
              <w:t>是</w:t>
            </w:r>
          </w:p>
        </w:tc>
      </w:tr>
      <w:tr w14:paraId="1FB0B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6785" w:type="dxa"/>
            <w:gridSpan w:val="7"/>
            <w:vAlign w:val="center"/>
          </w:tcPr>
          <w:p w14:paraId="4E021FCD">
            <w:pPr>
              <w:pStyle w:val="3"/>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合  计</w:t>
            </w:r>
          </w:p>
        </w:tc>
        <w:tc>
          <w:tcPr>
            <w:tcW w:w="743" w:type="dxa"/>
            <w:vAlign w:val="center"/>
          </w:tcPr>
          <w:p w14:paraId="5F5FC649">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65</w:t>
            </w:r>
          </w:p>
        </w:tc>
        <w:tc>
          <w:tcPr>
            <w:tcW w:w="843" w:type="dxa"/>
            <w:vAlign w:val="center"/>
          </w:tcPr>
          <w:p w14:paraId="763BCBFC">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c>
          <w:tcPr>
            <w:tcW w:w="818" w:type="dxa"/>
          </w:tcPr>
          <w:p w14:paraId="3C237CB3">
            <w:pPr>
              <w:pStyle w:val="3"/>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r>
    </w:tbl>
    <w:p w14:paraId="4D772885">
      <w:pPr>
        <w:spacing w:line="540" w:lineRule="exact"/>
        <w:rPr>
          <w:rFonts w:ascii="宋体" w:hAnsi="宋体" w:eastAsia="宋体"/>
          <w:color w:val="000000"/>
          <w:sz w:val="28"/>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Times New Roman Regular">
    <w:altName w:val="Times New Roman"/>
    <w:panose1 w:val="02020503050405090304"/>
    <w:charset w:val="00"/>
    <w:family w:val="auto"/>
    <w:pitch w:val="default"/>
    <w:sig w:usb0="00000000" w:usb1="00000000" w:usb2="00000001" w:usb3="00000000" w:csb0="400001BF" w:csb1="DFF7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11DB01A5"/>
    <w:rsid w:val="15DF0A1D"/>
    <w:rsid w:val="19A67BFA"/>
    <w:rsid w:val="306B6744"/>
    <w:rsid w:val="311F13A6"/>
    <w:rsid w:val="37D50947"/>
    <w:rsid w:val="3CF667DC"/>
    <w:rsid w:val="3DA84074"/>
    <w:rsid w:val="519E3DF4"/>
    <w:rsid w:val="597B6C86"/>
    <w:rsid w:val="5A113973"/>
    <w:rsid w:val="5B3F3ECB"/>
    <w:rsid w:val="658334EB"/>
    <w:rsid w:val="6B5D7B5C"/>
    <w:rsid w:val="6B973B60"/>
    <w:rsid w:val="7723700B"/>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firstLine="0" w:firstLineChars="0"/>
      <w:textAlignment w:val="baseline"/>
    </w:pPr>
    <w:rPr>
      <w:rFonts w:cs="Times New Roman"/>
      <w:szCs w:val="24"/>
    </w:rPr>
  </w:style>
  <w:style w:type="paragraph" w:styleId="3">
    <w:name w:val="Plain Text"/>
    <w:basedOn w:val="1"/>
    <w:qFormat/>
    <w:uiPriority w:val="99"/>
    <w:pPr>
      <w:spacing w:line="360" w:lineRule="auto"/>
      <w:ind w:firstLine="480"/>
    </w:pPr>
    <w:rPr>
      <w:rFonts w:ascii="仿宋_GB2312" w:hAnsi="等线" w:eastAsia="等线"/>
      <w:kern w:val="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8">
    <w:name w:val="Body Text First Indent"/>
    <w:basedOn w:val="2"/>
    <w:autoRedefine/>
    <w:qFormat/>
    <w:uiPriority w:val="99"/>
    <w:pPr>
      <w:spacing w:after="120" w:line="240" w:lineRule="auto"/>
      <w:ind w:firstLine="420" w:firstLineChars="100"/>
      <w:textAlignment w:val="auto"/>
    </w:pPr>
    <w:rPr>
      <w:rFonts w:ascii="Calibri" w:hAnsi="Calibri"/>
      <w:sz w:val="21"/>
    </w:rPr>
  </w:style>
  <w:style w:type="character" w:styleId="11">
    <w:name w:val="Hyperlink"/>
    <w:basedOn w:val="10"/>
    <w:unhideWhenUsed/>
    <w:qFormat/>
    <w:uiPriority w:val="99"/>
    <w:rPr>
      <w:color w:val="0000FF"/>
      <w:u w:val="single"/>
    </w:rPr>
  </w:style>
  <w:style w:type="character" w:customStyle="1" w:styleId="12">
    <w:name w:val="批注框文本 Char"/>
    <w:basedOn w:val="10"/>
    <w:link w:val="4"/>
    <w:semiHidden/>
    <w:qFormat/>
    <w:uiPriority w:val="99"/>
    <w:rPr>
      <w:sz w:val="18"/>
      <w:szCs w:val="18"/>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styleId="15">
    <w:name w:val="List Paragraph"/>
    <w:basedOn w:val="1"/>
    <w:qFormat/>
    <w:uiPriority w:val="34"/>
    <w:pPr>
      <w:ind w:firstLine="420" w:firstLineChars="200"/>
    </w:pPr>
  </w:style>
  <w:style w:type="paragraph" w:customStyle="1" w:styleId="16">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7">
    <w:name w:val="Table Text"/>
    <w:basedOn w:val="1"/>
    <w:semiHidden/>
    <w:qFormat/>
    <w:uiPriority w:val="0"/>
    <w:rPr>
      <w:rFonts w:ascii="新宋体" w:hAnsi="新宋体" w:eastAsia="新宋体" w:cs="新宋体"/>
      <w:sz w:val="20"/>
      <w:szCs w:val="20"/>
      <w:lang w:val="en-US" w:eastAsia="en-US" w:bidi="ar-SA"/>
    </w:rPr>
  </w:style>
  <w:style w:type="table" w:customStyle="1" w:styleId="1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1302</Words>
  <Characters>2356</Characters>
  <Lines>9</Lines>
  <Paragraphs>2</Paragraphs>
  <TotalTime>0</TotalTime>
  <ScaleCrop>false</ScaleCrop>
  <LinksUpToDate>false</LinksUpToDate>
  <CharactersWithSpaces>2639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2025-02-25T08:30:28Z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774C55B7350C43B38809F9A76F22129E_13</vt:lpwstr>
  </property>
  <property fmtid="{D5CDD505-2E9C-101B-9397-08002B2CF9AE}" pid="4" name="KSOTemplateDocerSaveRecord">
    <vt:lpwstr>eyJoZGlkIjoiNDU4YjAxNDRlZDY0ZDJmNDE2ZGJhMDFhMTM3NmQwNDMifQ==</vt:lpwstr>
  </property>
</Properties>
</file>